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Strona 01 – Motoryzacja i automotive</w:t>
      </w:r>
    </w:p>
    <w:p>
      <w:pPr>
        <w:spacing w:after="40"/>
      </w:pPr>
      <w:r>
        <w:rPr>
          <w:color w:val="444444"/>
          <w:sz w:val="20"/>
          <w:szCs w:val="20"/>
        </w:rPr>
        <w:t xml:space="preserve">Treść makiety – wersja v14 (16.07.2026) · do recenzji</w:t>
      </w:r>
    </w:p>
    <w:p>
      <w:pPr>
        <w:spacing w:after="240"/>
      </w:pPr>
      <w:r>
        <w:rPr>
          <w:color w:val="444444"/>
          <w:sz w:val="20"/>
          <w:szCs w:val="20"/>
        </w:rPr>
        <w:t xml:space="preserve">Wersja uwzględnia uwagi z 7.07.2026 (arkusz decyzji + zestawienia uwag + zasady z korespondencji). Prosimy o nanoszenie komentarzy bezpośrednio w tym dokumencie.</w:t>
      </w:r>
    </w:p>
    <w:p>
      <w:pPr>
        <w:spacing w:after="80"/>
      </w:pPr>
      <w:r>
        <w:t xml:space="preserve">Wyszukiwarka Lista ofert Porównanie Zapytaj AI PL</w:t>
      </w:r>
    </w:p>
    <w:p>
      <w:pPr>
        <w:spacing w:after="80"/>
      </w:pPr>
      <w:r>
        <w:t xml:space="preserve">Produkty Branże Serwis Aktualności Firma Kontakt z nami</w:t>
      </w:r>
    </w:p>
    <w:p>
      <w:pPr>
        <w:pStyle w:val="Heading1"/>
        <w:spacing w:after="140" w:before="320"/>
      </w:pPr>
      <w:r>
        <w:t xml:space="preserve">Opakowania dla przemysłu motoryzacyjnego</w:t>
      </w:r>
    </w:p>
    <w:p>
      <w:pPr>
        <w:spacing w:after="80"/>
      </w:pPr>
      <w:r>
        <w:t xml:space="preserve">Pojemniki KLT i skrzynki VDA 4500 dla polskich dostawców tier 1/2/3 realizujących dostawy do producentów samochodów (OEM) w regionie DACH i UE. Branża z rozwiniętym obiegiem zamkniętym opakowań zwrotnych – dobrze umocowana wobec wymogów PPWR.</w:t>
      </w:r>
    </w:p>
    <w:p>
      <w:pPr>
        <w:spacing w:after="80"/>
      </w:pPr>
      <w:r>
        <w:t xml:space="preserve">Zapytaj eksperta Przeprowadź audyt PPWR</w:t>
      </w:r>
    </w:p>
    <w:p>
      <w:pPr>
        <w:spacing w:after="80"/>
      </w:pPr>
      <w:r>
        <w:t xml:space="preserve">Ilustracja / foto produktów</w:t>
      </w:r>
    </w:p>
    <w:p>
      <w:pPr>
        <w:spacing w:after="80"/>
      </w:pPr>
      <w:r>
        <w:t xml:space="preserve">Strona główna Rozwiązania branżowe › › Motoryzacja i automotive</w:t>
      </w:r>
    </w:p>
    <w:p>
      <w:pPr>
        <w:spacing w:after="80"/>
      </w:pPr>
      <w:r>
        <w:t xml:space="preserve">▶ Wideo / animacja zapętlona – produkty w cyklu ponownego użycia</w:t>
      </w:r>
    </w:p>
    <w:p>
      <w:pPr>
        <w:spacing w:after="80"/>
      </w:pPr>
      <w:r>
        <w:t xml:space="preserve">NAJWAŻNIEJSZE</w:t>
      </w:r>
    </w:p>
    <w:p>
      <w:pPr>
        <w:pStyle w:val="Heading2"/>
        <w:spacing w:after="120" w:before="300"/>
      </w:pPr>
      <w:r>
        <w:t xml:space="preserve">Kluczowe wnioski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Producenci samochodów w regionie DACH od dawna stosują opakowania zwrotne w obiegu zamkniętym (closed-loop RTP) w standardzie VDA. Automotive to jedna z najlepiej przygotowanych na PPWR branż w Polsce.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definiuje wymiary pojemników KLT (moduły podstawy 297×198, 396×297 i 594×396 mm) – standard powszechnie wymagany przez producentów samochodów od dostawców. Standard VDA 4500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, do których dopasowują się dostawcy tier 2/3. Producenci samochodów prowadzą własne systemy poolingu opakowań zwrotnych (RTP)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Branża potrzebuje doskonalenia operacyjnego – ograniczenia uszkodzeń, optymalizacji cykli i integracji z systemami magazynowymi odbiorców. To temat zgodności (compliance), a nie palący problem operacyjny.</w:t>
      </w:r>
    </w:p>
    <w:p>
      <w:pPr>
        <w:spacing w:after="80"/>
      </w:pPr>
      <w:r>
        <w:t xml:space="preserve">WYZWANIA</w:t>
      </w:r>
    </w:p>
    <w:p>
      <w:pPr>
        <w:pStyle w:val="Heading2"/>
        <w:spacing w:after="120" w:before="300"/>
      </w:pPr>
      <w:r>
        <w:t xml:space="preserve">Trzy wyzwania, na które odpowiadamy konkretnie</w:t>
      </w:r>
    </w:p>
    <w:p>
      <w:pPr>
        <w:spacing w:after="80"/>
      </w:pPr>
      <w:r>
        <w:t xml:space="preserve">Pokazujemy, jak dobieramy opakowania dla przemysłu motoryzacyjnego pod kątem najczęstszych wymagań dostawców tier 1/2/3 do OEM-ów.</w:t>
      </w:r>
    </w:p>
    <w:p>
      <w:pPr>
        <w:spacing w:after="80"/>
      </w:pPr>
      <w:r>
        <w:t xml:space="preserve">↓ przewiń kolejne wyzwania</w:t>
      </w:r>
    </w:p>
    <w:p>
      <w:pPr>
        <w:spacing w:after="80"/>
      </w:pPr>
      <w:r>
        <w:t xml:space="preserve">01</w:t>
      </w:r>
    </w:p>
    <w:p>
      <w:pPr>
        <w:pStyle w:val="Heading3"/>
        <w:spacing w:after="100" w:before="240"/>
      </w:pPr>
      <w:r>
        <w:t xml:space="preserve">Zgodność z VDA 4500 i systemami odbiorcy</w:t>
      </w:r>
    </w:p>
    <w:p>
      <w:pPr>
        <w:spacing w:after="80"/>
      </w:pPr>
      <w:r>
        <w:t xml:space="preserve">Każdy odbiorca wymaga precyzyjnych wymiarów zgodnych z VDA 4500 i znakowania zgodnego ze swoim systemem magazynowym. Pojemnik niezgodny ze standardem może zostać odrzucony.</w:t>
      </w:r>
    </w:p>
    <w:p>
      <w:pPr>
        <w:spacing w:after="80"/>
      </w:pPr>
      <w:r>
        <w:t xml:space="preserve">[RL-KLT 6280]</w:t>
      </w:r>
    </w:p>
    <w:p>
      <w:pPr>
        <w:spacing w:after="80"/>
      </w:pPr>
      <w:r>
        <w:t xml:space="preserve">VDA-RL-KLT 6280</w:t>
      </w:r>
    </w:p>
    <w:p>
      <w:pPr>
        <w:spacing w:after="80"/>
      </w:pPr>
      <w:r>
        <w:t xml:space="preserve">VDA 4500 · 594×396×280 mm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02</w:t>
      </w:r>
    </w:p>
    <w:p>
      <w:pPr>
        <w:pStyle w:val="Heading3"/>
        <w:spacing w:after="100" w:before="240"/>
      </w:pPr>
      <w:r>
        <w:t xml:space="preserve">ESD – komponenty elektroniczne (rosnący udział w aucie)</w:t>
      </w:r>
    </w:p>
    <w:p>
      <w:pPr>
        <w:spacing w:after="80"/>
      </w:pPr>
      <w:r>
        <w:t xml:space="preserve">Rosnąca liczba komponentów elektronicznych zwiększa zapotrzebowanie na opakowania antystatyczne. Każdy element wrażliwy na wyładowania elektrostatyczne (ESD) wymaga odpowiedniej ochrony podczas magazynowania i transportu.</w:t>
      </w:r>
    </w:p>
    <w:p>
      <w:pPr>
        <w:spacing w:after="80"/>
      </w:pPr>
      <w:r>
        <w:t xml:space="preserve">[EURO-NORM ESD]</w:t>
      </w:r>
    </w:p>
    <w:p>
      <w:pPr>
        <w:spacing w:after="80"/>
      </w:pPr>
      <w:r>
        <w:t xml:space="preserve">Pojemnik EURO-NORM ESD</w:t>
      </w:r>
    </w:p>
    <w:p>
      <w:pPr>
        <w:spacing w:after="80"/>
      </w:pPr>
      <w:r>
        <w:t xml:space="preserve">IEC 61340-5-1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03</w:t>
      </w:r>
    </w:p>
    <w:p>
      <w:pPr>
        <w:pStyle w:val="Heading3"/>
        <w:spacing w:after="100" w:before="240"/>
      </w:pPr>
      <w:r>
        <w:t xml:space="preserve">Optymalizacja kosztów i automatyzacja</w:t>
      </w:r>
    </w:p>
    <w:p>
      <w:pPr>
        <w:spacing w:after="80"/>
      </w:pPr>
      <w:r>
        <w:t xml:space="preserve">Stała presja OEM na redukcję kosztów i integrację z AKL/shuttle w zakładach tier-1. Pojemniki muszą wytrzymać wieloletnią rotację w intensywnym obiegu.</w:t>
      </w:r>
    </w:p>
    <w:p>
      <w:pPr>
        <w:spacing w:after="80"/>
      </w:pPr>
      <w:r>
        <w:t xml:space="preserve">[silverline / contecline]</w:t>
      </w:r>
    </w:p>
    <w:p>
      <w:pPr>
        <w:spacing w:after="80"/>
      </w:pPr>
      <w:r>
        <w:t xml:space="preserve">silverline / contecline</w:t>
      </w:r>
    </w:p>
    <w:p>
      <w:pPr>
        <w:spacing w:after="80"/>
      </w:pPr>
      <w:r>
        <w:t xml:space="preserve">AKL · shuttle · miniload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PRODUKTY</w:t>
      </w:r>
    </w:p>
    <w:p>
      <w:pPr>
        <w:pStyle w:val="Heading2"/>
        <w:spacing w:after="120" w:before="300"/>
      </w:pPr>
      <w:r>
        <w:t xml:space="preserve">Pojemniki dla automotive</w:t>
      </w:r>
    </w:p>
    <w:p>
      <w:pPr>
        <w:spacing w:after="80"/>
      </w:pPr>
      <w:r>
        <w:t xml:space="preserve">[RL-KLT 6280]</w:t>
      </w:r>
    </w:p>
    <w:p>
      <w:pPr>
        <w:pStyle w:val="Heading4"/>
        <w:spacing w:after="80" w:before="180"/>
      </w:pPr>
      <w:r>
        <w:t xml:space="preserve">RL-KLT 6280</w:t>
      </w:r>
    </w:p>
    <w:p>
      <w:pPr>
        <w:spacing w:after="80"/>
      </w:pPr>
      <w:r>
        <w:t xml:space="preserve">Pojemnik KLT/VDA dla tier 1/2/3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KLT / VDA</w:t>
      </w:r>
    </w:p>
    <w:p>
      <w:pPr>
        <w:spacing w:after="80"/>
      </w:pPr>
      <w:r>
        <w:t xml:space="preserve">Flagowa rodzina pojemników w standardzie VDA 4500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EURO-NORM ESD</w:t>
      </w:r>
    </w:p>
    <w:p>
      <w:pPr>
        <w:spacing w:after="80"/>
      </w:pPr>
      <w:r>
        <w:t xml:space="preserve">Antystatyczne wg IEC 61340-5-1 – komponenty elektroniczne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silverline</w:t>
      </w:r>
    </w:p>
    <w:p>
      <w:pPr>
        <w:spacing w:after="80"/>
      </w:pPr>
      <w:r>
        <w:t xml:space="preserve">AKL i shuttle – precyzyjne wymiary zgodne z EURO-NORM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contecline</w:t>
      </w:r>
    </w:p>
    <w:p>
      <w:pPr>
        <w:spacing w:after="80"/>
      </w:pPr>
      <w:r>
        <w:t xml:space="preserve">Magazyny automatyczne i wysokie obciążenia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Palety Euro</w:t>
      </w:r>
    </w:p>
    <w:p>
      <w:pPr>
        <w:spacing w:after="80"/>
      </w:pPr>
      <w:r>
        <w:t xml:space="preserve">Plastikowe – nie wymagają obróbki ISPM-15 (eksport)</w:t>
      </w:r>
    </w:p>
    <w:p>
      <w:pPr>
        <w:spacing w:after="80"/>
      </w:pPr>
      <w:r>
        <w:t xml:space="preserve">Zobacz serię →</w:t>
      </w:r>
    </w:p>
    <w:p>
      <w:pPr>
        <w:spacing w:after="80"/>
      </w:pPr>
      <w:r>
        <w:t xml:space="preserve">PPWR · COMPLIANCE</w:t>
      </w:r>
    </w:p>
    <w:p>
      <w:pPr>
        <w:pStyle w:val="Heading2"/>
        <w:spacing w:after="120" w:before="300"/>
      </w:pPr>
      <w:r>
        <w:t xml:space="preserve">PPWR a automotive – jesteś kilka kroków przed regulacją</w:t>
      </w:r>
    </w:p>
    <w:p>
      <w:pPr>
        <w:spacing w:after="80"/>
      </w:pPr>
      <w:r>
        <w:t xml:space="preserve">Polska branża automotive (głównie jako dostawca tier-1/tier-2 do OEM-ów w regionie DACH i UE) jest jednym z lepiej przygotowanych sektorów na PPWR. VDA już dawno zdefiniowała standaryzowany system pojemników KLT, przeznaczonych do wspólnego obiegu między uczestnikami łańcucha dostaw, a w transporcie części dominuje dziś obieg zamknięty (RTP).</w:t>
      </w:r>
    </w:p>
    <w:p>
      <w:pPr>
        <w:spacing w:after="80"/>
      </w:pPr>
      <w:r>
        <w:t xml:space="preserve">‹ ›</w:t>
      </w:r>
    </w:p>
    <w:p>
      <w:pPr>
        <w:spacing w:after="80"/>
      </w:pPr>
      <w:r>
        <w:t xml:space="preserve">Art. 29 ust. 2</w:t>
      </w:r>
    </w:p>
    <w:p>
      <w:pPr>
        <w:spacing w:after="80"/>
      </w:pPr>
      <w:r>
        <w:t xml:space="preserve">PPWR przewiduje, że od 2030 r. opakowania transportowe w obiegu między zakładami tego samego przedsiębiorstwa lub przedsiębiorstw powiązanych będą opakowaniami wielokrotnego użytku – branża automotive w dużej mierze już to spełnia.</w:t>
      </w:r>
    </w:p>
    <w:p>
      <w:pPr>
        <w:spacing w:after="80"/>
      </w:pPr>
      <w:r>
        <w:t xml:space="preserve">Art. 29 ust. 1</w:t>
      </w:r>
    </w:p>
    <w:p>
      <w:pPr>
        <w:spacing w:after="80"/>
      </w:pPr>
      <w:r>
        <w:t xml:space="preserve">Co najmniej 40% ponownego użycia opakowań transportowych do 2030 r. i 70% do 2040 r. – obowiązek spoczywa na podmiotach stosujących opakowania transportowe.</w:t>
      </w:r>
    </w:p>
    <w:p>
      <w:pPr>
        <w:spacing w:after="80"/>
      </w:pPr>
      <w:r>
        <w:t xml:space="preserve">Art. 5 PFAS</w:t>
      </w:r>
    </w:p>
    <w:p>
      <w:pPr>
        <w:spacing w:after="80"/>
      </w:pPr>
      <w:r>
        <w:t xml:space="preserve">Ograniczenie PFAS w opakowaniach mających kontakt z żywnością – stosowane od 12 sierpnia 2026 r. Dla automotive znaczenie marginalne – ograniczenie dotyczy wyłącznie opakowań przeznaczonych do kontaktu z żywnością.</w:t>
      </w:r>
    </w:p>
    <w:p>
      <w:pPr>
        <w:spacing w:after="80"/>
      </w:pPr>
      <w:r>
        <w:t xml:space="preserve">Etykiety</w:t>
      </w:r>
    </w:p>
    <w:p>
      <w:pPr>
        <w:spacing w:after="80"/>
      </w:pPr>
      <w:r>
        <w:t xml:space="preserve">Zharmonizowane oznakowanie opakowań (piktogramy, a dla informacji rozszerzonych cyfrowy nośnik danych) wprowadzane przez PPWR – zgodnie z harmonogramem określonym w art. 12 i aktach wykonawczych. Pojemniki przygotowane pod RFID ułatwiają integrację.</w:t>
      </w:r>
    </w:p>
    <w:p>
      <w:pPr>
        <w:spacing w:after="80"/>
      </w:pPr>
      <w:r>
        <w:t xml:space="preserve">NASTĘPNE KROKI</w:t>
      </w:r>
    </w:p>
    <w:p>
      <w:pPr>
        <w:pStyle w:val="Heading2"/>
        <w:spacing w:after="120" w:before="300"/>
      </w:pPr>
      <w:r>
        <w:t xml:space="preserve">Co możesz zrobić już teraz</w:t>
      </w:r>
    </w:p>
    <w:p>
      <w:pPr>
        <w:pBdr>
          <w:left w:val="single" w:color="65B32E" w:sz="12"/>
        </w:pBdr>
        <w:spacing w:after="40" w:before="160"/>
        <w:ind w:left="420"/>
      </w:pPr>
      <w:r>
        <w:rPr>
          <w:i/>
          <w:iCs/>
        </w:rPr>
        <w:t xml:space="preserve">Sektor motoryzacyjny należy do najbardziej zaawansowanych w stosowaniu opakowań zwrotnych – standardem są pojemniki KLT w obiegu zamkniętym (VDA 4500). PPWR przewiduje cele ponownego użycia opakowań transportowych: co najmniej 40% do 2030 r. i 70% do 2040 r.</w:t>
      </w:r>
    </w:p>
    <w:p>
      <w:pPr>
        <w:spacing w:after="140"/>
        <w:ind w:left="420"/>
      </w:pPr>
      <w:r>
        <w:rPr>
          <w:i/>
          <w:iCs/>
          <w:color w:val="666666"/>
          <w:sz w:val="18"/>
          <w:szCs w:val="18"/>
        </w:rPr>
        <w:t xml:space="preserve">zgodnie z rozporządzeniem (UE) 2025/40 Parlamentu Europejskiego i Rady z dnia 19 grudnia 2024 r. w sprawie opakowań i odpadów opakowaniowych (PPWR)</w:t>
      </w:r>
    </w:p>
    <w:p>
      <w:pPr>
        <w:spacing w:after="80"/>
      </w:pPr>
      <w:r>
        <w:t xml:space="preserve">01</w:t>
      </w:r>
    </w:p>
    <w:p>
      <w:pPr>
        <w:pStyle w:val="Heading3"/>
        <w:spacing w:after="100" w:before="240"/>
      </w:pPr>
      <w:r>
        <w:t xml:space="preserve">Przeprowadź audyt PPWR</w:t>
      </w:r>
    </w:p>
    <w:p>
      <w:pPr>
        <w:spacing w:after="80"/>
      </w:pPr>
      <w:r>
        <w:t xml:space="preserve">Sprawdź gotowość dostawcy tier 1/2/3 w kilka minut.</w:t>
      </w:r>
    </w:p>
    <w:p>
      <w:pPr>
        <w:spacing w:after="80"/>
      </w:pPr>
      <w:r>
        <w:t xml:space="preserve">Przejdź do audytu →</w:t>
      </w:r>
    </w:p>
    <w:p>
      <w:pPr>
        <w:spacing w:after="80"/>
      </w:pPr>
      <w:r>
        <w:t xml:space="preserve">02</w:t>
      </w:r>
    </w:p>
    <w:p>
      <w:pPr>
        <w:pStyle w:val="Heading3"/>
        <w:spacing w:after="100" w:before="240"/>
      </w:pPr>
      <w:r>
        <w:t xml:space="preserve">Oblicz koszt PPWR</w:t>
      </w:r>
    </w:p>
    <w:p>
      <w:pPr>
        <w:spacing w:after="80"/>
      </w:pPr>
      <w:r>
        <w:t xml:space="preserve">Porównaj opakowania jednorazowe ze zwrotnymi pojemnikami KLT/VDA i zobacz próg rentowności.</w:t>
      </w:r>
    </w:p>
    <w:p>
      <w:pPr>
        <w:spacing w:after="80"/>
      </w:pPr>
      <w:r>
        <w:t xml:space="preserve">Otwórz kalkulator →</w:t>
      </w:r>
    </w:p>
    <w:p>
      <w:pPr>
        <w:spacing w:after="80"/>
      </w:pPr>
      <w:r>
        <w:t xml:space="preserve">03</w:t>
      </w:r>
    </w:p>
    <w:p>
      <w:pPr>
        <w:pStyle w:val="Heading3"/>
        <w:spacing w:after="100" w:before="240"/>
      </w:pPr>
      <w:r>
        <w:t xml:space="preserve">Przeczytaj artykuł</w:t>
      </w:r>
    </w:p>
    <w:p>
      <w:pPr>
        <w:spacing w:after="80"/>
      </w:pPr>
      <w:r>
        <w:t xml:space="preserve">PPWR w automotive – VDA-KLT i pooling u OEM-ów (tier 1/2/3).</w:t>
      </w:r>
    </w:p>
    <w:p>
      <w:pPr>
        <w:spacing w:after="80"/>
      </w:pPr>
      <w:r>
        <w:t xml:space="preserve">Czytaj artykuł →</w:t>
      </w:r>
    </w:p>
    <w:p>
      <w:pPr>
        <w:spacing w:after="80"/>
      </w:pPr>
      <w:r>
        <w:t xml:space="preserve">→ przewiń w poziomie, aby odsłonić kolejne kroki</w:t>
      </w:r>
    </w:p>
    <w:p>
      <w:pPr>
        <w:spacing w:after="80"/>
      </w:pPr>
      <w:r>
        <w:t xml:space="preserve">Case Studies</w:t>
      </w:r>
    </w:p>
    <w:p>
      <w:pPr>
        <w:pStyle w:val="Heading2"/>
        <w:spacing w:after="120" w:before="300"/>
      </w:pPr>
      <w:r>
        <w:t xml:space="preserve">Opakowania wielokrotnego użytku we wdrożeniach bekuplast</w:t>
      </w:r>
    </w:p>
    <w:p>
      <w:pPr>
        <w:spacing w:after="80"/>
      </w:pPr>
      <w:r>
        <w:t xml:space="preserve">Każde wdrożenie to osobna historia naszego Klienta. Indywidualne wymagania, do których dopasowujemy optymalne rozwiązania.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ROSSMANN</w:t>
      </w:r>
    </w:p>
    <w:p>
      <w:pPr>
        <w:spacing w:after="80"/>
      </w:pPr>
      <w:r>
        <w:t xml:space="preserve">Intralogistyka sieci drogerii (DE) – pojemniki obiegowe w magazynie centralnym.</w:t>
      </w:r>
    </w:p>
    <w:p>
      <w:pPr>
        <w:spacing w:after="80"/>
      </w:pPr>
      <w:r>
        <w:t xml:space="preserve">2025 160 000 pojemników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Orbico</w:t>
      </w:r>
    </w:p>
    <w:p>
      <w:pPr>
        <w:spacing w:after="80"/>
      </w:pPr>
      <w:r>
        <w:t xml:space="preserve">Dystrybucja beauty i FMCG (PL) – pojemniki zwrotne w kompletacji zamówień.</w:t>
      </w:r>
    </w:p>
    <w:p>
      <w:pPr>
        <w:spacing w:after="80"/>
      </w:pPr>
      <w:r>
        <w:t xml:space="preserve">2023 46 000 pojemników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Onninen</w:t>
      </w:r>
    </w:p>
    <w:p>
      <w:pPr>
        <w:spacing w:after="80"/>
      </w:pPr>
      <w:r>
        <w:t xml:space="preserve">Dystrybucja materiałów budowlanych (PL) – pojemniki contecline.</w:t>
      </w:r>
    </w:p>
    <w:p>
      <w:pPr>
        <w:spacing w:after="80"/>
      </w:pPr>
      <w:r>
        <w:t xml:space="preserve">2019 40 000 pojemników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Auto Partner SA</w:t>
      </w:r>
    </w:p>
    <w:p>
      <w:pPr>
        <w:spacing w:after="80"/>
      </w:pPr>
      <w:r>
        <w:t xml:space="preserve">Dystrybucja części samochodowych (PL) – contecline i silverline w obiegu zwrotnym w centrum dystrybucyjnym.</w:t>
      </w:r>
    </w:p>
    <w:p>
      <w:pPr>
        <w:spacing w:after="80"/>
      </w:pPr>
      <w:r>
        <w:t xml:space="preserve">2022 27 000 pojemników</w:t>
      </w:r>
    </w:p>
    <w:p>
      <w:pPr>
        <w:spacing w:after="80"/>
      </w:pPr>
      <w:r>
        <w:t xml:space="preserve">‹ ›</w:t>
      </w:r>
    </w:p>
    <w:p>
      <w:pPr>
        <w:spacing w:after="80"/>
      </w:pPr>
      <w:r>
        <w:t xml:space="preserve">KOSZT PPWR</w:t>
      </w:r>
    </w:p>
    <w:p>
      <w:pPr>
        <w:pStyle w:val="Heading2"/>
        <w:spacing w:after="120" w:before="300"/>
      </w:pPr>
      <w:r>
        <w:t xml:space="preserve">Koszt przejścia na opakowania wielokrotnego użytku</w:t>
      </w:r>
    </w:p>
    <w:p>
      <w:pPr>
        <w:spacing w:after="80"/>
      </w:pPr>
      <w:r>
        <w:t xml:space="preserve">Porównaj koszt opakowań jednorazowych ze zwrotnymi pojemnikami KLT/VDA dla floty tier 1/2/3 – kalkulator pokaże próg rentowności i strukturę emisji CO₂.</w:t>
      </w:r>
    </w:p>
    <w:p>
      <w:pPr>
        <w:spacing w:after="80"/>
      </w:pPr>
      <w:r>
        <w:t xml:space="preserve">Oblicz koszt PPWR w 2 min.</w:t>
      </w:r>
    </w:p>
    <w:p>
      <w:pPr>
        <w:spacing w:after="80"/>
      </w:pPr>
      <w:r>
        <w:t xml:space="preserve">Kalkulator kosztu PPWR</w:t>
      </w:r>
    </w:p>
    <w:p>
      <w:pPr>
        <w:spacing w:after="80"/>
      </w:pPr>
      <w:r>
        <w:t xml:space="preserve">POWIĄZANE</w:t>
      </w:r>
    </w:p>
    <w:p>
      <w:pPr>
        <w:pStyle w:val="Heading2"/>
        <w:spacing w:after="120" w:before="300"/>
      </w:pPr>
      <w:r>
        <w:t xml:space="preserve">Może Cię też zainteresować</w:t>
      </w:r>
    </w:p>
    <w:p>
      <w:pPr>
        <w:pStyle w:val="Heading4"/>
        <w:spacing w:after="80" w:before="180"/>
      </w:pPr>
      <w:r>
        <w:t xml:space="preserve">Produkcja przemysłowa</w:t>
      </w:r>
    </w:p>
    <w:p>
      <w:pPr>
        <w:spacing w:after="80"/>
      </w:pPr>
      <w:r>
        <w:t xml:space="preserve">Pojemniki wielokrotnego użytku do obiegu zamkniętego między zakładami produkcyjnymi, zgodnie z założeniami PPWR.</w:t>
      </w:r>
    </w:p>
    <w:p>
      <w:pPr>
        <w:spacing w:after="80"/>
      </w:pPr>
      <w:r>
        <w:t xml:space="preserve">Zobacz więcej</w:t>
      </w:r>
    </w:p>
    <w:p>
      <w:pPr>
        <w:pStyle w:val="Heading4"/>
        <w:spacing w:after="80" w:before="180"/>
      </w:pPr>
      <w:r>
        <w:t xml:space="preserve">Intralogistyka i magazyn</w:t>
      </w:r>
    </w:p>
    <w:p>
      <w:pPr>
        <w:spacing w:after="80"/>
      </w:pPr>
      <w:r>
        <w:t xml:space="preserve">Pojemniki do systemów AKL i shuttle wykorzystywane w zautomatyzowanej intralogistyce zakładów produkcyjnych.</w:t>
      </w:r>
    </w:p>
    <w:p>
      <w:pPr>
        <w:spacing w:after="80"/>
      </w:pPr>
      <w:r>
        <w:t xml:space="preserve">Zobacz więcej</w:t>
      </w:r>
    </w:p>
    <w:p>
      <w:pPr>
        <w:pStyle w:val="Heading4"/>
        <w:spacing w:after="80" w:before="180"/>
      </w:pPr>
      <w:r>
        <w:t xml:space="preserve">Logistyka i transport (3PL)</w:t>
      </w:r>
    </w:p>
    <w:p>
      <w:pPr>
        <w:spacing w:after="80"/>
      </w:pPr>
      <w:r>
        <w:t xml:space="preserve">Palety i pojemniki wielokrotnego użytku do transportu części pomiędzy dostawcami a producentami OEM.</w:t>
      </w:r>
    </w:p>
    <w:p>
      <w:pPr>
        <w:spacing w:after="80"/>
      </w:pPr>
      <w:r>
        <w:t xml:space="preserve">Zobacz więcej</w:t>
      </w:r>
    </w:p>
    <w:p>
      <w:pPr>
        <w:spacing w:after="80"/>
      </w:pPr>
      <w:r>
        <w:t xml:space="preserve">FAQ</w:t>
      </w:r>
    </w:p>
    <w:p>
      <w:pPr>
        <w:pStyle w:val="Heading2"/>
        <w:spacing w:after="120" w:before="300"/>
      </w:pPr>
      <w:r>
        <w:t xml:space="preserve">Najczęściej zadawane pytania</w:t>
      </w:r>
    </w:p>
    <w:p>
      <w:pPr>
        <w:spacing w:after="80"/>
      </w:pPr>
      <w:r>
        <w:t xml:space="preserve">↓ przewiń pytania</w:t>
      </w:r>
    </w:p>
    <w:p>
      <w:pPr>
        <w:spacing w:after="60" w:before="200"/>
      </w:pPr>
      <w:r>
        <w:rPr>
          <w:b/>
          <w:bCs/>
        </w:rPr>
        <w:t xml:space="preserve">Co to jest standard VDA 4500?</w:t>
      </w:r>
    </w:p>
    <w:p>
      <w:pPr>
        <w:spacing w:after="80"/>
      </w:pPr>
      <w:r>
        <w:t xml:space="preserve">VDA 4500 to niemiecki standard zrzeszenia przemysłu motoryzacyjnego definiujący wymiary pojemników KLT (Kleinladungsträger): moduły podstawy 297×198, 396×297 i 594×396 mm itd., tolerancje, znakowanie, kompatybilność z poolingiem. Standard ten jest powszechnie wymagany przez producentów samochodów (OEM) od dostawców.</w:t>
      </w:r>
    </w:p>
    <w:p>
      <w:pPr>
        <w:spacing w:after="60" w:before="200"/>
      </w:pPr>
      <w:r>
        <w:rPr>
          <w:b/>
          <w:bCs/>
        </w:rPr>
        <w:t xml:space="preserve">Czy macie pojemniki kompatybilne z systemami poolingowymi producentów samochodów (OEM)?</w:t>
      </w:r>
    </w:p>
    <w:p>
      <w:pPr>
        <w:spacing w:after="80"/>
      </w:pPr>
      <w:r>
        <w:t xml:space="preserve">Tak – pełna gama VDA-RL-KLT i VDA-R-KLT oraz pokrywy podtrzymujące w standardzie VDA 4500. Możliwa jest indywidualna konfiguracja (znakowanie, przygotowanie pod RFID, kolor) pod wymagania odbiorcy.</w:t>
      </w:r>
    </w:p>
    <w:p>
      <w:pPr>
        <w:spacing w:after="60" w:before="200"/>
      </w:pPr>
      <w:r>
        <w:rPr>
          <w:b/>
          <w:bCs/>
        </w:rPr>
        <w:t xml:space="preserve">Czy oferujecie pojemniki ESD dla komponentów elektronicznych w aucie?</w:t>
      </w:r>
    </w:p>
    <w:p>
      <w:pPr>
        <w:spacing w:after="80"/>
      </w:pPr>
      <w:r>
        <w:t xml:space="preserve">Tak – pojemniki EURO-NORM ESD z tworzywa PP-ESD, które stale rozprasza ładunki elektrostatyczne (materiał PP-ESD chroni podzespoły przed wyładowaniami o napięciu do 35 V). Stosowane do wrażliwych podzespołów elektronicznych, m.in. ECU, sensorów, modułów infotainment i komponentów EV.</w:t>
      </w:r>
    </w:p>
    <w:p>
      <w:pPr>
        <w:spacing w:after="60" w:before="200"/>
      </w:pPr>
      <w:r>
        <w:rPr>
          <w:b/>
          <w:bCs/>
        </w:rPr>
        <w:t xml:space="preserve">Czy automotive jest objęty PPWR?</w:t>
      </w:r>
    </w:p>
    <w:p>
      <w:pPr>
        <w:spacing w:after="80"/>
      </w:pPr>
      <w:r>
        <w:t xml:space="preserve">Tak, choć w praktyce spełnia już większość wymogów. Branża automotive (głównie OEM i tier-1) działa w obiegu zamkniętym (closed-loop) RTP od dziesięcioleci, spełniając wymogi art. 29 PPWR. Wyzwanie na najbliższe lata to rozciągnięcie standardu na tier-2 i tier-3 oraz zharmonizowane oznakowanie opakowań cyfrowym nośnikiem danych wprowadzane przez PPWR – zgodnie z harmonogramem określonym w art. 12 i aktach wykonawczych.</w:t>
      </w:r>
    </w:p>
    <w:p>
      <w:pPr>
        <w:spacing w:after="60" w:before="200"/>
      </w:pPr>
      <w:r>
        <w:rPr>
          <w:b/>
          <w:bCs/>
        </w:rPr>
        <w:t xml:space="preserve">Ile cykli wytrzymuje pojemnik KLT/VDA bekuplast?</w:t>
      </w:r>
    </w:p>
    <w:p>
      <w:pPr>
        <w:spacing w:after="80"/>
      </w:pPr>
      <w:r>
        <w:t xml:space="preserve">Pojemniki KLT/VDA są przeznaczone do wieloletniej, intensywnej rotacji w obiegu zwrotnym; w praktyce wymagają okresowego mycia i kontroli wymiarowej. Dokładną trwałość dobieramy do profilu Twojego procesu.</w:t>
      </w:r>
    </w:p>
    <w:p>
      <w:pPr>
        <w:spacing w:after="60" w:before="200"/>
      </w:pPr>
      <w:r>
        <w:rPr>
          <w:b/>
          <w:bCs/>
        </w:rPr>
        <w:t xml:space="preserve">Czy mogę zamówić indywidualny numer artykułu pod konkretnego OEM?</w:t>
      </w:r>
    </w:p>
    <w:p>
      <w:pPr>
        <w:spacing w:after="80"/>
      </w:pPr>
      <w:r>
        <w:t xml:space="preserve">Tak – projektujemy pojemniki pod wymagania systemów poolingowych producentów samochodów (indywidualne wymiary, znakowanie pool-ID, kolory, przygotowanie pod integrację identyfikacyjną, np. RFID). Produkcja na indywidualne zamówienie – minimalną wielkość produkcji i czas realizacji z prototypem ustalamy indywidualnie.</w:t>
      </w:r>
    </w:p>
    <w:p>
      <w:pPr>
        <w:spacing w:after="80"/>
      </w:pPr>
      <w:r>
        <w:t xml:space="preserve">KONTAKT</w:t>
      </w:r>
    </w:p>
    <w:p>
      <w:pPr>
        <w:pStyle w:val="Heading2"/>
        <w:spacing w:after="120" w:before="300"/>
      </w:pPr>
      <w:r>
        <w:t xml:space="preserve">Omówmy rozwiązanie dla Twojego procesu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Szybki kontakt zwrotny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Rozmawiamy o Twoich konkretnych potrzebach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Bezpłatnie i bez zobowiązań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Możliwość pozyskania próbek produktów</w:t>
      </w:r>
    </w:p>
    <w:p>
      <w:pPr>
        <w:pStyle w:val="Heading3"/>
        <w:spacing w:after="100" w:before="240"/>
      </w:pPr>
      <w:r>
        <w:t xml:space="preserve">Pozostaw dane kontaktowe</w:t>
      </w:r>
    </w:p>
    <w:p>
      <w:pPr>
        <w:spacing w:after="80"/>
      </w:pPr>
      <w:r>
        <w:t xml:space="preserve">[pole: Twoje imię i nazwisko] Imię i nazwisko</w:t>
      </w:r>
    </w:p>
    <w:p>
      <w:pPr>
        <w:spacing w:after="80"/>
      </w:pPr>
      <w:r>
        <w:t xml:space="preserve">[pole: Nazwa firmy] Firma</w:t>
      </w:r>
    </w:p>
    <w:p>
      <w:pPr>
        <w:spacing w:after="80"/>
      </w:pPr>
      <w:r>
        <w:t xml:space="preserve">[pole: Adres e-mail] E-mail</w:t>
      </w:r>
    </w:p>
    <w:p>
      <w:pPr>
        <w:spacing w:after="80"/>
      </w:pPr>
      <w:r>
        <w:t xml:space="preserve">[pole: Numer telefonu] Telefon</w:t>
      </w:r>
    </w:p>
    <w:p>
      <w:pPr>
        <w:spacing w:after="80"/>
      </w:pPr>
      <w:r>
        <w:t xml:space="preserve">Wyrażam zgodę na przetwarzanie danych osobowych i potwierdzam, że zapoznałem/am się z dotyczącą zasad ich przetwarzania. Polityką prywatności</w:t>
      </w:r>
    </w:p>
    <w:p>
      <w:pPr>
        <w:spacing w:after="80"/>
      </w:pPr>
      <w:r>
        <w:t xml:space="preserve">Proszę o kontakt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2026-07-17T11:40:20.969Z</dcterms:created>
  <dcterms:modified xsi:type="dcterms:W3CDTF">2026-07-17T11:40:20.970Z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