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Strona 03 – Sprzedaż i transport na rynku napojów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Treść makiety – wersja v14 (16.07.2026) · do recenzji</w:t>
      </w:r>
    </w:p>
    <w:p>
      <w:pPr>
        <w:spacing w:after="240"/>
      </w:pPr>
      <w:r>
        <w:rPr>
          <w:color w:val="444444"/>
          <w:sz w:val="20"/>
          <w:szCs w:val="20"/>
        </w:rPr>
        <w:t xml:space="preserve">Wersja uwzględnia uwagi z 7.07.2026 (arkusz decyzji + zestawienia uwag + zasady z korespondencji). Prosimy o nanoszenie komentarzy bezpośrednio w tym dokumencie.</w:t>
      </w:r>
    </w:p>
    <w:p>
      <w:pPr>
        <w:spacing w:after="80"/>
      </w:pPr>
      <w:r>
        <w:t xml:space="preserve">Wyszukiwarka Lista ofert Porównanie Zapytaj AI PL</w:t>
      </w:r>
    </w:p>
    <w:p>
      <w:pPr>
        <w:spacing w:after="80"/>
      </w:pPr>
      <w:r>
        <w:t xml:space="preserve">Produkty Branże Serwis Aktualności Firma Kontakt z nami</w:t>
      </w:r>
    </w:p>
    <w:p>
      <w:pPr>
        <w:spacing w:after="80"/>
      </w:pPr>
      <w:r>
        <w:t xml:space="preserve">BRANŻE · NAPOJE</w:t>
      </w:r>
    </w:p>
    <w:p>
      <w:pPr>
        <w:pStyle w:val="Heading1"/>
        <w:spacing w:after="140" w:before="320"/>
      </w:pPr>
      <w:r>
        <w:t xml:space="preserve">Skrzynki przegrodowe do butelek</w:t>
      </w:r>
    </w:p>
    <w:p>
      <w:pPr>
        <w:spacing w:after="80"/>
      </w:pPr>
      <w:r>
        <w:t xml:space="preserve">Skrzynki przegrodowe do butelek zwrotnych o trwałej konstrukcji, przeznaczone do wielokrotnego użytkowania. Sprawdzają się w systemach kaucyjnych oraz modelach obiegu opakowań zgodnych z PPWR.</w:t>
      </w:r>
    </w:p>
    <w:p>
      <w:pPr>
        <w:spacing w:after="80"/>
      </w:pPr>
      <w:r>
        <w:t xml:space="preserve">Zapytaj eksperta Przeprowadź audyt PPWR</w:t>
      </w:r>
    </w:p>
    <w:p>
      <w:pPr>
        <w:spacing w:after="80"/>
      </w:pPr>
      <w:r>
        <w:t xml:space="preserve">Ilustracja / foto produktów</w:t>
      </w:r>
    </w:p>
    <w:p>
      <w:pPr>
        <w:spacing w:after="80"/>
      </w:pPr>
      <w:r>
        <w:t xml:space="preserve">Strona główna Rozwiązania branżowe / / Sprzedaż i transport na rynku napojów PILLAR SEO</w:t>
      </w:r>
    </w:p>
    <w:p>
      <w:pPr>
        <w:spacing w:after="80"/>
      </w:pPr>
      <w:r>
        <w:t xml:space="preserve">▶ Wideo / animacja zapętlona – produkty w cyklu ponownego użycia</w:t>
      </w:r>
    </w:p>
    <w:p>
      <w:pPr>
        <w:spacing w:after="80"/>
      </w:pPr>
      <w:r>
        <w:t xml:space="preserve">NAJWAŻNIEJSZE</w:t>
      </w:r>
    </w:p>
    <w:p>
      <w:pPr>
        <w:pStyle w:val="Heading2"/>
        <w:spacing w:after="120" w:before="300"/>
      </w:pPr>
      <w:r>
        <w:t xml:space="preserve">Kluczowe wnioski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kaucyjny (od 1 października 2025 r.), rozwój systemów rozszerzonej odpowiedzialności producenta (ROP) oraz wymagania PPWR zmieniają sposób projektowania i wykorzystywania opakowań. Większość przepisów PPWR będzie stosowana od 12 sierpnia 2026 r. Branża napojowa stoi przed trzema ważnymi zmianami regulacyjnymi.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Wieloletnie doświadczenie w wykorzystaniu skrzynek i butelek zwrotnych sprawia, że browary dysponują rozwiniętymi systemami opakowań wielokrotnego użytku. PPWR dodatkowo wzmacnia znaczenie takich rozwiązań poprzez cele ponownego użycia opakowań. Branża piwowarska jest dobrze przygotowana do wymagań PPWR.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Wytrzymała konstrukcja sprawdza się w intensywnym obiegu logistycznym i wspiera ograniczanie wykorzystania opakowań jednorazowych oraz realizację celów ponownego użycia określonych w PPWR. Skrzynki przegrodowe są przeznaczone do wielokrotnego użytkowania.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PPWR wyłącza mleko i produkty mleczne z celów ponownego użycia dotyczących opakowań napojowych (art. 29 ust. 7). Jednocześnie opakowania transportowe wykorzystywane w łańcuchu dostaw nadal podlegają celom ponownego użycia określonym w art. 29 ust. 1, dlatego przedsiębiorstwa powinny odpowiednio wcześniej przygotować swoje systemy logistyczne. Branża mleczarska i producenci napojów rozwijają systemy opakowań wielokrotnego użytku.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Opakowania zwrotne, takie jak skrzynki przegrodowe do butelek, wspierają efektywny obieg opakowań i wpisują się w kierunek zmian wyznaczony przez PPWR. Rozwój systemów kaucyjnych i cele PPWR będą sprzyjać upowszechnianiu opakowań wielokrotnego użytku.</w:t>
      </w:r>
    </w:p>
    <w:p>
      <w:pPr>
        <w:spacing w:after="80"/>
      </w:pPr>
      <w:r>
        <w:t xml:space="preserve">WYZWANIA</w:t>
      </w:r>
    </w:p>
    <w:p>
      <w:pPr>
        <w:pStyle w:val="Heading2"/>
        <w:spacing w:after="120" w:before="300"/>
      </w:pPr>
      <w:r>
        <w:t xml:space="preserve">Pięć wyzwań logistyki napojów, na które odpowiadamy konkretnie</w:t>
      </w:r>
    </w:p>
    <w:p>
      <w:pPr>
        <w:spacing w:after="80"/>
      </w:pPr>
      <w:r>
        <w:t xml:space="preserve">Od skrzynek na piwo po systemy dystrybucyjne – pokazujemy, jak ograniczasz stłuczki i koszty w logistyce napojów.</w:t>
      </w:r>
    </w:p>
    <w:p>
      <w:pPr>
        <w:spacing w:after="80"/>
      </w:pPr>
      <w:r>
        <w:t xml:space="preserve">↓ przewiń kolejne wyzwania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Stłuczki butelek = realne koszty</w:t>
      </w:r>
    </w:p>
    <w:p>
      <w:pPr>
        <w:spacing w:after="80"/>
      </w:pPr>
      <w:r>
        <w:t xml:space="preserve">Uszkodzenia butelek podczas transportu i magazynowania generują wymierne koszty operacyjne związane ze stratami produktów, zakłóceniami procesów logistycznych oraz reklamacjami. Odpowiednio zaprojektowane skrzynki przegrodowe pomagają ograniczyć ryzyko takich uszkodzeń.</w:t>
      </w:r>
    </w:p>
    <w:p>
      <w:pPr>
        <w:spacing w:after="80"/>
      </w:pPr>
      <w:r>
        <w:t xml:space="preserve">20 butelek 0,33 l</w:t>
      </w:r>
    </w:p>
    <w:p>
      <w:pPr>
        <w:spacing w:after="80"/>
      </w:pPr>
      <w:r>
        <w:t xml:space="preserve">Skrzynka przegrodowa T-3</w:t>
      </w:r>
    </w:p>
    <w:p>
      <w:pPr>
        <w:spacing w:after="80"/>
      </w:pPr>
      <w:r>
        <w:t xml:space="preserve">ograniczenie kontaktu szkło–szkło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Kaucja konsumencka (od 1 października 2025 r.) – ryzyko operacyjne</w:t>
      </w:r>
    </w:p>
    <w:p>
      <w:pPr>
        <w:spacing w:after="80"/>
      </w:pPr>
      <w:r>
        <w:t xml:space="preserve">System kaucyjny zwiększa znaczenie sprawnego obiegu butelek zwrotnych. Trwałe oznakowanie skrzynek ułatwia ich identyfikację i zarządzanie logistyką.</w:t>
      </w:r>
    </w:p>
    <w:p>
      <w:pPr>
        <w:spacing w:after="80"/>
      </w:pPr>
      <w:r>
        <w:t xml:space="preserve">[Personalizacja i znakowanie]</w:t>
      </w:r>
    </w:p>
    <w:p>
      <w:pPr>
        <w:spacing w:after="80"/>
      </w:pPr>
      <w:r>
        <w:t xml:space="preserve">Personalizacja i znakowanie skrzynek</w:t>
      </w:r>
    </w:p>
    <w:p>
      <w:pPr>
        <w:spacing w:after="80"/>
      </w:pPr>
      <w:r>
        <w:t xml:space="preserve">pod system kaucyjny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ROP za napoje (rozszerzona odpowiedzialność producenta)</w:t>
      </w:r>
    </w:p>
    <w:p>
      <w:pPr>
        <w:spacing w:after="80"/>
      </w:pPr>
      <w:r>
        <w:t xml:space="preserve">Rozszerzona odpowiedzialność producenta zwiększa znaczenie projektowania opakowań pod kątem ich wielokrotnego wykorzystania i recyklingu. Skrzynki zwrotne mogą ograniczać zużycie opakowań jednorazowych oraz koszty eksploatacyjne w odpowiednio zorganizowanych systemach obiegu.</w:t>
      </w:r>
    </w:p>
    <w:p>
      <w:pPr>
        <w:spacing w:after="80"/>
      </w:pPr>
      <w:r>
        <w:t xml:space="preserve">04</w:t>
      </w:r>
    </w:p>
    <w:p>
      <w:pPr>
        <w:pStyle w:val="Heading3"/>
        <w:spacing w:after="100" w:before="240"/>
      </w:pPr>
      <w:r>
        <w:t xml:space="preserve">PPWR – cele ponownego użycia napojów 10% (2030) i 40% (2040)</w:t>
      </w:r>
    </w:p>
    <w:p>
      <w:pPr>
        <w:spacing w:after="80"/>
      </w:pPr>
      <w:r>
        <w:t xml:space="preserve">Art. 29 ust. 6 PPWR: cele ponownego użycia opakowań napojowych – 10% w 2030 r. i 40% w 2040 r. Wyłączenia obejmują m.in. mleko, wino i napoje spirytusowe.</w:t>
      </w:r>
    </w:p>
    <w:p>
      <w:pPr>
        <w:spacing w:after="80"/>
      </w:pPr>
      <w:r>
        <w:t xml:space="preserve">[Skrzynki przygotowane pod RFID]</w:t>
      </w:r>
    </w:p>
    <w:p>
      <w:pPr>
        <w:spacing w:after="80"/>
      </w:pPr>
      <w:r>
        <w:t xml:space="preserve">Skrzynki przygotowane pod RFID</w:t>
      </w:r>
    </w:p>
    <w:p>
      <w:pPr>
        <w:spacing w:after="80"/>
      </w:pPr>
      <w:r>
        <w:t xml:space="preserve">cyfrowy nośnik danych zgodnie z wymaganiami PPWR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05</w:t>
      </w:r>
    </w:p>
    <w:p>
      <w:pPr>
        <w:pStyle w:val="Heading3"/>
        <w:spacing w:after="100" w:before="240"/>
      </w:pPr>
      <w:r>
        <w:t xml:space="preserve">Transport międzymagazynowy DC → sklep</w:t>
      </w:r>
    </w:p>
    <w:p>
      <w:pPr>
        <w:spacing w:after="80"/>
      </w:pPr>
      <w:r>
        <w:t xml:space="preserve">PPWR przewiduje cele dotyczące opakowań transportowych wykorzystywanych w systemach zamkniętego obiegu. Wdrożenie rozwiązań wielokrotnego użytku wymaga odpowiedniego przygotowania procesów logistycznych przed rozpoczęciem obowiązywania nowych wymagań.</w:t>
      </w:r>
    </w:p>
    <w:p>
      <w:pPr>
        <w:spacing w:after="80"/>
      </w:pPr>
      <w:r>
        <w:t xml:space="preserve">[Systemy dystrybucyjne]</w:t>
      </w:r>
    </w:p>
    <w:p>
      <w:pPr>
        <w:spacing w:after="80"/>
      </w:pPr>
      <w:r>
        <w:t xml:space="preserve">Systemy dystrybucyjne</w:t>
      </w:r>
    </w:p>
    <w:p>
      <w:pPr>
        <w:spacing w:after="80"/>
      </w:pPr>
      <w:r>
        <w:t xml:space="preserve">skrzynki · palety</w:t>
      </w:r>
    </w:p>
    <w:p>
      <w:pPr>
        <w:spacing w:after="80"/>
      </w:pPr>
      <w:r>
        <w:t xml:space="preserve">zobacz produkt →</w:t>
      </w:r>
    </w:p>
    <w:p>
      <w:pPr>
        <w:spacing w:after="80"/>
      </w:pPr>
      <w:r>
        <w:t xml:space="preserve">PRODUKTY</w:t>
      </w:r>
    </w:p>
    <w:p>
      <w:pPr>
        <w:pStyle w:val="Heading2"/>
        <w:spacing w:after="120" w:before="300"/>
      </w:pPr>
      <w:r>
        <w:t xml:space="preserve">Skrzynki przegrodowe, palety i systemy dystrybucyjne</w:t>
      </w:r>
    </w:p>
    <w:p>
      <w:pPr>
        <w:spacing w:after="80"/>
      </w:pPr>
      <w:r>
        <w:t xml:space="preserve">[T-3 – 20 butelek 0,33 l]</w:t>
      </w:r>
    </w:p>
    <w:p>
      <w:pPr>
        <w:pStyle w:val="Heading4"/>
        <w:spacing w:after="80" w:before="180"/>
      </w:pPr>
      <w:r>
        <w:t xml:space="preserve">T-3</w:t>
      </w:r>
    </w:p>
    <w:p>
      <w:pPr>
        <w:spacing w:after="80"/>
      </w:pPr>
      <w:r>
        <w:t xml:space="preserve">skrzynka przegrodowa na 20 butelek 0,33 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Z1 – piwo</w:t>
      </w:r>
    </w:p>
    <w:p>
      <w:pPr>
        <w:spacing w:after="80"/>
      </w:pPr>
      <w:r>
        <w:t xml:space="preserve">20 butelek 0,5 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W2 – piwo</w:t>
      </w:r>
    </w:p>
    <w:p>
      <w:pPr>
        <w:spacing w:after="80"/>
      </w:pPr>
      <w:r>
        <w:t xml:space="preserve">20 butelek 0,5 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Z2 – piwo</w:t>
      </w:r>
    </w:p>
    <w:p>
      <w:pPr>
        <w:spacing w:after="80"/>
      </w:pPr>
      <w:r>
        <w:t xml:space="preserve">20 butelek 0,5 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Model A – woda</w:t>
      </w:r>
    </w:p>
    <w:p>
      <w:pPr>
        <w:spacing w:after="80"/>
      </w:pPr>
      <w:r>
        <w:t xml:space="preserve">12 butelek 0,75 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Model O – soki</w:t>
      </w:r>
    </w:p>
    <w:p>
      <w:pPr>
        <w:spacing w:after="80"/>
      </w:pPr>
      <w:r>
        <w:t xml:space="preserve">24 butelki 0,25 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Model D1 – wina</w:t>
      </w:r>
    </w:p>
    <w:p>
      <w:pPr>
        <w:spacing w:after="80"/>
      </w:pPr>
      <w:r>
        <w:t xml:space="preserve">20 butelek 0,33 l</w:t>
      </w:r>
    </w:p>
    <w:p>
      <w:pPr>
        <w:spacing w:after="80"/>
      </w:pPr>
      <w:r>
        <w:t xml:space="preserve">Zobacz serię →</w:t>
      </w:r>
    </w:p>
    <w:p>
      <w:pPr>
        <w:pStyle w:val="Heading4"/>
        <w:spacing w:after="80" w:before="180"/>
      </w:pPr>
      <w:r>
        <w:t xml:space="preserve">Palety Euro</w:t>
      </w:r>
    </w:p>
    <w:p>
      <w:pPr>
        <w:spacing w:after="80"/>
      </w:pPr>
      <w:r>
        <w:t xml:space="preserve">Bez obróbki ISPM-15</w:t>
      </w:r>
    </w:p>
    <w:p>
      <w:pPr>
        <w:spacing w:after="80"/>
      </w:pPr>
      <w:r>
        <w:t xml:space="preserve">Zobacz serię →</w:t>
      </w:r>
    </w:p>
    <w:p>
      <w:pPr>
        <w:spacing w:after="80"/>
      </w:pPr>
      <w:r>
        <w:t xml:space="preserve">PPWR · ZGODNOŚĆ</w:t>
      </w:r>
    </w:p>
    <w:p>
      <w:pPr>
        <w:pStyle w:val="Heading2"/>
        <w:spacing w:after="120" w:before="300"/>
      </w:pPr>
      <w:r>
        <w:t xml:space="preserve">PPWR dla branży napojowej – trzy regulacje, jeden plan</w:t>
      </w:r>
    </w:p>
    <w:p>
      <w:pPr>
        <w:spacing w:after="80"/>
      </w:pPr>
      <w:r>
        <w:t xml:space="preserve">Branża napojowa funkcjonuje obecnie w otoczeniu trzech istotnych zmian regulacyjnych: systemu kaucyjnego obowiązującego w Polsce od 1 października 2025 r., rozwijanych systemów rozszerzonej odpowiedzialności producenta (ROP) oraz wymagań wynikających z rozporządzenia (UE) 2025/40 (PPWR). Rozporządzenie weszło w życie 11 lutego 2025 r., a większość jego przepisów będzie stosowana od 12 sierpnia 2026 r.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Art. 29 ust. 6</w:t>
      </w:r>
    </w:p>
    <w:p>
      <w:pPr>
        <w:spacing w:after="80"/>
      </w:pPr>
      <w:r>
        <w:t xml:space="preserve">PPWR określa cele ponownego użycia opakowań napojowych, obejmujące m.in. poziom 10% do 2030 r. oraz 40% do 2040 r. dla kategorii opakowań objętych tym obowiązkiem. Z wymagań wyłączono m.in. mleko i produkty mleczne, wino, napoje spirytusowe oraz niektóre napoje łatwo psujące się.</w:t>
      </w:r>
    </w:p>
    <w:p>
      <w:pPr>
        <w:spacing w:after="80"/>
      </w:pPr>
      <w:r>
        <w:t xml:space="preserve">Art. 29 ust. 2</w:t>
      </w:r>
    </w:p>
    <w:p>
      <w:pPr>
        <w:spacing w:after="80"/>
      </w:pPr>
      <w:r>
        <w:t xml:space="preserve">Od 2030 r. PPWR przewiduje stosowanie opakowań wielokrotnego użytku w systemach obiegu zamkniętego pomiędzy zakładami tego samego przedsiębiorstwa lub przedsiębiorstw powiązanych. Rozwiązania takie jak skrzynki, palety i pojemniki wielokrotnego użytku ułatwiają spełnienie tych wymagań oraz usprawniają logistykę wewnętrzną.</w:t>
      </w:r>
    </w:p>
    <w:p>
      <w:pPr>
        <w:spacing w:after="80"/>
      </w:pPr>
      <w:r>
        <w:t xml:space="preserve">Art. 29 ust. 1</w:t>
      </w:r>
    </w:p>
    <w:p>
      <w:pPr>
        <w:spacing w:after="80"/>
      </w:pPr>
      <w:r>
        <w:t xml:space="preserve">PPWR określa cele dotyczące udziału opakowań transportowych wielokrotnego użytku stosowanych w relacjach B2B. Docelowy udział wynosi 40% do 2030 r. oraz 70% do 2040 r. dla podmiotów objętych tym obowiązkiem.</w:t>
      </w:r>
    </w:p>
    <w:p>
      <w:pPr>
        <w:spacing w:after="80"/>
      </w:pPr>
      <w:r>
        <w:t xml:space="preserve">Art. 50</w:t>
      </w:r>
    </w:p>
    <w:p>
      <w:pPr>
        <w:spacing w:after="80"/>
      </w:pPr>
      <w:r>
        <w:t xml:space="preserve">PPWR zobowiązuje państwa członkowskie do zapewnienia systemów kaucyjnych dla jednorazowych butelek z tworzyw sztucznych oraz puszek metalowych o pojemności do 3 litrów, chyba że spełnione są warunki zwolnienia określone w rozporządzeniu. Celem jest osiągnięcie 90% poziomu selektywnej zbiórki tych opakowań do 2029 r.</w:t>
      </w:r>
    </w:p>
    <w:p>
      <w:pPr>
        <w:spacing w:after="80"/>
      </w:pPr>
      <w:r>
        <w:t xml:space="preserve">NASTĘPNE KROKI</w:t>
      </w:r>
    </w:p>
    <w:p>
      <w:pPr>
        <w:pStyle w:val="Heading2"/>
        <w:spacing w:after="120" w:before="300"/>
      </w:pPr>
      <w:r>
        <w:t xml:space="preserve">Co możesz zrobić już teraz</w:t>
      </w:r>
    </w:p>
    <w:p>
      <w:pPr>
        <w:pBdr>
          <w:left w:val="single" w:color="65B32E" w:sz="12"/>
        </w:pBdr>
        <w:spacing w:after="40" w:before="160"/>
        <w:ind w:left="420"/>
      </w:pPr>
      <w:r>
        <w:rPr>
          <w:i/>
          <w:iCs/>
        </w:rPr>
        <w:t xml:space="preserve">Branża napojowa funkcjonuje obecnie w otoczeniu trzech istotnych zmian regulacyjnych – systemu kaucyjnego obowiązującego w Polsce od 1 października 2025 r., rozwijanych systemów rozszerzonej odpowiedzialności producenta (ROP) oraz wymagań PPWR dotyczących ponownego użycia opakowań. Rozporządzenie (UE) 2025/40 wyznacza cele ponownego użycia opakowań napojowych oraz opakowań transportowych, które będą stopniowo obowiązywać od 2030 r.</w:t>
      </w:r>
    </w:p>
    <w:p>
      <w:pPr>
        <w:spacing w:after="140"/>
        <w:ind w:left="420"/>
      </w:pPr>
      <w:r>
        <w:rPr>
          <w:i/>
          <w:iCs/>
          <w:color w:val="666666"/>
          <w:sz w:val="18"/>
          <w:szCs w:val="18"/>
        </w:rPr>
        <w:t xml:space="preserve">zgodnie z rozporządzeniem (UE) 2025/40 Parlamentu Europejskiego i Rady z dnia 19 grudnia 2024 r. w sprawie opakowań i odpadów opakowaniowych (PPWR)</w:t>
      </w:r>
    </w:p>
    <w:p>
      <w:pPr>
        <w:spacing w:after="80"/>
      </w:pPr>
      <w:r>
        <w:t xml:space="preserve">01</w:t>
      </w:r>
    </w:p>
    <w:p>
      <w:pPr>
        <w:pStyle w:val="Heading3"/>
        <w:spacing w:after="100" w:before="240"/>
      </w:pPr>
      <w:r>
        <w:t xml:space="preserve">Przeprowadź audyt PPWR</w:t>
      </w:r>
    </w:p>
    <w:p>
      <w:pPr>
        <w:spacing w:after="80"/>
      </w:pPr>
      <w:r>
        <w:t xml:space="preserve">Sprawdź gotowość browaru, mleczarni lub rozlewni w kilka minut.</w:t>
      </w:r>
    </w:p>
    <w:p>
      <w:pPr>
        <w:spacing w:after="80"/>
      </w:pPr>
      <w:r>
        <w:t xml:space="preserve">Przejdź do audytu →</w:t>
      </w:r>
    </w:p>
    <w:p>
      <w:pPr>
        <w:spacing w:after="80"/>
      </w:pPr>
      <w:r>
        <w:t xml:space="preserve">02</w:t>
      </w:r>
    </w:p>
    <w:p>
      <w:pPr>
        <w:pStyle w:val="Heading3"/>
        <w:spacing w:after="100" w:before="240"/>
      </w:pPr>
      <w:r>
        <w:t xml:space="preserve">Oblicz koszt PPWR</w:t>
      </w:r>
    </w:p>
    <w:p>
      <w:pPr>
        <w:spacing w:after="80"/>
      </w:pPr>
      <w:r>
        <w:t xml:space="preserve">Wpisz skalę produkcji (hl/rok) i porównaj opakowania jednorazowe ze skrzynkami zwrotnymi.</w:t>
      </w:r>
    </w:p>
    <w:p>
      <w:pPr>
        <w:spacing w:after="80"/>
      </w:pPr>
      <w:r>
        <w:t xml:space="preserve">Otwórz kalkulator →</w:t>
      </w:r>
    </w:p>
    <w:p>
      <w:pPr>
        <w:spacing w:after="80"/>
      </w:pPr>
      <w:r>
        <w:t xml:space="preserve">03</w:t>
      </w:r>
    </w:p>
    <w:p>
      <w:pPr>
        <w:pStyle w:val="Heading3"/>
        <w:spacing w:after="100" w:before="240"/>
      </w:pPr>
      <w:r>
        <w:t xml:space="preserve">Zapytaj eksperta</w:t>
      </w:r>
    </w:p>
    <w:p>
      <w:pPr>
        <w:spacing w:after="80"/>
      </w:pPr>
      <w:r>
        <w:t xml:space="preserve">Porozmawiaj o PPWR w branży napojów.</w:t>
      </w:r>
    </w:p>
    <w:p>
      <w:pPr>
        <w:spacing w:after="80"/>
      </w:pPr>
      <w:r>
        <w:t xml:space="preserve">Umów rozmowę →</w:t>
      </w:r>
    </w:p>
    <w:p>
      <w:pPr>
        <w:spacing w:after="80"/>
      </w:pPr>
      <w:r>
        <w:t xml:space="preserve">→ przewiń w poziomie, aby odsłonić kolejne kroki</w:t>
      </w:r>
    </w:p>
    <w:p>
      <w:pPr>
        <w:spacing w:after="80"/>
      </w:pPr>
      <w:r>
        <w:t xml:space="preserve">Case Studies</w:t>
      </w:r>
    </w:p>
    <w:p>
      <w:pPr>
        <w:pStyle w:val="Heading2"/>
        <w:spacing w:after="120" w:before="300"/>
      </w:pPr>
      <w:r>
        <w:t xml:space="preserve">Opakowania wielokrotnego użytku we wdrożeniach bekuplast</w:t>
      </w:r>
    </w:p>
    <w:p>
      <w:pPr>
        <w:spacing w:after="80"/>
      </w:pPr>
      <w:r>
        <w:t xml:space="preserve">Każde wdrożenie to osobna historia naszego Klienta. Indywidualne wymagania, do których dopasowujemy optymalne rozwiązania.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ROSSMANN</w:t>
      </w:r>
    </w:p>
    <w:p>
      <w:pPr>
        <w:spacing w:after="80"/>
      </w:pPr>
      <w:r>
        <w:t xml:space="preserve">Intralogistyka sieci drogerii (DE) – pojemniki obiegowe w magazynie centralnym.</w:t>
      </w:r>
    </w:p>
    <w:p>
      <w:pPr>
        <w:spacing w:after="80"/>
      </w:pPr>
      <w:r>
        <w:t xml:space="preserve">2025 160 000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Orbico</w:t>
      </w:r>
    </w:p>
    <w:p>
      <w:pPr>
        <w:spacing w:after="80"/>
      </w:pPr>
      <w:r>
        <w:t xml:space="preserve">Dystrybucja beauty i FMCG (PL) – pojemniki zwrotne (contecline) w kompletacji zamówień.</w:t>
      </w:r>
    </w:p>
    <w:p>
      <w:pPr>
        <w:spacing w:after="80"/>
      </w:pPr>
      <w:r>
        <w:t xml:space="preserve">2023 46 000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Onninen</w:t>
      </w:r>
    </w:p>
    <w:p>
      <w:pPr>
        <w:spacing w:after="80"/>
      </w:pPr>
      <w:r>
        <w:t xml:space="preserve">Dystrybucja materiałów budowlanych (PL) – pojemniki contecline (projekt DOMINO).</w:t>
      </w:r>
    </w:p>
    <w:p>
      <w:pPr>
        <w:spacing w:after="80"/>
      </w:pPr>
      <w:r>
        <w:t xml:space="preserve">2019 40 000 pojemników</w:t>
      </w:r>
    </w:p>
    <w:p>
      <w:pPr>
        <w:spacing w:after="80"/>
      </w:pPr>
      <w:r>
        <w:t xml:space="preserve">[foto wdrożenia]</w:t>
      </w:r>
    </w:p>
    <w:p>
      <w:pPr>
        <w:spacing w:after="80"/>
      </w:pPr>
      <w:r>
        <w:t xml:space="preserve">Auto Partner SA</w:t>
      </w:r>
    </w:p>
    <w:p>
      <w:pPr>
        <w:spacing w:after="80"/>
      </w:pPr>
      <w:r>
        <w:t xml:space="preserve">Dystrybucja części samochodowych (PL) – obieg zwrotny (contecline + silverline) w centrum dystrybucyjnym.</w:t>
      </w:r>
    </w:p>
    <w:p>
      <w:pPr>
        <w:spacing w:after="80"/>
      </w:pPr>
      <w:r>
        <w:t xml:space="preserve">2022 27 000 pojemników</w:t>
      </w:r>
    </w:p>
    <w:p>
      <w:pPr>
        <w:spacing w:after="80"/>
      </w:pPr>
      <w:r>
        <w:t xml:space="preserve">‹ ›</w:t>
      </w:r>
    </w:p>
    <w:p>
      <w:pPr>
        <w:spacing w:after="80"/>
      </w:pPr>
      <w:r>
        <w:t xml:space="preserve">KOSZT PPWR</w:t>
      </w:r>
    </w:p>
    <w:p>
      <w:pPr>
        <w:pStyle w:val="Heading2"/>
        <w:spacing w:after="120" w:before="300"/>
      </w:pPr>
      <w:r>
        <w:t xml:space="preserve">Koszt przejścia na opakowania wielokrotnego użytku</w:t>
      </w:r>
    </w:p>
    <w:p>
      <w:pPr>
        <w:spacing w:after="80"/>
      </w:pPr>
      <w:r>
        <w:t xml:space="preserve">Wpisz skalę produkcji (hl/rok) i porównaj koszt opakowań jednorazowych ze skrzynkami zwrotnymi – kalkulator pokaże orientacyjny próg rentowności i strukturę emisji CO₂ dla branży napojów.</w:t>
      </w:r>
    </w:p>
    <w:p>
      <w:pPr>
        <w:spacing w:after="80"/>
      </w:pPr>
      <w:r>
        <w:t xml:space="preserve">Oblicz koszt PPWR w 2 min.</w:t>
      </w:r>
    </w:p>
    <w:p>
      <w:pPr>
        <w:spacing w:after="80"/>
      </w:pPr>
      <w:r>
        <w:t xml:space="preserve">Kalkulator kosztu PPWR</w:t>
      </w:r>
    </w:p>
    <w:p>
      <w:pPr>
        <w:spacing w:after="80"/>
      </w:pPr>
      <w:r>
        <w:t xml:space="preserve">POWIĄZANE</w:t>
      </w:r>
    </w:p>
    <w:p>
      <w:pPr>
        <w:pStyle w:val="Heading2"/>
        <w:spacing w:after="120" w:before="300"/>
      </w:pPr>
      <w:r>
        <w:t xml:space="preserve">Może Cię też zainteresować</w:t>
      </w:r>
    </w:p>
    <w:p>
      <w:pPr>
        <w:pStyle w:val="Heading4"/>
        <w:spacing w:after="80" w:before="180"/>
      </w:pPr>
      <w:r>
        <w:t xml:space="preserve">Handel detaliczny i FMCG</w:t>
      </w:r>
    </w:p>
    <w:p>
      <w:pPr>
        <w:spacing w:after="80"/>
      </w:pPr>
      <w:r>
        <w:t xml:space="preserve">Sieci handlowe detaliczne są ważnym odbiorcą w łańcuchu napojów. Systemy transportowe DC → sklep.</w:t>
      </w:r>
    </w:p>
    <w:p>
      <w:pPr>
        <w:spacing w:after="80"/>
      </w:pPr>
      <w:r>
        <w:t xml:space="preserve">Zobacz więcej</w:t>
      </w:r>
    </w:p>
    <w:p>
      <w:pPr>
        <w:pStyle w:val="Heading4"/>
        <w:spacing w:after="80" w:before="180"/>
      </w:pPr>
      <w:r>
        <w:t xml:space="preserve">Przetwórstwo żywności</w:t>
      </w:r>
    </w:p>
    <w:p>
      <w:pPr>
        <w:spacing w:after="80"/>
      </w:pPr>
      <w:r>
        <w:t xml:space="preserve">Mleczarnie i piekarnie korzystają z podobnych systemów opakowań z materiałów dopuszczonych do kontaktu z żywnością.</w:t>
      </w:r>
    </w:p>
    <w:p>
      <w:pPr>
        <w:spacing w:after="80"/>
      </w:pPr>
      <w:r>
        <w:t xml:space="preserve">Zobacz więcej</w:t>
      </w:r>
    </w:p>
    <w:p>
      <w:pPr>
        <w:pStyle w:val="Heading4"/>
        <w:spacing w:after="80" w:before="180"/>
      </w:pPr>
      <w:r>
        <w:t xml:space="preserve">Logistyka i transport (3PL)</w:t>
      </w:r>
    </w:p>
    <w:p>
      <w:pPr>
        <w:spacing w:after="80"/>
      </w:pPr>
      <w:r>
        <w:t xml:space="preserve">Operatorzy logistyczni (3PL) obsługujący transport międzymagazynowy napojów.</w:t>
      </w:r>
    </w:p>
    <w:p>
      <w:pPr>
        <w:spacing w:after="80"/>
      </w:pPr>
      <w:r>
        <w:t xml:space="preserve">Zobacz więcej</w:t>
      </w:r>
    </w:p>
    <w:p>
      <w:pPr>
        <w:spacing w:after="80"/>
      </w:pPr>
      <w:r>
        <w:t xml:space="preserve">FAQ</w:t>
      </w:r>
    </w:p>
    <w:p>
      <w:pPr>
        <w:pStyle w:val="Heading2"/>
        <w:spacing w:after="120" w:before="300"/>
      </w:pPr>
      <w:r>
        <w:t xml:space="preserve">Najczęściej zadawane pytania</w:t>
      </w:r>
    </w:p>
    <w:p>
      <w:pPr>
        <w:spacing w:after="80"/>
      </w:pPr>
      <w:r>
        <w:t xml:space="preserve">↓ przewiń pytania</w:t>
      </w:r>
    </w:p>
    <w:p>
      <w:pPr>
        <w:spacing w:after="60" w:before="200"/>
      </w:pPr>
      <w:r>
        <w:rPr>
          <w:b/>
          <w:bCs/>
        </w:rPr>
        <w:t xml:space="preserve">Czym różni się skrzynka przegrodowa od zwykłej skrzynki transportowej?</w:t>
      </w:r>
    </w:p>
    <w:p>
      <w:pPr>
        <w:spacing w:after="80"/>
      </w:pPr>
      <w:r>
        <w:t xml:space="preserve">Skrzynka przegrodowa posiada indywidualne komory dla każdej butelki, dopasowane do jej kształtu. Ogranicza kontakt szkła ze szkłem, zmniejszając ryzyko uszkodzeń podczas transportu i magazynowania.</w:t>
      </w:r>
    </w:p>
    <w:p>
      <w:pPr>
        <w:spacing w:after="60" w:before="200"/>
      </w:pPr>
      <w:r>
        <w:rPr>
          <w:b/>
          <w:bCs/>
        </w:rPr>
        <w:t xml:space="preserve">Ile cykli rotacji wytrzymuje skrzynka na piwo bekuplast?</w:t>
      </w:r>
    </w:p>
    <w:p>
      <w:pPr>
        <w:spacing w:after="80"/>
      </w:pPr>
      <w:r>
        <w:t xml:space="preserve">Skrzynki klasy przemysłowej są przystosowane do wielokrotnej rotacji przez wiele lat eksploatacji (dokładna liczba cykli zależy od intensywności użytkowania).</w:t>
      </w:r>
    </w:p>
    <w:p>
      <w:pPr>
        <w:spacing w:after="60" w:before="200"/>
      </w:pPr>
      <w:r>
        <w:rPr>
          <w:b/>
          <w:bCs/>
        </w:rPr>
        <w:t xml:space="preserve">Jakie obowiązki dla branży napojów wynikają z PPWR od 12 sierpnia 2026 r.?</w:t>
      </w:r>
    </w:p>
    <w:p>
      <w:pPr>
        <w:spacing w:after="80"/>
      </w:pPr>
      <w:r>
        <w:t xml:space="preserve">PPWR stosuje się od 12 sierpnia 2026 r., a kluczowe cele wchodzą później: art. 29 ust. 6 (cele ponownego użycia opakowań napojowych – 10% w 2030 r., 40% w 2040 r.) oraz art. 29 ust. 2 (od 2030 r. opakowania transportowe w obiegu między zakładami tego samego przedsiębiorstwa lub przedsiębiorstw powiązanych będą opakowaniami wielokrotnego użytku). PPWR przewiduje też docelowo unijny system kaucyjny dla jednorazowych butelek PET i puszek.</w:t>
      </w:r>
    </w:p>
    <w:p>
      <w:pPr>
        <w:spacing w:after="60" w:before="200"/>
      </w:pPr>
      <w:r>
        <w:rPr>
          <w:b/>
          <w:bCs/>
        </w:rPr>
        <w:t xml:space="preserve">Czy mogę zamówić skrzynkę na butelkę niestandardową (np. o nietypowym kształcie)?</w:t>
      </w:r>
    </w:p>
    <w:p>
      <w:pPr>
        <w:spacing w:after="80"/>
      </w:pPr>
      <w:r>
        <w:t xml:space="preserve">Tak – robimy skrzynki indywidualne z dopasowanymi przegrodami. Produkcja na indywidualne zamówienie – minimalną wielkość zamówienia i czas realizacji ustalamy indywidualnie.</w:t>
      </w:r>
    </w:p>
    <w:p>
      <w:pPr>
        <w:spacing w:after="60" w:before="200"/>
      </w:pPr>
      <w:r>
        <w:rPr>
          <w:b/>
          <w:bCs/>
        </w:rPr>
        <w:t xml:space="preserve">Jak wygląda znakowanie skrzynek dla systemu kaucji konsumenckiej?</w:t>
      </w:r>
    </w:p>
    <w:p>
      <w:pPr>
        <w:spacing w:after="80"/>
      </w:pPr>
      <w:r>
        <w:t xml:space="preserve">Oferujemy znakowanie skrzynek oraz personalizację (m.in. kolor i nadruk). Szczegółowe metody i opcje kodowania dobieramy do potrzeb.</w:t>
      </w:r>
    </w:p>
    <w:p>
      <w:pPr>
        <w:spacing w:after="60" w:before="200"/>
      </w:pPr>
      <w:r>
        <w:rPr>
          <w:b/>
          <w:bCs/>
        </w:rPr>
        <w:t xml:space="preserve">Czy mogę porównać koszt skrzynek zwrotnych vs jednorazowych kartonów dla mojego browaru?</w:t>
      </w:r>
    </w:p>
    <w:p>
      <w:pPr>
        <w:spacing w:after="80"/>
      </w:pPr>
      <w:r>
        <w:t xml:space="preserve">Tak – mamy kalkulator kosztu PPWR przygotowany dla branży napojów. Wpisujesz skalę produkcji (hl/rok) i otrzymujesz orientacyjny próg rentowności, redukcję CO₂ oraz polecane produkty.</w:t>
      </w:r>
    </w:p>
    <w:p>
      <w:pPr>
        <w:spacing w:after="60" w:before="200"/>
      </w:pPr>
      <w:r>
        <w:rPr>
          <w:b/>
          <w:bCs/>
        </w:rPr>
        <w:t xml:space="preserve">Co z paletami drewnianymi EPAL – czy muszę je wymienić na plastikowe?</w:t>
      </w:r>
    </w:p>
    <w:p>
      <w:pPr>
        <w:spacing w:after="80"/>
      </w:pPr>
      <w:r>
        <w:t xml:space="preserve">PPWR nie zakazuje palet EPAL. To dwa odrębne tematy. Palety drewniane w eksporcie poza UE podlegają normie fitosanitarnej ISPM-15, która wymaga obróbki termicznej (rdzeń drewna min. 56°C przez 30 minut) albo fumigacji bromkiem metylu – to nie jest impregnacja PFAS. Z kolei ograniczenie PFAS z art. 5 PPWR (od 12 sierpnia 2026 r.) dotyczy wyłącznie opakowań mających kontakt z żywnością, nie obróbki palet (PFAS to nie pestycydy). Palety z tworzywa (HDPE) nie podlegają ISPM-15 – odpada powracający koszt obróbki i certyfikacji każdej palety.</w:t>
      </w:r>
    </w:p>
    <w:p>
      <w:pPr>
        <w:spacing w:after="60" w:before="200"/>
      </w:pPr>
      <w:r>
        <w:rPr>
          <w:b/>
          <w:bCs/>
        </w:rPr>
        <w:t xml:space="preserve">Jakie są warunki współpracy?</w:t>
      </w:r>
    </w:p>
    <w:p>
      <w:pPr>
        <w:spacing w:after="80"/>
      </w:pPr>
      <w:r>
        <w:t xml:space="preserve">Warunki współpracy (minimalna wielkość zamówienia, czas realizacji i dostawy) ustalamy indywidualnie w zależności od produktu i skali zamówienia.</w:t>
      </w:r>
    </w:p>
    <w:p>
      <w:pPr>
        <w:spacing w:after="80"/>
      </w:pPr>
      <w:r>
        <w:t xml:space="preserve">KONTAKT</w:t>
      </w:r>
    </w:p>
    <w:p>
      <w:pPr>
        <w:pStyle w:val="Heading2"/>
        <w:spacing w:after="120" w:before="300"/>
      </w:pPr>
      <w: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Możliwość pozyskania próbek produktów</w:t>
      </w:r>
    </w:p>
    <w:p>
      <w:pPr>
        <w:pStyle w:val="Heading3"/>
        <w:spacing w:after="100" w:before="240"/>
      </w:pPr>
      <w:r>
        <w:t xml:space="preserve">Pozostaw dane kontaktowe</w:t>
      </w:r>
    </w:p>
    <w:p>
      <w:pPr>
        <w:spacing w:after="80"/>
      </w:pPr>
      <w:r>
        <w:t xml:space="preserve">[pole: Twoje imię i nazwisko] Imię i nazwisko</w:t>
      </w:r>
    </w:p>
    <w:p>
      <w:pPr>
        <w:spacing w:after="80"/>
      </w:pPr>
      <w:r>
        <w:t xml:space="preserve">[pole: Nazwa firmy] Firma</w:t>
      </w:r>
    </w:p>
    <w:p>
      <w:pPr>
        <w:spacing w:after="80"/>
      </w:pPr>
      <w:r>
        <w:t xml:space="preserve">[pole: Adres e-mail] E-mail</w:t>
      </w:r>
    </w:p>
    <w:p>
      <w:pPr>
        <w:spacing w:after="80"/>
      </w:pPr>
      <w:r>
        <w:t xml:space="preserve">[pole: Numer telefonu] Telefon</w:t>
      </w:r>
    </w:p>
    <w:p>
      <w:pPr>
        <w:spacing w:after="80"/>
      </w:pPr>
      <w:r>
        <w:t xml:space="preserve">Wyrażam zgodę na przetwarzanie danych osobowych i potwierdzam, że zapoznałem/am się z dotyczącą zasad ich przetwarzania. Polityką prywatności</w:t>
      </w:r>
    </w:p>
    <w:p>
      <w:pPr>
        <w:spacing w:after="80"/>
      </w:pPr>
      <w:r>
        <w:t xml:space="preserve">Proszę o kontakt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2026-07-17T11:40:20.996Z</dcterms:created>
  <dcterms:modified xsi:type="dcterms:W3CDTF">2026-07-17T11:40:20.996Z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