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Strona 04 – Farmacja i kosmetyki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Treść makiety – wersja v14 (16.07.2026) · do recenzji</w:t>
      </w:r>
    </w:p>
    <w:p>
      <w:pPr>
        <w:spacing w:after="240"/>
      </w:pPr>
      <w:r>
        <w:rPr>
          <w:color w:val="444444"/>
          <w:sz w:val="20"/>
          <w:szCs w:val="20"/>
        </w:rPr>
        <w:t xml:space="preserve">Wersja uwzględnia uwagi z 7.07.2026 (arkusz decyzji + zestawienia uwag + zasady z korespondencji). Prosimy o nanoszenie komentarzy bezpośrednio w tym dokumencie.</w:t>
      </w:r>
    </w:p>
    <w:p>
      <w:pPr>
        <w:spacing w:after="80"/>
      </w:pPr>
      <w:r>
        <w:t xml:space="preserve">Wyszukiwarka Lista ofert Porównanie Zapytaj AI PL</w:t>
      </w:r>
    </w:p>
    <w:p>
      <w:pPr>
        <w:spacing w:after="80"/>
      </w:pPr>
      <w:r>
        <w:t xml:space="preserve">Produkty Branże Serwis Aktualności Firma Kontakt z nami</w:t>
      </w:r>
    </w:p>
    <w:p>
      <w:pPr>
        <w:pStyle w:val="Heading1"/>
        <w:spacing w:after="140" w:before="320"/>
      </w:pPr>
      <w:r>
        <w:t xml:space="preserve">Opakowania farmaceutyczne i kosmetyczne</w:t>
      </w:r>
    </w:p>
    <w:p>
      <w:pPr>
        <w:spacing w:after="80"/>
      </w:pPr>
      <w:r>
        <w:t xml:space="preserve">Opakowania wielokrotnego użytku dla farmacji i kosmetyków: pojemniki ESD EURO-NORM, pojemniki ALC tradeline dla obiegu zwrotnego farmacji i drogerii oraz pojemniki transportowe dla chemii kosmetycznej.</w:t>
      </w:r>
    </w:p>
    <w:p>
      <w:pPr>
        <w:spacing w:after="80"/>
      </w:pPr>
      <w:r>
        <w:t xml:space="preserve">Zapytaj eksperta Przeprowadź audyt PPWR</w:t>
      </w:r>
    </w:p>
    <w:p>
      <w:pPr>
        <w:spacing w:after="80"/>
      </w:pPr>
      <w:r>
        <w:t xml:space="preserve">Ilustracja / foto produktów</w:t>
      </w:r>
    </w:p>
    <w:p>
      <w:pPr>
        <w:spacing w:after="80"/>
      </w:pPr>
      <w:r>
        <w:t xml:space="preserve">Strona główna Rozwiązania branżowe › › Farmacja i kosmetyki</w:t>
      </w:r>
    </w:p>
    <w:p>
      <w:pPr>
        <w:spacing w:after="80"/>
      </w:pPr>
      <w:r>
        <w:t xml:space="preserve">▶ Wideo / animacja zapętlona (mute, autoplay) – produkty w cyklu ponownego użycia</w:t>
      </w:r>
    </w:p>
    <w:p>
      <w:pPr>
        <w:spacing w:after="80"/>
      </w:pPr>
      <w:r>
        <w:t xml:space="preserve">NAJWAŻNIEJSZE</w:t>
      </w:r>
    </w:p>
    <w:p>
      <w:pPr>
        <w:pStyle w:val="Heading2"/>
        <w:spacing w:after="120" w:before="300"/>
      </w:pPr>
      <w:r>
        <w:t xml:space="preserve">Kluczowe wnioski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PPWR przewiduje cele ponownego użycia dla opakowań transportowych stosowanych w branży kosmetycznej – w kosmetyce kontraktowej i dystrybucji do handlu – a nie dla samych produktów kosmetycznych: co najmniej 40% w 2030 r. i 70% w 2040 r. (art. 29 ust. 1). Kosmetyki: cele dotyczą opakowań transportowych.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unijny próg redukcji odpadów opakowaniowych (−10% na mieszkańca względem 2018 r., art. 43) – dotyczy wszystkich sektorów. Rok 2035 to nie wyłączenie farmacji.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PPWR przewiduje, że od 2030 r. opakowania transportowe w obiegu między zakładami tego samego przedsiębiorstwa lub przedsiębiorstw powiązanych będą opakowaniami wielokrotnego użytku (art. 29 ust. 2). Obieg wewnątrz firmy od 2030 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bekuplast produkuje pojemniki EURO-NORM ESD (materiał PP-ESD trwale rozpraszający ładunki elektrostatyczne) – stosowane tam, gdzie transportuje się komponenty wrażliwe na wyładowania elektrostatyczne, m.in. w diagnostyce, urządzeniach medycznych i sensorach. ESD rośnie razem z med-techem.</w:t>
      </w:r>
    </w:p>
    <w:p>
      <w:pPr>
        <w:spacing w:after="80"/>
      </w:pPr>
      <w:r>
        <w:t xml:space="preserve">WYZWANIA</w:t>
      </w:r>
    </w:p>
    <w:p>
      <w:pPr>
        <w:pStyle w:val="Heading2"/>
        <w:spacing w:after="120" w:before="300"/>
      </w:pPr>
      <w:r>
        <w:t xml:space="preserve">Trzy wyzwania farmacji i kosmetyki kontraktowej</w:t>
      </w:r>
    </w:p>
    <w:p>
      <w:pPr>
        <w:spacing w:after="80"/>
      </w:pPr>
      <w:r>
        <w:t xml:space="preserve">Farmacja i kosmetyka kontraktowa potrzebują opakowań łączących odpowiednie materiały do kontaktu, ochronę ESD i zgodność z PPWR w logistyce transportowej.</w:t>
      </w:r>
    </w:p>
    <w:p>
      <w:pPr>
        <w:spacing w:after="80"/>
      </w:pPr>
      <w:r>
        <w:t xml:space="preserve">↓ przewiń kolejne wyzwania</w:t>
      </w:r>
    </w:p>
    <w:p>
      <w:pPr>
        <w:spacing w:after="80"/>
      </w:pPr>
      <w:r>
        <w:t xml:space="preserve">01</w:t>
      </w:r>
    </w:p>
    <w:p>
      <w:pPr>
        <w:pStyle w:val="Heading3"/>
        <w:spacing w:after="100" w:before="240"/>
      </w:pPr>
      <w:r>
        <w:t xml:space="preserve">Materiały do kontaktu</w:t>
      </w:r>
    </w:p>
    <w:p>
      <w:pPr>
        <w:spacing w:after="80"/>
      </w:pPr>
      <w:r>
        <w:t xml:space="preserve">Farmacja i kosmetyka kontraktowa wymagają opakowań transportowych o potwierdzonym składzie materiałowym. Materiał dobieramy do zastosowania: dla wybranych serii stosujemy HDPE dopuszczony do kontaktu z żywnością – materiał zgodny z wymaganiami rozporządzenia (UE) nr 10/2011. Rozporządzenie to dotyczy materiałów do kontaktu z żywnością (nie jest standardem farmaceutycznym); zgodność potwierdzamy deklaracją zgodności dla konkretnego wyrobu.</w:t>
      </w:r>
    </w:p>
    <w:p>
      <w:pPr>
        <w:spacing w:after="80"/>
      </w:pPr>
      <w:r>
        <w:t xml:space="preserve">[basicline]</w:t>
      </w:r>
    </w:p>
    <w:p>
      <w:pPr>
        <w:spacing w:after="80"/>
      </w:pPr>
      <w:r>
        <w:t xml:space="preserve">basicline</w:t>
      </w:r>
    </w:p>
    <w:p>
      <w:pPr>
        <w:spacing w:after="80"/>
      </w:pPr>
      <w:r>
        <w:t xml:space="preserve">Uniwersalne pojemniki transportowe dla kosmetyków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02</w:t>
      </w:r>
    </w:p>
    <w:p>
      <w:pPr>
        <w:pStyle w:val="Heading3"/>
        <w:spacing w:after="100" w:before="240"/>
      </w:pPr>
      <w:r>
        <w:t xml:space="preserve">ESD dla urządzeń medycznych i diagnostyki</w:t>
      </w:r>
    </w:p>
    <w:p>
      <w:pPr>
        <w:spacing w:after="80"/>
      </w:pPr>
      <w:r>
        <w:t xml:space="preserve">Sektor med-tech (diagnostyka, urządzenia monitorujące, sensory) szybko rośnie. Wymagania ESD w med-techu są zbliżone do elektroniki – materiał PP-ESD trwale rozprasza ładunki elektrostatyczne i chroni komponenty wrażliwe. Pojemniki EURO-NORM ESD.</w:t>
      </w:r>
    </w:p>
    <w:p>
      <w:pPr>
        <w:spacing w:after="80"/>
      </w:pPr>
      <w:r>
        <w:t xml:space="preserve">[EURO-NORM ESD]</w:t>
      </w:r>
    </w:p>
    <w:p>
      <w:pPr>
        <w:spacing w:after="80"/>
      </w:pPr>
      <w:r>
        <w:t xml:space="preserve">Pojemnik EURO-NORM ESD</w:t>
      </w:r>
    </w:p>
    <w:p>
      <w:pPr>
        <w:spacing w:after="80"/>
      </w:pPr>
      <w:r>
        <w:t xml:space="preserve">IEC 61340-5-1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03</w:t>
      </w:r>
    </w:p>
    <w:p>
      <w:pPr>
        <w:pStyle w:val="Heading3"/>
        <w:spacing w:after="100" w:before="240"/>
      </w:pPr>
      <w:r>
        <w:t xml:space="preserve">Cele ponownego użycia w transporcie i dystrybucji</w:t>
      </w:r>
    </w:p>
    <w:p>
      <w:pPr>
        <w:spacing w:after="80"/>
      </w:pPr>
      <w:r>
        <w:t xml:space="preserve">PPWR przewiduje cele ponownego użycia dla opakowań transportowych – w logistyce farmaceutycznej i w dystrybucji kosmetyków tak samo jak w innych branżach: co najmniej 40% w 2030 r. i 70% w 2040 r. (art. 29 ust. 1); opakowania zbiorcze mają osobny cel 10% w 2030 r. i 25% w 2040 r. (art. 29 ust. 5). Pojemniki zwrotne ESD oraz ALC tradeline wspierają obieg zwrotny farmacji i drogerii.</w:t>
      </w:r>
    </w:p>
    <w:p>
      <w:pPr>
        <w:spacing w:after="80"/>
      </w:pPr>
      <w:r>
        <w:t xml:space="preserve">[AL643G]</w:t>
      </w:r>
    </w:p>
    <w:p>
      <w:pPr>
        <w:spacing w:after="80"/>
      </w:pPr>
      <w:r>
        <w:t xml:space="preserve">ALC tradeline AL643G</w:t>
      </w:r>
    </w:p>
    <w:p>
      <w:pPr>
        <w:spacing w:after="80"/>
      </w:pPr>
      <w:r>
        <w:t xml:space="preserve">Obieg zwrotny farmacji i drogerii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PRODUKTY</w:t>
      </w:r>
    </w:p>
    <w:p>
      <w:pPr>
        <w:pStyle w:val="Heading2"/>
        <w:spacing w:after="120" w:before="300"/>
      </w:pPr>
      <w:r>
        <w:t xml:space="preserve">Pojemniki ESD i rozwiązania transportowe</w:t>
      </w:r>
    </w:p>
    <w:p>
      <w:pPr>
        <w:spacing w:after="80"/>
      </w:pPr>
      <w:r>
        <w:t xml:space="preserve">[AL643G]</w:t>
      </w:r>
    </w:p>
    <w:p>
      <w:pPr>
        <w:pStyle w:val="Heading4"/>
        <w:spacing w:after="80" w:before="180"/>
      </w:pPr>
      <w:r>
        <w:t xml:space="preserve">ALC tradeline AL643G</w:t>
      </w:r>
    </w:p>
    <w:p>
      <w:pPr>
        <w:spacing w:after="80"/>
      </w:pPr>
      <w:r>
        <w:t xml:space="preserve">ALC tradeline dla obiegu zwrotnego farmacji i drogerii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EURO-NORM ESD</w:t>
      </w:r>
    </w:p>
    <w:p>
      <w:pPr>
        <w:spacing w:after="80"/>
      </w:pPr>
      <w:r>
        <w:t xml:space="preserve">PP-ESD · trwałe rozpraszanie ładunków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basicline</w:t>
      </w:r>
    </w:p>
    <w:p>
      <w:pPr>
        <w:spacing w:after="80"/>
      </w:pPr>
      <w:r>
        <w:t xml:space="preserve">Uniwersalne dla kosmetyków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lightline</w:t>
      </w:r>
    </w:p>
    <w:p>
      <w:pPr>
        <w:spacing w:after="80"/>
      </w:pPr>
      <w:r>
        <w:t xml:space="preserve">Lekka kompletacja</w:t>
      </w:r>
    </w:p>
    <w:p>
      <w:pPr>
        <w:spacing w:after="80"/>
      </w:pPr>
      <w:r>
        <w:t xml:space="preserve">Zobacz serię →</w:t>
      </w:r>
    </w:p>
    <w:p>
      <w:pPr>
        <w:spacing w:after="80"/>
      </w:pPr>
      <w:r>
        <w:t xml:space="preserve">PPWR · COMPLIANCE</w:t>
      </w:r>
    </w:p>
    <w:p>
      <w:pPr>
        <w:pStyle w:val="Heading2"/>
        <w:spacing w:after="120" w:before="300"/>
      </w:pPr>
      <w:r>
        <w:t xml:space="preserve">PPWR a farmacja i kosmetyki – co naprawdę jest objęte</w:t>
      </w:r>
    </w:p>
    <w:p>
      <w:pPr>
        <w:spacing w:after="80"/>
      </w:pPr>
      <w:r>
        <w:t xml:space="preserve">PPWR (rozporządzenie (UE) 2025/40 – weszło w życie 11 lutego 2025 r., stosuje się od 12 sierpnia 2026 r.) wprowadza cele ponownego użycia opakowań transportowych. Dotyczą one także opakowań transportowych i dystrybucyjnych w logistyce farmaceutycznej oraz opakowań transportowych stosowanych w branży kosmetycznej – tak samo jak w innych branżach. Data 2035 w PPWR to nie wyłączenie farmacji, lecz unijny próg redukcji odpadów opakowaniowych (−10% na mieszkańca względem 2018 r., art. 43) – obowiązujący wszystkie sektory.</w:t>
      </w:r>
    </w:p>
    <w:p>
      <w:pPr>
        <w:spacing w:after="80"/>
      </w:pPr>
      <w:r>
        <w:t xml:space="preserve">‹ ›</w:t>
      </w:r>
    </w:p>
    <w:p>
      <w:pPr>
        <w:spacing w:after="80"/>
      </w:pPr>
      <w:r>
        <w:t xml:space="preserve">Art. 29</w:t>
      </w:r>
    </w:p>
    <w:p>
      <w:pPr>
        <w:spacing w:after="80"/>
      </w:pPr>
      <w:r>
        <w:t xml:space="preserve">Opakowania transportowe w obiegu wewnątrz firmy (między miejscami działalności tego samego podmiotu lub podmiotów powiązanych) – wielokrotnego użytku od 1 stycznia 2030 r. (art. 29 ust. 2). Cel ogólny dla podmiotów stosujących opakowania transportowe – co najmniej 40% w 2030 r. i 70% w 2040 r. (art. 29 ust. 1).</w:t>
      </w:r>
    </w:p>
    <w:p>
      <w:pPr>
        <w:spacing w:after="80"/>
      </w:pPr>
      <w:r>
        <w:t xml:space="preserve">Art. 43</w:t>
      </w:r>
    </w:p>
    <w:p>
      <w:pPr>
        <w:spacing w:after="80"/>
      </w:pPr>
      <w:r>
        <w:t xml:space="preserve">Próg redukcji odpadów opakowaniowych na mieszkańca względem 2018 r.: −5% (2030), −10% (2035), −15% (2040) – dotyczy wszystkich branż.</w:t>
      </w:r>
    </w:p>
    <w:p>
      <w:pPr>
        <w:spacing w:after="80"/>
      </w:pPr>
      <w:r>
        <w:t xml:space="preserve">Kosmetyki</w:t>
      </w:r>
    </w:p>
    <w:p>
      <w:pPr>
        <w:spacing w:after="80"/>
      </w:pPr>
      <w:r>
        <w:t xml:space="preserve">Opakowania transportowe stosowane w branży kosmetycznej – w kosmetyce kontraktowej i dystrybucji do handlu – podlegają celom ponownego użycia (art. 29). Wymagania dotyczą opakowań transportowych, nie samych produktów kosmetycznych.</w:t>
      </w:r>
    </w:p>
    <w:p>
      <w:pPr>
        <w:spacing w:after="80"/>
      </w:pPr>
      <w:r>
        <w:t xml:space="preserve">NASTĘPNE KROKI</w:t>
      </w:r>
    </w:p>
    <w:p>
      <w:pPr>
        <w:pStyle w:val="Heading2"/>
        <w:spacing w:after="120" w:before="300"/>
      </w:pPr>
      <w:r>
        <w:t xml:space="preserve">Co możesz zrobić już teraz</w:t>
      </w:r>
    </w:p>
    <w:p>
      <w:pPr>
        <w:pBdr>
          <w:left w:val="single" w:color="65B32E" w:sz="12"/>
        </w:pBdr>
        <w:spacing w:after="40" w:before="160"/>
        <w:ind w:left="420"/>
      </w:pPr>
      <w:r>
        <w:rPr>
          <w:i/>
          <w:iCs/>
        </w:rPr>
        <w:t xml:space="preserve">Wcześniejsze przygotowanie przedsiębiorstwa do nowych wymagań – przegląd stosowanych opakowań transportowych, pilotaż rozwiązań wielokrotnego użytku i plan wdrożenia – ułatwia dostosowanie się do harmonogramu określonego w rozporządzeniu.</w:t>
      </w:r>
    </w:p>
    <w:p>
      <w:pPr>
        <w:spacing w:after="140"/>
        <w:ind w:left="420"/>
      </w:pPr>
      <w:r>
        <w:rPr>
          <w:i/>
          <w:iCs/>
          <w:color w:val="666666"/>
          <w:sz w:val="18"/>
          <w:szCs w:val="18"/>
        </w:rPr>
        <w:t xml:space="preserve">zgodnie z rozporządzeniem (UE) 2025/40 Parlamentu Europejskiego i Rady z dnia 19 grudnia 2024 r. w sprawie opakowań i odpadów opakowaniowych (PPWR)</w:t>
      </w:r>
    </w:p>
    <w:p>
      <w:pPr>
        <w:spacing w:after="80"/>
      </w:pPr>
      <w:r>
        <w:t xml:space="preserve">01</w:t>
      </w:r>
    </w:p>
    <w:p>
      <w:pPr>
        <w:pStyle w:val="Heading3"/>
        <w:spacing w:after="100" w:before="240"/>
      </w:pPr>
      <w:r>
        <w:t xml:space="preserve">Przeprowadź audyt PPWR</w:t>
      </w:r>
    </w:p>
    <w:p>
      <w:pPr>
        <w:spacing w:after="80"/>
      </w:pPr>
      <w:r>
        <w:t xml:space="preserve">Sprawdź, co dotyczy Twoich opakowań transportowych w farmacji i kosmetyce.</w:t>
      </w:r>
    </w:p>
    <w:p>
      <w:pPr>
        <w:spacing w:after="80"/>
      </w:pPr>
      <w:r>
        <w:t xml:space="preserve">Przejdź do audytu →</w:t>
      </w:r>
    </w:p>
    <w:p>
      <w:pPr>
        <w:spacing w:after="80"/>
      </w:pPr>
      <w:r>
        <w:t xml:space="preserve">02</w:t>
      </w:r>
    </w:p>
    <w:p>
      <w:pPr>
        <w:pStyle w:val="Heading3"/>
        <w:spacing w:after="100" w:before="240"/>
      </w:pPr>
      <w:r>
        <w:t xml:space="preserve">Oblicz koszt PPWR</w:t>
      </w:r>
    </w:p>
    <w:p>
      <w:pPr>
        <w:spacing w:after="80"/>
      </w:pPr>
      <w:r>
        <w:t xml:space="preserve">Porównaj opakowania jednorazowe ze zwrotnymi pojemnikami ESD – poznaj próg rentowności.</w:t>
      </w:r>
    </w:p>
    <w:p>
      <w:pPr>
        <w:spacing w:after="80"/>
      </w:pPr>
      <w:r>
        <w:t xml:space="preserve">Otwórz kalkulator →</w:t>
      </w:r>
    </w:p>
    <w:p>
      <w:pPr>
        <w:spacing w:after="80"/>
      </w:pPr>
      <w:r>
        <w:t xml:space="preserve">03</w:t>
      </w:r>
    </w:p>
    <w:p>
      <w:pPr>
        <w:pStyle w:val="Heading3"/>
        <w:spacing w:after="100" w:before="240"/>
      </w:pPr>
      <w:r>
        <w:t xml:space="preserve">Zapytaj eksperta</w:t>
      </w:r>
    </w:p>
    <w:p>
      <w:pPr>
        <w:spacing w:after="80"/>
      </w:pPr>
      <w:r>
        <w:t xml:space="preserve">O PPWR w farmacji i kosmetyce.</w:t>
      </w:r>
    </w:p>
    <w:p>
      <w:pPr>
        <w:spacing w:after="80"/>
      </w:pPr>
      <w:r>
        <w:t xml:space="preserve">Umów rozmowę →</w:t>
      </w:r>
    </w:p>
    <w:p>
      <w:pPr>
        <w:spacing w:after="80"/>
      </w:pPr>
      <w:r>
        <w:t xml:space="preserve">→ przewiń w poziomie, aby odsłonić kolejne kroki</w:t>
      </w:r>
    </w:p>
    <w:p>
      <w:pPr>
        <w:spacing w:after="80"/>
      </w:pPr>
      <w:r>
        <w:t xml:space="preserve">Case Studies</w:t>
      </w:r>
    </w:p>
    <w:p>
      <w:pPr>
        <w:pStyle w:val="Heading2"/>
        <w:spacing w:after="120" w:before="300"/>
      </w:pPr>
      <w:r>
        <w:t xml:space="preserve">Opakowania wielokrotnego użytku we wdrożeniach bekuplast</w:t>
      </w:r>
    </w:p>
    <w:p>
      <w:pPr>
        <w:spacing w:after="80"/>
      </w:pPr>
      <w:r>
        <w:t xml:space="preserve">Każde wdrożenie to osobna historia naszego Klienta. Indywidualne wymagania, do których dopasowujemy optymalne rozwiązania.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ROSSMANN</w:t>
      </w:r>
    </w:p>
    <w:p>
      <w:pPr>
        <w:spacing w:after="80"/>
      </w:pPr>
      <w:r>
        <w:t xml:space="preserve">Intralogistyka sieci drogerii, Landsberg (DE) – pojemniki obiegowe w magazynie centralnym.</w:t>
      </w:r>
    </w:p>
    <w:p>
      <w:pPr>
        <w:spacing w:after="80"/>
      </w:pPr>
      <w:r>
        <w:t xml:space="preserve">2025 160 000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Orbico</w:t>
      </w:r>
    </w:p>
    <w:p>
      <w:pPr>
        <w:spacing w:after="80"/>
      </w:pPr>
      <w:r>
        <w:t xml:space="preserve">Dystrybucja beauty i FMCG (PL) – pojemniki contecline w zautomatyzowanych magazynach AKL/Shuttle.</w:t>
      </w:r>
    </w:p>
    <w:p>
      <w:pPr>
        <w:spacing w:after="80"/>
      </w:pPr>
      <w:r>
        <w:t xml:space="preserve">2023 46 000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Onninen</w:t>
      </w:r>
    </w:p>
    <w:p>
      <w:pPr>
        <w:spacing w:after="80"/>
      </w:pPr>
      <w:r>
        <w:t xml:space="preserve">Dystrybucja materiałów budowlanych i instalacyjnych (PL) – pojemniki contecline.</w:t>
      </w:r>
    </w:p>
    <w:p>
      <w:pPr>
        <w:spacing w:after="80"/>
      </w:pPr>
      <w:r>
        <w:t xml:space="preserve">2019 40 000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Auto Partner SA</w:t>
      </w:r>
    </w:p>
    <w:p>
      <w:pPr>
        <w:spacing w:after="80"/>
      </w:pPr>
      <w:r>
        <w:t xml:space="preserve">Dystrybucja części samochodowych (PL) – pojemniki contecline i silverline w magazynach AKL.</w:t>
      </w:r>
    </w:p>
    <w:p>
      <w:pPr>
        <w:spacing w:after="80"/>
      </w:pPr>
      <w:r>
        <w:t xml:space="preserve">2022 27 000 pojemników</w:t>
      </w:r>
    </w:p>
    <w:p>
      <w:pPr>
        <w:spacing w:after="80"/>
      </w:pPr>
      <w:r>
        <w:t xml:space="preserve">‹ ›</w:t>
      </w:r>
    </w:p>
    <w:p>
      <w:pPr>
        <w:spacing w:after="80"/>
      </w:pPr>
      <w:r>
        <w:t xml:space="preserve">KOSZT PPWR</w:t>
      </w:r>
    </w:p>
    <w:p>
      <w:pPr>
        <w:pStyle w:val="Heading2"/>
        <w:spacing w:after="120" w:before="300"/>
      </w:pPr>
      <w:r>
        <w:t xml:space="preserve">Koszt przejścia na opakowania wielokrotnego użytku</w:t>
      </w:r>
    </w:p>
    <w:p>
      <w:pPr>
        <w:spacing w:after="80"/>
      </w:pPr>
      <w:r>
        <w:t xml:space="preserve">Porównaj koszty opakowań jednorazowych i zwrotnych pojemników ESD w logistyce farmaceutycznej i kosmetycznej – kalkulator pokaże próg rentowności i strukturę emisji CO₂.</w:t>
      </w:r>
    </w:p>
    <w:p>
      <w:pPr>
        <w:spacing w:after="80"/>
      </w:pPr>
      <w:r>
        <w:t xml:space="preserve">Oblicz koszt PPWR w 2 min.</w:t>
      </w:r>
    </w:p>
    <w:p>
      <w:pPr>
        <w:spacing w:after="80"/>
      </w:pPr>
      <w:r>
        <w:t xml:space="preserve">Kalkulator kosztu PPWR</w:t>
      </w:r>
    </w:p>
    <w:p>
      <w:pPr>
        <w:spacing w:after="80"/>
      </w:pPr>
      <w:r>
        <w:t xml:space="preserve">POWIĄZANE</w:t>
      </w:r>
    </w:p>
    <w:p>
      <w:pPr>
        <w:pStyle w:val="Heading2"/>
        <w:spacing w:after="120" w:before="300"/>
      </w:pPr>
      <w:r>
        <w:t xml:space="preserve">Może Cię też zainteresować</w:t>
      </w:r>
    </w:p>
    <w:p>
      <w:pPr>
        <w:pStyle w:val="Heading4"/>
        <w:spacing w:after="80" w:before="180"/>
      </w:pPr>
      <w:r>
        <w:t xml:space="preserve">Przetwórstwo żywności</w:t>
      </w:r>
    </w:p>
    <w:p>
      <w:pPr>
        <w:spacing w:after="80"/>
      </w:pPr>
      <w:r>
        <w:t xml:space="preserve">HACCP + materiały do kontaktu z żywnością + PFAS – wspólne wyzwania regulacyjne.</w:t>
      </w:r>
    </w:p>
    <w:p>
      <w:pPr>
        <w:spacing w:after="80"/>
      </w:pPr>
      <w:r>
        <w:t xml:space="preserve">Zobacz więcej</w:t>
      </w:r>
    </w:p>
    <w:p>
      <w:pPr>
        <w:pStyle w:val="Heading4"/>
        <w:spacing w:after="80" w:before="180"/>
      </w:pPr>
      <w:r>
        <w:t xml:space="preserve">Produkcja przemysłowa</w:t>
      </w:r>
    </w:p>
    <w:p>
      <w:pPr>
        <w:spacing w:after="80"/>
      </w:pPr>
      <w:r>
        <w:t xml:space="preserve">Pojemniki ESD dla podzespołów elektronicznych w urządzeniach medycznych.</w:t>
      </w:r>
    </w:p>
    <w:p>
      <w:pPr>
        <w:spacing w:after="80"/>
      </w:pPr>
      <w:r>
        <w:t xml:space="preserve">Zobacz więcej</w:t>
      </w:r>
    </w:p>
    <w:p>
      <w:pPr>
        <w:spacing w:after="80"/>
      </w:pPr>
      <w:r>
        <w:t xml:space="preserve">FAQ</w:t>
      </w:r>
    </w:p>
    <w:p>
      <w:pPr>
        <w:pStyle w:val="Heading2"/>
        <w:spacing w:after="120" w:before="300"/>
      </w:pPr>
      <w:r>
        <w:t xml:space="preserve">Najczęściej zadawane pytania</w:t>
      </w:r>
    </w:p>
    <w:p>
      <w:pPr>
        <w:spacing w:after="80"/>
      </w:pPr>
      <w:r>
        <w:t xml:space="preserve">↓ przewiń pytania</w:t>
      </w:r>
    </w:p>
    <w:p>
      <w:pPr>
        <w:spacing w:after="60" w:before="200"/>
      </w:pPr>
      <w:r>
        <w:rPr>
          <w:b/>
          <w:bCs/>
        </w:rPr>
        <w:t xml:space="preserve">Czy farmacja jest objęta PPWR?</w:t>
      </w:r>
    </w:p>
    <w:p>
      <w:pPr>
        <w:spacing w:after="80"/>
      </w:pPr>
      <w:r>
        <w:t xml:space="preserve">Tak – w zakresie opakowań transportowych i dystrybucyjnych. Opakowania transportowe w logistyce farmaceutycznej oraz opakowania transportowe stosowane w branży kosmetycznej podlegają celom ponownego użycia jak w innych branżach (art. 29 PPWR).</w:t>
      </w:r>
    </w:p>
    <w:p>
      <w:pPr>
        <w:spacing w:after="60" w:before="200"/>
      </w:pPr>
      <w:r>
        <w:rPr>
          <w:b/>
          <w:bCs/>
        </w:rPr>
        <w:t xml:space="preserve">Co to są pojemniki ESD i kiedy są potrzebne w farmacji?</w:t>
      </w:r>
    </w:p>
    <w:p>
      <w:pPr>
        <w:spacing w:after="80"/>
      </w:pPr>
      <w:r>
        <w:t xml:space="preserve">Pojemniki ESD (Electrostatic Discharge) wykonane są ze specjalnego materiału PP-ESD z domieszką cząstek przewodzących, który trwale rozprasza ładunki elektrostatyczne i chroni komponenty przed wyładowaniami. W farmacji stosowane dla urządzeń medycznych, sensorów diagnostycznych, modułów IoT. Zgodność z IEC 61340-5-1.</w:t>
      </w:r>
    </w:p>
    <w:p>
      <w:pPr>
        <w:spacing w:after="60" w:before="200"/>
      </w:pPr>
      <w:r>
        <w:rPr>
          <w:b/>
          <w:bCs/>
        </w:rPr>
        <w:t xml:space="preserve">Co z PFAS w opakowaniach kosmetyków?</w:t>
      </w:r>
    </w:p>
    <w:p>
      <w:pPr>
        <w:spacing w:after="80"/>
      </w:pPr>
      <w:r>
        <w:t xml:space="preserve">Ograniczenie PFAS (art. 5 PPWR, od 12 sierpnia 2026 r.) dotyczy opakowań przeznaczonych do kontaktu z żywnością – nie obejmuje opakowań kosmetyków ani chemii. Skład materiałowy naszych pojemników potwierdzamy deklaracją materiałową dla konkretnego wyrobu.</w:t>
      </w:r>
    </w:p>
    <w:p>
      <w:pPr>
        <w:spacing w:after="60" w:before="200"/>
      </w:pPr>
      <w:r>
        <w:rPr>
          <w:b/>
          <w:bCs/>
        </w:rPr>
        <w:t xml:space="preserve">Czy pojemniki bekuplast są dopuszczone do kontaktu z kosmetykami?</w:t>
      </w:r>
    </w:p>
    <w:p>
      <w:pPr>
        <w:spacing w:after="80"/>
      </w:pPr>
      <w:r>
        <w:t xml:space="preserve">Tak – dla wybranych serii stosujemy HDPE dopuszczony do kontaktu z żywnością (materiał zgodny z wymaganiami dla tworzyw w kontakcie z żywnością). Ten sam materiał stosujemy w opakowaniach transportowych dla chemii kosmetycznej. Deklarację zgodności potwierdzamy dla konkretnego wyrobu.</w:t>
      </w:r>
    </w:p>
    <w:p>
      <w:pPr>
        <w:spacing w:after="60" w:before="200"/>
      </w:pPr>
      <w:r>
        <w:rPr>
          <w:b/>
          <w:bCs/>
        </w:rPr>
        <w:t xml:space="preserve">Czy warto inwestować w RTP w farmacji już teraz?</w:t>
      </w:r>
    </w:p>
    <w:p>
      <w:pPr>
        <w:spacing w:after="80"/>
      </w:pPr>
      <w:r>
        <w:t xml:space="preserve">Tak. PPWR przewiduje, że od 2030 r. opakowania transportowe w obiegu między zakładami tego samego przedsiębiorstwa lub przedsiębiorstw powiązanych będą opakowaniami wielokrotnego użytku (art. 29 ust. 2), a dla podmiotów stosujących opakowania transportowe – m.in. w dystrybucji do hurtowni, aptek i drogerii – wprowadza cel ogólny co najmniej 40% w 2030 r. i 70% w 2040 r. (art. 29 ust. 1). Obowiązek dotyczy podmiotu stosującego opakowania transportowe – także wtedy, gdy nie jest ich producentem. Wczesny pilotaż buduje przewagę operacyjną.</w:t>
      </w:r>
    </w:p>
    <w:p>
      <w:pPr>
        <w:spacing w:after="80"/>
      </w:pPr>
      <w:r>
        <w:t xml:space="preserve">KONTAKT</w:t>
      </w:r>
    </w:p>
    <w:p>
      <w:pPr>
        <w:pStyle w:val="Heading2"/>
        <w:spacing w:after="120" w:before="300"/>
      </w:pPr>
      <w: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Możliwość pozyskania próbek produktów</w:t>
      </w:r>
    </w:p>
    <w:p>
      <w:pPr>
        <w:pStyle w:val="Heading3"/>
        <w:spacing w:after="100" w:before="240"/>
      </w:pPr>
      <w:r>
        <w:t xml:space="preserve">Pozostaw dane kontaktowe</w:t>
      </w:r>
    </w:p>
    <w:p>
      <w:pPr>
        <w:spacing w:after="80"/>
      </w:pPr>
      <w:r>
        <w:t xml:space="preserve">[pole: Twoje imię i nazwisko] Imię i nazwisko</w:t>
      </w:r>
    </w:p>
    <w:p>
      <w:pPr>
        <w:spacing w:after="80"/>
      </w:pPr>
      <w:r>
        <w:t xml:space="preserve">[pole: Nazwa firmy] Firma</w:t>
      </w:r>
    </w:p>
    <w:p>
      <w:pPr>
        <w:spacing w:after="80"/>
      </w:pPr>
      <w:r>
        <w:t xml:space="preserve">[pole: Adres e-mail] E-mail</w:t>
      </w:r>
    </w:p>
    <w:p>
      <w:pPr>
        <w:spacing w:after="80"/>
      </w:pPr>
      <w:r>
        <w:t xml:space="preserve">[pole: Numer telefonu] Telefon</w:t>
      </w:r>
    </w:p>
    <w:p>
      <w:pPr>
        <w:spacing w:after="80"/>
      </w:pPr>
      <w:r>
        <w:t xml:space="preserve">Wyrażam zgodę na przetwarzanie danych osobowych i potwierdzam, że zapoznałem/am się z dotyczącą zasad ich przetwarzania. Polityką prywatności</w:t>
      </w:r>
    </w:p>
    <w:p>
      <w:pPr>
        <w:spacing w:after="80"/>
      </w:pPr>
      <w:r>
        <w:t xml:space="preserve">Proszę o kontakt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2026-07-17T11:40:21.002Z</dcterms:created>
  <dcterms:modified xsi:type="dcterms:W3CDTF">2026-07-17T11:40:21.002Z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