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60"/>
      </w:pPr>
      <w:r>
        <w:t xml:space="preserve">Strona 05 – Intralogistyka i magazyn</w:t>
      </w:r>
    </w:p>
    <w:p>
      <w:pPr>
        <w:spacing w:after="40"/>
      </w:pPr>
      <w:r>
        <w:rPr>
          <w:color w:val="444444"/>
          <w:sz w:val="20"/>
          <w:szCs w:val="20"/>
        </w:rPr>
        <w:t xml:space="preserve">Treść makiety – wersja v14 (16.07.2026) · do recenzji</w:t>
      </w:r>
    </w:p>
    <w:p>
      <w:pPr>
        <w:spacing w:after="240"/>
      </w:pPr>
      <w:r>
        <w:rPr>
          <w:color w:val="444444"/>
          <w:sz w:val="20"/>
          <w:szCs w:val="20"/>
        </w:rPr>
        <w:t xml:space="preserve">Wersja uwzględnia uwagi z 7.07.2026 (arkusz decyzji + zestawienia uwag + zasady z korespondencji). Prosimy o nanoszenie komentarzy bezpośrednio w tym dokumencie.</w:t>
      </w:r>
    </w:p>
    <w:p>
      <w:pPr>
        <w:spacing w:after="80"/>
      </w:pPr>
      <w:r>
        <w:t xml:space="preserve">Wyszukiwarka Lista ofert Porównanie Zapytaj AI PL</w:t>
      </w:r>
    </w:p>
    <w:p>
      <w:pPr>
        <w:spacing w:after="80"/>
      </w:pPr>
      <w:r>
        <w:t xml:space="preserve">Produkty Branże Serwis Aktualności Firma Kontakt z nami</w:t>
      </w:r>
    </w:p>
    <w:p>
      <w:pPr>
        <w:pStyle w:val="Heading1"/>
        <w:spacing w:after="140" w:before="320"/>
      </w:pPr>
      <w:r>
        <w:t xml:space="preserve">Intralogistyka</w:t>
      </w:r>
    </w:p>
    <w:p>
      <w:pPr>
        <w:spacing w:after="80"/>
      </w:pPr>
      <w:r>
        <w:t xml:space="preserve">Pojemniki do intralogistyki: silverline, contecline i ESD dla magazynów AKL, shuttle i miniload. Precyzyjne wymiary w standardzie EURO-NORM, dopasowane do systemów AKL i shuttle. Pojemniki pracujące w zautomatyzowanych magazynach w całej Polsce.</w:t>
      </w:r>
    </w:p>
    <w:p>
      <w:pPr>
        <w:spacing w:after="80"/>
      </w:pPr>
      <w:r>
        <w:t xml:space="preserve">Zapytaj eksperta Przeprowadź audyt PPWR</w:t>
      </w:r>
    </w:p>
    <w:p>
      <w:pPr>
        <w:spacing w:after="80"/>
      </w:pPr>
      <w:r>
        <w:t xml:space="preserve">Ilustracja / foto produktów</w:t>
      </w:r>
    </w:p>
    <w:p>
      <w:pPr>
        <w:spacing w:after="80"/>
      </w:pPr>
      <w:r>
        <w:t xml:space="preserve">Strona główna Rozwiązania branżowe › › Intralogistyka i magazyn</w:t>
      </w:r>
    </w:p>
    <w:p>
      <w:pPr>
        <w:spacing w:after="80"/>
      </w:pPr>
      <w:r>
        <w:t xml:space="preserve">▶ Wideo / animacja zapętlona (mute, autoplay) – produkty w cyklu ponownego użycia</w:t>
      </w:r>
    </w:p>
    <w:p>
      <w:pPr>
        <w:spacing w:after="80"/>
      </w:pPr>
      <w:r>
        <w:t xml:space="preserve">NAJWAŻNIEJSZE</w:t>
      </w:r>
    </w:p>
    <w:p>
      <w:pPr>
        <w:pStyle w:val="Heading2"/>
        <w:spacing w:after="120" w:before="300"/>
      </w:pPr>
      <w:r>
        <w:t xml:space="preserve">Kluczowe wnioski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między linią produkcyjną, magazynem i punktem nadania. Pojemniki muszą pracować bezawaryjnie przy dużej liczbie cykli operacyjnych, zależnej od profilu magazynu. Intralogistyka to wewnętrzny strumień materiałów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– zbyt duża odchyłka oznacza blokadę systemu. Standardowe skrzynki transportowe się nie nadają. AKL i shuttle wymagają wysokiej dokładności wymiarowej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, ale wymóg opakowań wielokrotnego użytku w obiegu między zakładami tej samej firmy obowiązuje od 1 stycznia 2030 r. (art. 29 ust. 2), a presja odbiorców przyspiesza tę zmianę. PPWR nie wymienia intralogistyki wprost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 magazynie i transporcie – znacznie przewyższają standardowe skrzynki transportowe. Nasze pojemniki silverline mają wzmocnione dno i są kompatybilne z magazynami automatycznymi (AKL). Pojemniki intralogistyczne są projektowane pod wysokie sztaplowanie</w:t>
      </w:r>
    </w:p>
    <w:p>
      <w:pPr>
        <w:spacing w:after="80"/>
      </w:pPr>
      <w:r>
        <w:t xml:space="preserve">WYZWANIA</w:t>
      </w:r>
    </w:p>
    <w:p>
      <w:pPr>
        <w:pStyle w:val="Heading2"/>
        <w:spacing w:after="120" w:before="300"/>
      </w:pPr>
      <w:r>
        <w:t xml:space="preserve">Pięć wyzwań intralogistyki, które rozwiązujemy</w:t>
      </w:r>
    </w:p>
    <w:p>
      <w:pPr>
        <w:spacing w:after="80"/>
      </w:pPr>
      <w:r>
        <w:t xml:space="preserve">Pokazujemy, jak dobieramy pojemniki do intralogistyki – od AKL i shuttle po kompletację ESD – pod automatyzację magazynu.</w:t>
      </w:r>
    </w:p>
    <w:p>
      <w:pPr>
        <w:spacing w:after="80"/>
      </w:pPr>
      <w:r>
        <w:t xml:space="preserve">↓ przewiń kolejne wyzwania</w:t>
      </w:r>
    </w:p>
    <w:p>
      <w:pPr>
        <w:spacing w:after="80"/>
      </w:pPr>
      <w:r>
        <w:t xml:space="preserve">01</w:t>
      </w:r>
    </w:p>
    <w:p>
      <w:pPr>
        <w:pStyle w:val="Heading3"/>
        <w:spacing w:after="100" w:before="240"/>
      </w:pPr>
      <w:r>
        <w:t xml:space="preserve">Precyzja wymiarowa dla AKL i shuttle</w:t>
      </w:r>
    </w:p>
    <w:p>
      <w:pPr>
        <w:spacing w:after="80"/>
      </w:pPr>
      <w:r>
        <w:t xml:space="preserve">Magazyn automatyczny pracuje z dużą prędkością cykli. Pojemnik nieodpowiedniego wymiaru może zablokować system i spowodować kosztowny przestój.</w:t>
      </w:r>
    </w:p>
    <w:p>
      <w:pPr>
        <w:spacing w:after="80"/>
      </w:pPr>
      <w:r>
        <w:t xml:space="preserve">[silverline]</w:t>
      </w:r>
    </w:p>
    <w:p>
      <w:pPr>
        <w:spacing w:after="80"/>
      </w:pPr>
      <w:r>
        <w:t xml:space="preserve">silverline</w:t>
      </w:r>
    </w:p>
    <w:p>
      <w:pPr>
        <w:spacing w:after="80"/>
      </w:pPr>
      <w:r>
        <w:t xml:space="preserve">AKL / shuttle · EURO-NORM</w:t>
      </w:r>
    </w:p>
    <w:p>
      <w:pPr>
        <w:spacing w:after="80"/>
      </w:pPr>
      <w:r>
        <w:t xml:space="preserve">zobacz produkt →</w:t>
      </w:r>
    </w:p>
    <w:p>
      <w:pPr>
        <w:spacing w:after="80"/>
      </w:pPr>
      <w:r>
        <w:t xml:space="preserve">02</w:t>
      </w:r>
    </w:p>
    <w:p>
      <w:pPr>
        <w:pStyle w:val="Heading3"/>
        <w:spacing w:after="100" w:before="240"/>
      </w:pPr>
      <w:r>
        <w:t xml:space="preserve">Sztaplowanie i wytrzymałość na obciążenia dynamiczne</w:t>
      </w:r>
    </w:p>
    <w:p>
      <w:pPr>
        <w:spacing w:after="80"/>
      </w:pPr>
      <w:r>
        <w:t xml:space="preserve">Pojemniki intralogistyczne muszą wytrzymać wysokie sztaplowanie i dynamiczne obciążenia, którym nie sprostają standardowe skrzynki transportowe.</w:t>
      </w:r>
    </w:p>
    <w:p>
      <w:pPr>
        <w:spacing w:after="80"/>
      </w:pPr>
      <w:r>
        <w:t xml:space="preserve">[silverline / contecline]</w:t>
      </w:r>
    </w:p>
    <w:p>
      <w:pPr>
        <w:spacing w:after="80"/>
      </w:pPr>
      <w:r>
        <w:t xml:space="preserve">silverline / contecline</w:t>
      </w:r>
    </w:p>
    <w:p>
      <w:pPr>
        <w:spacing w:after="80"/>
      </w:pPr>
      <w:r>
        <w:t xml:space="preserve">obciążenie do 50 kg · sztaplowanie statyczne do 300 kg</w:t>
      </w:r>
    </w:p>
    <w:p>
      <w:pPr>
        <w:spacing w:after="80"/>
      </w:pPr>
      <w:r>
        <w:t xml:space="preserve">zobacz produkt →</w:t>
      </w:r>
    </w:p>
    <w:p>
      <w:pPr>
        <w:spacing w:after="80"/>
      </w:pPr>
      <w:r>
        <w:t xml:space="preserve">03</w:t>
      </w:r>
    </w:p>
    <w:p>
      <w:pPr>
        <w:pStyle w:val="Heading3"/>
        <w:spacing w:after="100" w:before="240"/>
      </w:pPr>
      <w:r>
        <w:t xml:space="preserve">Kompletacja – pick-by-light, RFID i WMS</w:t>
      </w:r>
    </w:p>
    <w:p>
      <w:pPr>
        <w:spacing w:after="80"/>
      </w:pPr>
      <w:r>
        <w:t xml:space="preserve">Magazyn z systemem pick-by-light wymaga pojemników z miejscem na czujniki, znacznikami RFID i znakowaniem zgodnym z WMS.</w:t>
      </w:r>
    </w:p>
    <w:p>
      <w:pPr>
        <w:spacing w:after="80"/>
      </w:pPr>
      <w:r>
        <w:t xml:space="preserve">[silverline – pod RFID]</w:t>
      </w:r>
    </w:p>
    <w:p>
      <w:pPr>
        <w:spacing w:after="80"/>
      </w:pPr>
      <w:r>
        <w:t xml:space="preserve">silverline przygotowane pod RFID</w:t>
      </w:r>
    </w:p>
    <w:p>
      <w:pPr>
        <w:spacing w:after="80"/>
      </w:pPr>
      <w:r>
        <w:t xml:space="preserve">pick-by-light · znaczniki RFID</w:t>
      </w:r>
    </w:p>
    <w:p>
      <w:pPr>
        <w:spacing w:after="80"/>
      </w:pPr>
      <w:r>
        <w:t xml:space="preserve">zobacz produkt →</w:t>
      </w:r>
    </w:p>
    <w:p>
      <w:pPr>
        <w:spacing w:after="80"/>
      </w:pPr>
      <w:r>
        <w:t xml:space="preserve">04</w:t>
      </w:r>
    </w:p>
    <w:p>
      <w:pPr>
        <w:pStyle w:val="Heading3"/>
        <w:spacing w:after="100" w:before="240"/>
      </w:pPr>
      <w:r>
        <w:t xml:space="preserve">ESD dla elektroniki w intralogistyce</w:t>
      </w:r>
    </w:p>
    <w:p>
      <w:pPr>
        <w:spacing w:after="80"/>
      </w:pPr>
      <w:r>
        <w:t xml:space="preserve">Magazyny elektroniki (AGD, IT, komponenty) wymagają pojemników ESD zgodnych z normą. Standardowy HDPE gromadzi ładunki elektrostatyczne, co grozi uszkodzeniem komponentów.</w:t>
      </w:r>
    </w:p>
    <w:p>
      <w:pPr>
        <w:spacing w:after="80"/>
      </w:pPr>
      <w:r>
        <w:t xml:space="preserve">[EURO-NORM ESD]</w:t>
      </w:r>
    </w:p>
    <w:p>
      <w:pPr>
        <w:spacing w:after="80"/>
      </w:pPr>
      <w:r>
        <w:t xml:space="preserve">Pojemnik EURO-NORM ESD</w:t>
      </w:r>
    </w:p>
    <w:p>
      <w:pPr>
        <w:spacing w:after="80"/>
      </w:pPr>
      <w:r>
        <w:t xml:space="preserve">IEC 61340-5-1</w:t>
      </w:r>
    </w:p>
    <w:p>
      <w:pPr>
        <w:spacing w:after="80"/>
      </w:pPr>
      <w:r>
        <w:t xml:space="preserve">zobacz produkt →</w:t>
      </w:r>
    </w:p>
    <w:p>
      <w:pPr>
        <w:spacing w:after="80"/>
      </w:pPr>
      <w:r>
        <w:t xml:space="preserve">05</w:t>
      </w:r>
    </w:p>
    <w:p>
      <w:pPr>
        <w:pStyle w:val="Heading3"/>
        <w:spacing w:after="100" w:before="240"/>
      </w:pPr>
      <w:r>
        <w:t xml:space="preserve">Sezonowe szczyty (Black Friday, święta) – gwałtowny wzrost zapotrzebowania</w:t>
      </w:r>
    </w:p>
    <w:p>
      <w:pPr>
        <w:spacing w:after="80"/>
      </w:pPr>
      <w:r>
        <w:t xml:space="preserve">W szczycie sezonu zapotrzebowanie operatora e-commerce na flotę wyraźnie rośnie w krótkim czasie – składany pojemnik pozwala elastycznie skalować obieg.</w:t>
      </w:r>
    </w:p>
    <w:p>
      <w:pPr>
        <w:spacing w:after="80"/>
      </w:pPr>
      <w:r>
        <w:t xml:space="preserve">[Clever move box]</w:t>
      </w:r>
    </w:p>
    <w:p>
      <w:pPr>
        <w:spacing w:after="80"/>
      </w:pPr>
      <w:r>
        <w:t xml:space="preserve">Clever move box</w:t>
      </w:r>
    </w:p>
    <w:p>
      <w:pPr>
        <w:spacing w:after="80"/>
      </w:pPr>
      <w:r>
        <w:t xml:space="preserve">składane · obieg zamknięty</w:t>
      </w:r>
    </w:p>
    <w:p>
      <w:pPr>
        <w:spacing w:after="80"/>
      </w:pPr>
      <w:r>
        <w:t xml:space="preserve">zobacz produkt →</w:t>
      </w:r>
    </w:p>
    <w:p>
      <w:pPr>
        <w:spacing w:after="80"/>
      </w:pPr>
      <w:r>
        <w:t xml:space="preserve">PRODUKTY</w:t>
      </w:r>
    </w:p>
    <w:p>
      <w:pPr>
        <w:pStyle w:val="Heading2"/>
        <w:spacing w:after="120" w:before="300"/>
      </w:pPr>
      <w:r>
        <w:t xml:space="preserve">silverline, contecline, ESD – pojemniki dla magazynów automatycznych</w:t>
      </w:r>
    </w:p>
    <w:p>
      <w:pPr>
        <w:spacing w:after="80"/>
      </w:pPr>
      <w:r>
        <w:t xml:space="preserve">[contecline]</w:t>
      </w:r>
    </w:p>
    <w:p>
      <w:pPr>
        <w:pStyle w:val="Heading4"/>
        <w:spacing w:after="80" w:before="180"/>
      </w:pPr>
      <w:r>
        <w:t xml:space="preserve">contecline</w:t>
      </w:r>
    </w:p>
    <w:p>
      <w:pPr>
        <w:spacing w:after="80"/>
      </w:pPr>
      <w:r>
        <w:t xml:space="preserve">Magazyny AKL, shuttle, miniload</w:t>
      </w:r>
    </w:p>
    <w:p>
      <w:pPr>
        <w:spacing w:after="80"/>
      </w:pPr>
      <w:r>
        <w:t xml:space="preserve">Zobacz serię →</w:t>
      </w:r>
    </w:p>
    <w:p>
      <w:pPr>
        <w:pStyle w:val="Heading4"/>
        <w:spacing w:after="80" w:before="180"/>
      </w:pPr>
      <w:r>
        <w:t xml:space="preserve">silverline</w:t>
      </w:r>
    </w:p>
    <w:p>
      <w:pPr>
        <w:spacing w:after="80"/>
      </w:pPr>
      <w:r>
        <w:t xml:space="preserve">AKL/shuttle · EURO-NORM</w:t>
      </w:r>
    </w:p>
    <w:p>
      <w:pPr>
        <w:spacing w:after="80"/>
      </w:pPr>
      <w:r>
        <w:t xml:space="preserve">Zobacz serię →</w:t>
      </w:r>
    </w:p>
    <w:p>
      <w:pPr>
        <w:pStyle w:val="Heading4"/>
        <w:spacing w:after="80" w:before="180"/>
      </w:pPr>
      <w:r>
        <w:t xml:space="preserve">ESD</w:t>
      </w:r>
    </w:p>
    <w:p>
      <w:pPr>
        <w:spacing w:after="80"/>
      </w:pPr>
      <w:r>
        <w:t xml:space="preserve">IEC 61340-5-1</w:t>
      </w:r>
    </w:p>
    <w:p>
      <w:pPr>
        <w:spacing w:after="80"/>
      </w:pPr>
      <w:r>
        <w:t xml:space="preserve">Zobacz serię →</w:t>
      </w:r>
    </w:p>
    <w:p>
      <w:pPr>
        <w:pStyle w:val="Heading4"/>
        <w:spacing w:after="80" w:before="180"/>
      </w:pPr>
      <w:r>
        <w:t xml:space="preserve">lightline</w:t>
      </w:r>
    </w:p>
    <w:p>
      <w:pPr>
        <w:spacing w:after="80"/>
      </w:pPr>
      <w:r>
        <w:t xml:space="preserve">Kompletacja ręczna</w:t>
      </w:r>
    </w:p>
    <w:p>
      <w:pPr>
        <w:spacing w:after="80"/>
      </w:pPr>
      <w:r>
        <w:t xml:space="preserve">Zobacz serię →</w:t>
      </w:r>
    </w:p>
    <w:p>
      <w:pPr>
        <w:pStyle w:val="Heading4"/>
        <w:spacing w:after="80" w:before="180"/>
      </w:pPr>
      <w:r>
        <w:t xml:space="preserve">basicline plus</w:t>
      </w:r>
    </w:p>
    <w:p>
      <w:pPr>
        <w:spacing w:after="80"/>
      </w:pPr>
      <w:r>
        <w:t xml:space="preserve">Duże objętości</w:t>
      </w:r>
    </w:p>
    <w:p>
      <w:pPr>
        <w:spacing w:after="80"/>
      </w:pPr>
      <w:r>
        <w:t xml:space="preserve">Zobacz serię →</w:t>
      </w:r>
    </w:p>
    <w:p>
      <w:pPr>
        <w:pStyle w:val="Heading4"/>
        <w:spacing w:after="80" w:before="180"/>
      </w:pPr>
      <w:r>
        <w:t xml:space="preserve">Clever move box</w:t>
      </w:r>
    </w:p>
    <w:p>
      <w:pPr>
        <w:spacing w:after="80"/>
      </w:pPr>
      <w:r>
        <w:t xml:space="preserve">Składane – obieg zamknięty</w:t>
      </w:r>
    </w:p>
    <w:p>
      <w:pPr>
        <w:spacing w:after="80"/>
      </w:pPr>
      <w:r>
        <w:t xml:space="preserve">Zobacz serię →</w:t>
      </w:r>
    </w:p>
    <w:p>
      <w:pPr>
        <w:pStyle w:val="Heading4"/>
        <w:spacing w:after="80" w:before="180"/>
      </w:pPr>
      <w:r>
        <w:t xml:space="preserve">Palety Euro</w:t>
      </w:r>
    </w:p>
    <w:p>
      <w:pPr>
        <w:spacing w:after="80"/>
      </w:pPr>
      <w:r>
        <w:t xml:space="preserve">Kompatybilne z AKL</w:t>
      </w:r>
    </w:p>
    <w:p>
      <w:pPr>
        <w:spacing w:after="80"/>
      </w:pPr>
      <w:r>
        <w:t xml:space="preserve">Zobacz serię →</w:t>
      </w:r>
    </w:p>
    <w:p>
      <w:pPr>
        <w:pStyle w:val="Heading4"/>
        <w:spacing w:after="80" w:before="180"/>
      </w:pPr>
      <w:r>
        <w:t xml:space="preserve">Tace transportowe</w:t>
      </w:r>
    </w:p>
    <w:p>
      <w:pPr>
        <w:spacing w:after="80"/>
      </w:pPr>
      <w:r>
        <w:t xml:space="preserve">Transport wewnętrzny i kompletacja</w:t>
      </w:r>
    </w:p>
    <w:p>
      <w:pPr>
        <w:spacing w:after="80"/>
      </w:pPr>
      <w:r>
        <w:t xml:space="preserve">Zobacz serię →</w:t>
      </w:r>
    </w:p>
    <w:p>
      <w:pPr>
        <w:pStyle w:val="Heading4"/>
        <w:spacing w:after="80" w:before="180"/>
      </w:pPr>
      <w:r>
        <w:t xml:space="preserve">Indywidualne pod AKL</w:t>
      </w:r>
    </w:p>
    <w:p>
      <w:pPr>
        <w:spacing w:after="80"/>
      </w:pPr>
      <w:r>
        <w:t xml:space="preserve">wymiary dopasowane do systemów magazynów automatycznych</w:t>
      </w:r>
    </w:p>
    <w:p>
      <w:pPr>
        <w:spacing w:after="80"/>
      </w:pPr>
      <w:r>
        <w:t xml:space="preserve">Zobacz serię →</w:t>
      </w:r>
    </w:p>
    <w:p>
      <w:pPr>
        <w:spacing w:after="80"/>
      </w:pPr>
      <w:r>
        <w:t xml:space="preserve">PPWR · ZGODNOŚĆ</w:t>
      </w:r>
    </w:p>
    <w:p>
      <w:pPr>
        <w:pStyle w:val="Heading2"/>
        <w:spacing w:after="120" w:before="300"/>
      </w:pPr>
      <w:r>
        <w:t xml:space="preserve">PPWR a intralogistyka – formalnie poza zakresem, faktycznie w centrum</w:t>
      </w:r>
    </w:p>
    <w:p>
      <w:pPr>
        <w:spacing w:after="80"/>
      </w:pPr>
      <w:r>
        <w:t xml:space="preserve">Intralogistyka to wewnętrzny strumień materiałów (między magazynem a linią produkcyjną tej samej firmy). PPWR formalnie nie nakłada na intralogistykę celów ponownego użycia – ale trzy mechanizmy i tak wymuszają opakowania wielokrotnego użytku (RTP): obowiązek obiegu zamkniętego wewnątrz firmy (art. 29 ust. 2), presja OEM-ów i sieci handlowych oraz ograniczenie PFAS w opakowaniach do kontaktu z żywnością (art. 5).</w:t>
      </w:r>
    </w:p>
    <w:p>
      <w:pPr>
        <w:spacing w:after="80"/>
      </w:pPr>
      <w:r>
        <w:t xml:space="preserve">‹ ›</w:t>
      </w:r>
    </w:p>
    <w:p>
      <w:pPr>
        <w:spacing w:after="80"/>
      </w:pPr>
      <w:r>
        <w:t xml:space="preserve">Art. 29 ust. 2</w:t>
      </w:r>
    </w:p>
    <w:p>
      <w:pPr>
        <w:spacing w:after="80"/>
      </w:pPr>
      <w:r>
        <w:t xml:space="preserve">PPWR przewiduje, że od 2030 r. opakowania transportowe w obiegu między zakładami tego samego przedsiębiorstwa lub przedsiębiorstw powiązanych będą opakowaniami wielokrotnego użytku.</w:t>
      </w:r>
    </w:p>
    <w:p>
      <w:pPr>
        <w:spacing w:after="80"/>
      </w:pPr>
      <w:r>
        <w:t xml:space="preserve">Efekt domina</w:t>
      </w:r>
    </w:p>
    <w:p>
      <w:pPr>
        <w:spacing w:after="80"/>
      </w:pPr>
      <w:r>
        <w:t xml:space="preserve">Sieć handlowa (art. 29) wymusza opakowania wielokrotnego użytku u dostawców. Dostawca wymusza je w swojej intralogistyce. W praktyce presja ta stopniowo obejmuje kolejne ogniwa łańcucha dostaw.</w:t>
      </w:r>
    </w:p>
    <w:p>
      <w:pPr>
        <w:spacing w:after="80"/>
      </w:pPr>
      <w:r>
        <w:t xml:space="preserve">Art. 5 PFAS</w:t>
      </w:r>
    </w:p>
    <w:p>
      <w:pPr>
        <w:spacing w:after="80"/>
      </w:pPr>
      <w:r>
        <w:t xml:space="preserve">Ograniczenie PFAS dotyczy opakowań mających kontakt z żywnością (od 12 sierpnia 2026 r.). Magazyny spożywcze muszą zweryfikować tacki i owinięcia w bezpośrednim kontakcie z produktem – palet i folii transportowych przepis nie dotyczy. Audyt opakowań to naturalny moment na przejście na opakowania wielokrotnego użytku.</w:t>
      </w:r>
    </w:p>
    <w:p>
      <w:pPr>
        <w:spacing w:after="80"/>
      </w:pPr>
      <w:r>
        <w:t xml:space="preserve">NASTĘPNE KROKI</w:t>
      </w:r>
    </w:p>
    <w:p>
      <w:pPr>
        <w:pStyle w:val="Heading2"/>
        <w:spacing w:after="120" w:before="300"/>
      </w:pPr>
      <w:r>
        <w:t xml:space="preserve">Co możesz zrobić już teraz</w:t>
      </w:r>
    </w:p>
    <w:p>
      <w:pPr>
        <w:pBdr>
          <w:left w:val="single" w:color="65B32E" w:sz="12"/>
        </w:pBdr>
        <w:spacing w:after="40" w:before="160"/>
        <w:ind w:left="420"/>
      </w:pPr>
      <w:r>
        <w:rPr>
          <w:i/>
          <w:iCs/>
        </w:rPr>
        <w:t xml:space="preserve">Intralogistyka nie jest w PPWR wymieniona osobno, ale rozporządzenie przewiduje, że od 2030 r. opakowania transportowe w obiegu między zakładami tego samego przedsiębiorstwa lub przedsiębiorstw powiązanych będą opakowaniami wielokrotnego użytku (art. 29 ust. 2).</w:t>
      </w:r>
    </w:p>
    <w:p>
      <w:pPr>
        <w:spacing w:after="140"/>
        <w:ind w:left="420"/>
      </w:pPr>
      <w:r>
        <w:rPr>
          <w:i/>
          <w:iCs/>
          <w:color w:val="666666"/>
          <w:sz w:val="18"/>
          <w:szCs w:val="18"/>
        </w:rPr>
        <w:t xml:space="preserve">zgodnie z rozporządzeniem (UE) 2025/40 Parlamentu Europejskiego i Rady z dnia 19 grudnia 2024 r. w sprawie opakowań i odpadów opakowaniowych (PPWR)</w:t>
      </w:r>
    </w:p>
    <w:p>
      <w:pPr>
        <w:spacing w:after="80"/>
      </w:pPr>
      <w:r>
        <w:t xml:space="preserve">01</w:t>
      </w:r>
    </w:p>
    <w:p>
      <w:pPr>
        <w:pStyle w:val="Heading3"/>
        <w:spacing w:after="100" w:before="240"/>
      </w:pPr>
      <w:r>
        <w:t xml:space="preserve">Przeprowadź audyt PPWR</w:t>
      </w:r>
    </w:p>
    <w:p>
      <w:pPr>
        <w:spacing w:after="80"/>
      </w:pPr>
      <w:r>
        <w:t xml:space="preserve">Sprawdź gotowość magazynu w kilka minut.</w:t>
      </w:r>
    </w:p>
    <w:p>
      <w:pPr>
        <w:spacing w:after="80"/>
      </w:pPr>
      <w:r>
        <w:t xml:space="preserve">Przejdź do audytu →</w:t>
      </w:r>
    </w:p>
    <w:p>
      <w:pPr>
        <w:spacing w:after="80"/>
      </w:pPr>
      <w:r>
        <w:t xml:space="preserve">02</w:t>
      </w:r>
    </w:p>
    <w:p>
      <w:pPr>
        <w:pStyle w:val="Heading3"/>
        <w:spacing w:after="100" w:before="240"/>
      </w:pPr>
      <w:r>
        <w:t xml:space="preserve">Oblicz koszt PPWR</w:t>
      </w:r>
    </w:p>
    <w:p>
      <w:pPr>
        <w:spacing w:after="80"/>
      </w:pPr>
      <w:r>
        <w:t xml:space="preserve">Porównaj opakowania jednorazowe i zwrotne oraz zobacz próg rentowności.</w:t>
      </w:r>
    </w:p>
    <w:p>
      <w:pPr>
        <w:spacing w:after="80"/>
      </w:pPr>
      <w:r>
        <w:t xml:space="preserve">Otwórz kalkulator →</w:t>
      </w:r>
    </w:p>
    <w:p>
      <w:pPr>
        <w:spacing w:after="80"/>
      </w:pPr>
      <w:r>
        <w:t xml:space="preserve">03</w:t>
      </w:r>
    </w:p>
    <w:p>
      <w:pPr>
        <w:pStyle w:val="Heading3"/>
        <w:spacing w:after="100" w:before="240"/>
      </w:pPr>
      <w:r>
        <w:t xml:space="preserve">Zapytaj eksperta</w:t>
      </w:r>
    </w:p>
    <w:p>
      <w:pPr>
        <w:spacing w:after="80"/>
      </w:pPr>
      <w:r>
        <w:t xml:space="preserve">Zapytaj eksperta o PPWR w swojej branży.</w:t>
      </w:r>
    </w:p>
    <w:p>
      <w:pPr>
        <w:spacing w:after="80"/>
      </w:pPr>
      <w:r>
        <w:t xml:space="preserve">Umów rozmowę →</w:t>
      </w:r>
    </w:p>
    <w:p>
      <w:pPr>
        <w:spacing w:after="80"/>
      </w:pPr>
      <w:r>
        <w:t xml:space="preserve">→ przewiń w poziomie, aby odsłonić kolejne kroki</w:t>
      </w:r>
    </w:p>
    <w:p>
      <w:pPr>
        <w:spacing w:after="80"/>
      </w:pPr>
      <w:r>
        <w:t xml:space="preserve">Case Studies</w:t>
      </w:r>
    </w:p>
    <w:p>
      <w:pPr>
        <w:pStyle w:val="Heading2"/>
        <w:spacing w:after="120" w:before="300"/>
      </w:pPr>
      <w:r>
        <w:t xml:space="preserve">Opakowania wielokrotnego użytku we wdrożeniach bekuplast</w:t>
      </w:r>
    </w:p>
    <w:p>
      <w:pPr>
        <w:spacing w:after="80"/>
      </w:pPr>
      <w:r>
        <w:t xml:space="preserve">Każde wdrożenie to osobna historia naszego Klienta. Indywidualne wymagania, do których dopasowujemy optymalne rozwiązania.</w:t>
      </w:r>
    </w:p>
    <w:p>
      <w:pPr>
        <w:spacing w:after="80"/>
      </w:pPr>
      <w:r>
        <w:t xml:space="preserve">[foto wdrożenia]</w:t>
      </w:r>
    </w:p>
    <w:p>
      <w:pPr>
        <w:spacing w:after="80"/>
      </w:pPr>
      <w:r>
        <w:t xml:space="preserve">ROSSMANN</w:t>
      </w:r>
    </w:p>
    <w:p>
      <w:pPr>
        <w:spacing w:after="80"/>
      </w:pPr>
      <w:r>
        <w:t xml:space="preserve">Intralogistyka sieci drogerii (Landsberg, DE) – indywidualnie zaprojektowane pojemniki kompletacyjne w zautomatyzowanym magazynie centralnym.</w:t>
      </w:r>
    </w:p>
    <w:p>
      <w:pPr>
        <w:spacing w:after="80"/>
      </w:pPr>
      <w:r>
        <w:t xml:space="preserve">2025 160 000 pojemników</w:t>
      </w:r>
    </w:p>
    <w:p>
      <w:pPr>
        <w:spacing w:after="80"/>
      </w:pPr>
      <w:r>
        <w:t xml:space="preserve">[foto wdrożenia]</w:t>
      </w:r>
    </w:p>
    <w:p>
      <w:pPr>
        <w:spacing w:after="80"/>
      </w:pPr>
      <w:r>
        <w:t xml:space="preserve">Orbico</w:t>
      </w:r>
    </w:p>
    <w:p>
      <w:pPr>
        <w:spacing w:after="80"/>
      </w:pPr>
      <w:r>
        <w:t xml:space="preserve">Dystrybucja beauty i FMCG (PL) – pojemniki contecline w zautomatyzowanych magazynach drobnych części (AKL/Shuttle).</w:t>
      </w:r>
    </w:p>
    <w:p>
      <w:pPr>
        <w:spacing w:after="80"/>
      </w:pPr>
      <w:r>
        <w:t xml:space="preserve">2023 46 000 pojemników</w:t>
      </w:r>
    </w:p>
    <w:p>
      <w:pPr>
        <w:spacing w:after="80"/>
      </w:pPr>
      <w:r>
        <w:t xml:space="preserve">[foto wdrożenia]</w:t>
      </w:r>
    </w:p>
    <w:p>
      <w:pPr>
        <w:spacing w:after="80"/>
      </w:pPr>
      <w:r>
        <w:t xml:space="preserve">Onninen</w:t>
      </w:r>
    </w:p>
    <w:p>
      <w:pPr>
        <w:spacing w:after="80"/>
      </w:pPr>
      <w:r>
        <w:t xml:space="preserve">Dystrybucja materiałów budowlanych i instalacyjnych (PL) – pojemniki contecline w automatycznym regale Onnimat (projekt DOMINO).</w:t>
      </w:r>
    </w:p>
    <w:p>
      <w:pPr>
        <w:spacing w:after="80"/>
      </w:pPr>
      <w:r>
        <w:t xml:space="preserve">2019 40 000 pojemników</w:t>
      </w:r>
    </w:p>
    <w:p>
      <w:pPr>
        <w:spacing w:after="80"/>
      </w:pPr>
      <w:r>
        <w:t xml:space="preserve">[foto wdrożenia]</w:t>
      </w:r>
    </w:p>
    <w:p>
      <w:pPr>
        <w:spacing w:after="80"/>
      </w:pPr>
      <w:r>
        <w:t xml:space="preserve">Auto Partner SA</w:t>
      </w:r>
    </w:p>
    <w:p>
      <w:pPr>
        <w:spacing w:after="80"/>
      </w:pPr>
      <w:r>
        <w:t xml:space="preserve">Dystrybucja części samochodowych (PL) – pojemniki contecline i silverline w magazynach AKL centrum dystrybucyjnego.</w:t>
      </w:r>
    </w:p>
    <w:p>
      <w:pPr>
        <w:spacing w:after="80"/>
      </w:pPr>
      <w:r>
        <w:t xml:space="preserve">2022 27 000 pojemników</w:t>
      </w:r>
    </w:p>
    <w:p>
      <w:pPr>
        <w:spacing w:after="80"/>
      </w:pPr>
      <w:r>
        <w:t xml:space="preserve">‹ ›</w:t>
      </w:r>
    </w:p>
    <w:p>
      <w:pPr>
        <w:spacing w:after="80"/>
      </w:pPr>
      <w:r>
        <w:t xml:space="preserve">KOSZT PPWR</w:t>
      </w:r>
    </w:p>
    <w:p>
      <w:pPr>
        <w:pStyle w:val="Heading2"/>
        <w:spacing w:after="120" w:before="300"/>
      </w:pPr>
      <w:r>
        <w:t xml:space="preserve">Koszt przejścia na opakowania wielokrotnego użytku</w:t>
      </w:r>
    </w:p>
    <w:p>
      <w:pPr>
        <w:spacing w:after="80"/>
      </w:pPr>
      <w:r>
        <w:t xml:space="preserve">Porównaj koszt opakowań jednorazowych ze zwrotnymi pojemnikami do AKL i shuttle – kalkulator pokaże próg rentowności dla magazynu.</w:t>
      </w:r>
    </w:p>
    <w:p>
      <w:pPr>
        <w:spacing w:after="80"/>
      </w:pPr>
      <w:r>
        <w:t xml:space="preserve">Oblicz koszt PPWR w 2 min.</w:t>
      </w:r>
    </w:p>
    <w:p>
      <w:pPr>
        <w:spacing w:after="80"/>
      </w:pPr>
      <w:r>
        <w:t xml:space="preserve">Kalkulator kosztu PPWR</w:t>
      </w:r>
    </w:p>
    <w:p>
      <w:pPr>
        <w:spacing w:after="80"/>
      </w:pPr>
      <w:r>
        <w:t xml:space="preserve">POWIĄZANE</w:t>
      </w:r>
    </w:p>
    <w:p>
      <w:pPr>
        <w:pStyle w:val="Heading2"/>
        <w:spacing w:after="120" w:before="300"/>
      </w:pPr>
      <w:r>
        <w:t xml:space="preserve">Może Cię też zainteresować</w:t>
      </w:r>
    </w:p>
    <w:p>
      <w:pPr>
        <w:pStyle w:val="Heading4"/>
        <w:spacing w:after="80" w:before="180"/>
      </w:pPr>
      <w:r>
        <w:t xml:space="preserve">Produkcja przemysłowa</w:t>
      </w:r>
    </w:p>
    <w:p>
      <w:pPr>
        <w:spacing w:after="80"/>
      </w:pPr>
      <w:r>
        <w:t xml:space="preserve">Obieg zamknięty wewnątrz zakładu produkcyjnego (art. 29 PPWR).</w:t>
      </w:r>
    </w:p>
    <w:p>
      <w:pPr>
        <w:spacing w:after="80"/>
      </w:pPr>
      <w:r>
        <w:t xml:space="preserve">Zobacz więcej</w:t>
      </w:r>
    </w:p>
    <w:p>
      <w:pPr>
        <w:pStyle w:val="Heading4"/>
        <w:spacing w:after="80" w:before="180"/>
      </w:pPr>
      <w:r>
        <w:t xml:space="preserve">Logistyka i transport (3PL)</w:t>
      </w:r>
    </w:p>
    <w:p>
      <w:pPr>
        <w:spacing w:after="80"/>
      </w:pPr>
      <w:r>
        <w:t xml:space="preserve">Transport B2B między zakładami, operatorzy logistyczni.</w:t>
      </w:r>
    </w:p>
    <w:p>
      <w:pPr>
        <w:spacing w:after="80"/>
      </w:pPr>
      <w:r>
        <w:t xml:space="preserve">Zobacz więcej</w:t>
      </w:r>
    </w:p>
    <w:p>
      <w:pPr>
        <w:pStyle w:val="Heading4"/>
        <w:spacing w:after="80" w:before="180"/>
      </w:pPr>
      <w:r>
        <w:t xml:space="preserve">E-commerce, 3PL i fulfillment</w:t>
      </w:r>
    </w:p>
    <w:p>
      <w:pPr>
        <w:spacing w:after="80"/>
      </w:pPr>
      <w:r>
        <w:t xml:space="preserve">Magazyny typu fulfillment center (art. 29 PPWR).</w:t>
      </w:r>
    </w:p>
    <w:p>
      <w:pPr>
        <w:spacing w:after="80"/>
      </w:pPr>
      <w:r>
        <w:t xml:space="preserve">Zobacz więcej</w:t>
      </w:r>
    </w:p>
    <w:p>
      <w:pPr>
        <w:spacing w:after="80"/>
      </w:pPr>
      <w:r>
        <w:t xml:space="preserve">FAQ</w:t>
      </w:r>
    </w:p>
    <w:p>
      <w:pPr>
        <w:pStyle w:val="Heading2"/>
        <w:spacing w:after="120" w:before="300"/>
      </w:pPr>
      <w:r>
        <w:t xml:space="preserve">Najczęściej zadawane pytania</w:t>
      </w:r>
    </w:p>
    <w:p>
      <w:pPr>
        <w:spacing w:after="80"/>
      </w:pPr>
      <w:r>
        <w:t xml:space="preserve">↓ przewiń pytania</w:t>
      </w:r>
    </w:p>
    <w:p>
      <w:pPr>
        <w:spacing w:after="60" w:before="200"/>
      </w:pPr>
      <w:r>
        <w:rPr>
          <w:b/>
          <w:bCs/>
        </w:rPr>
        <w:t xml:space="preserve">Czym jest intralogistyka?</w:t>
      </w:r>
    </w:p>
    <w:p>
      <w:pPr>
        <w:spacing w:after="80"/>
      </w:pPr>
      <w:r>
        <w:t xml:space="preserve">Intralogistyka to wewnętrzny przepływ materiałów w obrębie jednego zakładu lub między zakładami tej samej firmy. Obejmuje sprzęt (regały, AKL, AGV, AMR, przenośniki), oprogramowanie (WMS, WCS) i pojemniki transportowe.</w:t>
      </w:r>
    </w:p>
    <w:p>
      <w:pPr>
        <w:spacing w:after="60" w:before="200"/>
      </w:pPr>
      <w:r>
        <w:rPr>
          <w:b/>
          <w:bCs/>
        </w:rPr>
        <w:t xml:space="preserve">Czym różni się pojemnik intralogistyczny od skrzynki transportowej?</w:t>
      </w:r>
    </w:p>
    <w:p>
      <w:pPr>
        <w:spacing w:after="80"/>
      </w:pPr>
      <w:r>
        <w:t xml:space="preserve">Pojemnik intralogistyczny ma wyższą precyzję wymiarową i wytrzymałość na sztaplowanie niż standardowa skrzynka transportowa, ma miejsce na znaczniki RFID i pick-by-light oraz jest projektowany pod wielokrotną rotację w obiegu zamkniętym.</w:t>
      </w:r>
    </w:p>
    <w:p>
      <w:pPr>
        <w:spacing w:after="60" w:before="200"/>
      </w:pPr>
      <w:r>
        <w:rPr>
          <w:b/>
          <w:bCs/>
        </w:rPr>
        <w:t xml:space="preserve">Czy pojemniki silverline pasują do magazynów AKL i systemów shuttle?</w:t>
      </w:r>
    </w:p>
    <w:p>
      <w:pPr>
        <w:spacing w:after="80"/>
      </w:pPr>
      <w:r>
        <w:t xml:space="preserve">Tak – projektujemy pojemniki silverline w wymiarach EURO-NORM, które dobieramy do wymagań głównych systemów magazynów automatycznych (AKL, shuttle, miniload). Szczegóły kompatybilności ustalamy indywidualnie pod system w Twoim magazynie.</w:t>
      </w:r>
    </w:p>
    <w:p>
      <w:pPr>
        <w:spacing w:after="60" w:before="200"/>
      </w:pPr>
      <w:r>
        <w:rPr>
          <w:b/>
          <w:bCs/>
        </w:rPr>
        <w:t xml:space="preserve">Czy intralogistyka jest objęta PPWR?</w:t>
      </w:r>
    </w:p>
    <w:p>
      <w:pPr>
        <w:spacing w:after="80"/>
      </w:pPr>
      <w:r>
        <w:t xml:space="preserve">Cele procentowe – co najmniej 40% od 2030 r. oraz dążenie do 70% od 2040 r. – z art. 29 ust. 1 dotyczą podmiotów gospodarczych stosujących opakowania transportowe. Transport między zakładami tej samej firmy lub firm powiązanych reguluje jednak wprost art. 29 ust. 2 – PPWR przewiduje, że od 2030 r. takie opakowania będą opakowaniami wielokrotnego użytku. Poza zakresem pozostaje tylko przepływ w obrębie jednego zakładu. Dochodzi do tego presja OEM-ów i sieci handlowych.</w:t>
      </w:r>
    </w:p>
    <w:p>
      <w:pPr>
        <w:spacing w:after="60" w:before="200"/>
      </w:pPr>
      <w:r>
        <w:rPr>
          <w:b/>
          <w:bCs/>
        </w:rPr>
        <w:t xml:space="preserve">Co to są pojemniki ESD i kiedy są potrzebne?</w:t>
      </w:r>
    </w:p>
    <w:p>
      <w:pPr>
        <w:spacing w:after="80"/>
      </w:pPr>
      <w:r>
        <w:t xml:space="preserve">Pojemniki ESD wykonane z tworzywa PP-ESD stale rozpraszają ładunki elektrostatyczne, chroniąc wrażliwe komponenty elektroniczne przed wyładowaniami (materiał PP-ESD chroni przed wyładowaniami o napięciu 35 V).</w:t>
      </w:r>
    </w:p>
    <w:p>
      <w:pPr>
        <w:spacing w:after="60" w:before="200"/>
      </w:pPr>
      <w:r>
        <w:rPr>
          <w:b/>
          <w:bCs/>
        </w:rPr>
        <w:t xml:space="preserve">Jakie systemy WMS obsługujecie integracją?</w:t>
      </w:r>
    </w:p>
    <w:p>
      <w:pPr>
        <w:spacing w:after="80"/>
      </w:pPr>
      <w:r>
        <w:t xml:space="preserve">Nie integrujemy bezpośrednio (nie jesteśmy dostawcą oprogramowania), ale dopasowujemy pojemniki do systemu WMS klienta: trwałe znakowanie pod kod WMS, znaczniki RFID i wycięcia pod pick-by-light.</w:t>
      </w:r>
    </w:p>
    <w:p>
      <w:pPr>
        <w:spacing w:after="60" w:before="200"/>
      </w:pPr>
      <w:r>
        <w:rPr>
          <w:b/>
          <w:bCs/>
        </w:rPr>
        <w:t xml:space="preserve">Czy projektujecie pojemniki na specjalne wymiary klienta?</w:t>
      </w:r>
    </w:p>
    <w:p>
      <w:pPr>
        <w:spacing w:after="80"/>
      </w:pPr>
      <w:r>
        <w:t xml:space="preserve">Tak – projektujemy pojemniki w indywidualnych wymiarach dopasowanych do systemu magazynowego klienta (m.in. w oparciu o serię contecline do magazynów automatycznych). Produkcja na indywidualne zamówienie – minimalną wielkość i czas realizacji ustalamy indywidualnie.</w:t>
      </w:r>
    </w:p>
    <w:p>
      <w:pPr>
        <w:spacing w:after="80"/>
      </w:pPr>
      <w:r>
        <w:t xml:space="preserve">KONTAKT</w:t>
      </w:r>
    </w:p>
    <w:p>
      <w:pPr>
        <w:pStyle w:val="Heading2"/>
        <w:spacing w:after="120" w:before="300"/>
      </w:pPr>
      <w:r>
        <w:t xml:space="preserve">Omówmy rozwiązanie dla Twojego procesu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Szybki kontakt zwrotny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Rozmawiamy o Twoich konkretnych potrzebach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Bezpłatnie i bez zobowiązań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Możliwość pozyskania próbek produktów</w:t>
      </w:r>
    </w:p>
    <w:p>
      <w:pPr>
        <w:pStyle w:val="Heading3"/>
        <w:spacing w:after="100" w:before="240"/>
      </w:pPr>
      <w:r>
        <w:t xml:space="preserve">Pozostaw dane kontaktowe</w:t>
      </w:r>
    </w:p>
    <w:p>
      <w:pPr>
        <w:spacing w:after="80"/>
      </w:pPr>
      <w:r>
        <w:t xml:space="preserve">[pole: Twoje imię i nazwisko] Imię i nazwisko</w:t>
      </w:r>
    </w:p>
    <w:p>
      <w:pPr>
        <w:spacing w:after="80"/>
      </w:pPr>
      <w:r>
        <w:t xml:space="preserve">[pole: Nazwa firmy] Firma</w:t>
      </w:r>
    </w:p>
    <w:p>
      <w:pPr>
        <w:spacing w:after="80"/>
      </w:pPr>
      <w:r>
        <w:t xml:space="preserve">[pole: Adres e-mail] E-mail</w:t>
      </w:r>
    </w:p>
    <w:p>
      <w:pPr>
        <w:spacing w:after="80"/>
      </w:pPr>
      <w:r>
        <w:t xml:space="preserve">[pole: Numer telefonu] Telefon</w:t>
      </w:r>
    </w:p>
    <w:p>
      <w:pPr>
        <w:spacing w:after="80"/>
      </w:pPr>
      <w:r>
        <w:t xml:space="preserve">Wyrażam zgodę na przetwarzanie danych osobowych i potwierdzam, że zapoznałem/am się z dotyczącą zasad ich przetwarzania. Polityką prywatności</w:t>
      </w:r>
    </w:p>
    <w:p>
      <w:pPr>
        <w:spacing w:after="80"/>
      </w:pPr>
      <w:r>
        <w:t xml:space="preserve">Proszę o kontakt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1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2026-07-17T11:40:21.008Z</dcterms:created>
  <dcterms:modified xsi:type="dcterms:W3CDTF">2026-07-17T11:40:21.008Z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