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Strona 08 – Produkcja przemysłowa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Treść makiety – wersja v14 (16.07.2026) · do recenzji</w:t>
      </w:r>
    </w:p>
    <w:p>
      <w:pPr>
        <w:spacing w:after="240"/>
      </w:pPr>
      <w:r>
        <w:rPr>
          <w:color w:val="444444"/>
          <w:sz w:val="20"/>
          <w:szCs w:val="20"/>
        </w:rPr>
        <w:t xml:space="preserve">Wersja uwzględnia uwagi z 7.07.2026 (arkusz decyzji + zestawienia uwag + zasady z korespondencji). Prosimy o nanoszenie komentarzy bezpośrednio w tym dokumencie.</w:t>
      </w:r>
    </w:p>
    <w:p>
      <w:pPr>
        <w:spacing w:after="80"/>
      </w:pPr>
      <w:r>
        <w:t xml:space="preserve">Wyszukiwarka Lista ofert Porównanie Zapytaj AI PL</w:t>
      </w:r>
    </w:p>
    <w:p>
      <w:pPr>
        <w:spacing w:after="80"/>
      </w:pPr>
      <w:r>
        <w:t xml:space="preserve">Produkty Branże Serwis Aktualności Firma Kontakt z nami</w:t>
      </w:r>
    </w:p>
    <w:p>
      <w:pPr>
        <w:pStyle w:val="Heading1"/>
        <w:spacing w:after="140" w:before="320"/>
      </w:pPr>
      <w:r>
        <w:t xml:space="preserve">Pojemniki transportowe dla produkcji przemysłowej</w:t>
      </w:r>
    </w:p>
    <w:p>
      <w:pPr>
        <w:spacing w:after="80"/>
      </w:pPr>
      <w:r>
        <w:t xml:space="preserve">Pojemniki transportowe i palety plastikowe Euro dla AGD, elektroniki, mebli, chemii i budownictwa. Rozwiązania wspierające systemy opakowań wielokrotnego użytku zgodne z wymaganiami PPWR.</w:t>
      </w:r>
    </w:p>
    <w:p>
      <w:pPr>
        <w:spacing w:after="80"/>
      </w:pPr>
      <w:r>
        <w:t xml:space="preserve">Zapytaj eksperta Przeprowadź audyt PPWR</w:t>
      </w:r>
    </w:p>
    <w:p>
      <w:pPr>
        <w:spacing w:after="80"/>
      </w:pPr>
      <w:r>
        <w:t xml:space="preserve">Ilustracja / foto produktów</w:t>
      </w:r>
    </w:p>
    <w:p>
      <w:pPr>
        <w:spacing w:after="80"/>
      </w:pPr>
      <w:r>
        <w:t xml:space="preserve">Strona główna Rozwiązania branżowe › › Produkcja przemysłowa</w:t>
      </w:r>
    </w:p>
    <w:p>
      <w:pPr>
        <w:spacing w:after="80"/>
      </w:pPr>
      <w:r>
        <w:t xml:space="preserve">▶ Wideo / animacja zapętlona (mute, autoplay) – produkty w cyklu ponownego użycia</w:t>
      </w:r>
    </w:p>
    <w:p>
      <w:pPr>
        <w:spacing w:after="80"/>
      </w:pPr>
      <w:r>
        <w:t xml:space="preserve">NAJWAŻNIEJSZE</w:t>
      </w:r>
    </w:p>
    <w:p>
      <w:pPr>
        <w:pStyle w:val="Heading2"/>
        <w:spacing w:after="120" w:before="300"/>
      </w:pPr>
      <w:r>
        <w:t xml:space="preserve">Kluczowe wnioski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Dotyczy to przepływu między różnymi miejscami działalności tego samego podmiotu, przedsiębiorstw powiązanych lub partnerskich. Art. 29 ust. 2 PPWR przewiduje, że od 2030 r. opakowania transportowe w obiegu wewnątrz firmy będą opakowaniami wielokrotnego użytku.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 przemyśle Europy Zachodniej (m.in. motoryzacja, AGD, elektronika), a polski rynek dynamicznie wdraża ten model w związku z nadchodzącymi obowiązkami PPWR. Obieg zamknięty wewnątrz firmy jest ugruntowaną praktyką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– AGD, RTV, elektronika konsumencka, meble, chemia ogólna, budownictwo, tekstylia, narzędzia i części zamienne. Rozwiązania dla wielu branż przemysłu w jednym miejscu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(baza 800×600 mm) sprawdzają się przy dużych wolumenach w produkcji (AGD, meble, narzędzia). Pojemniki basicline plus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mogą stanowić alternatywę dla palet drewnianych EPAL – nie podlegają obróbce ISPM-15 i cechują się długą żywotnością w obiegu zamkniętym. Palety plastikowe Euro</w:t>
      </w:r>
    </w:p>
    <w:p>
      <w:pPr>
        <w:spacing w:after="80"/>
      </w:pPr>
      <w:r>
        <w:t xml:space="preserve">WYZWANIA</w:t>
      </w:r>
    </w:p>
    <w:p>
      <w:pPr>
        <w:pStyle w:val="Heading2"/>
        <w:spacing w:after="120" w:before="300"/>
      </w:pPr>
      <w:r>
        <w:t xml:space="preserve">Cztery wyzwania producentów przemysłowych</w:t>
      </w:r>
    </w:p>
    <w:p>
      <w:pPr>
        <w:spacing w:after="80"/>
      </w:pPr>
      <w:r>
        <w:t xml:space="preserve">Pokazujemy, jak pojemniki transportowe domykają obieg między zakładami w produkcji przemysłowej.</w:t>
      </w:r>
    </w:p>
    <w:p>
      <w:pPr>
        <w:spacing w:after="80"/>
      </w:pPr>
      <w:r>
        <w:t xml:space="preserve">↓ przewiń kolejne wyzwania</w:t>
      </w:r>
    </w:p>
    <w:p>
      <w:pPr>
        <w:spacing w:after="80"/>
      </w:pPr>
      <w:r>
        <w:t xml:space="preserve">01</w:t>
      </w:r>
    </w:p>
    <w:p>
      <w:pPr>
        <w:pStyle w:val="Heading3"/>
        <w:spacing w:after="100" w:before="240"/>
      </w:pPr>
      <w:r>
        <w:t xml:space="preserve">Obieg zamknięty wewnątrz firmy – art. 29 ust. 2 PPWR</w:t>
      </w:r>
    </w:p>
    <w:p>
      <w:pPr>
        <w:spacing w:after="80"/>
      </w:pPr>
      <w:r>
        <w:t xml:space="preserve">Producent AGD z 3 zakładami w Polsce i 2 centrami dystrybucyjnymi – PPWR przewiduje, że od 2030 r. pojemniki transportowe krążące między tymi 5 lokalizacjami będą opakowaniami wielokrotnego użytku.</w:t>
      </w:r>
    </w:p>
    <w:p>
      <w:pPr>
        <w:spacing w:after="80"/>
      </w:pPr>
      <w:r>
        <w:t xml:space="preserve">[basicline plus]</w:t>
      </w:r>
    </w:p>
    <w:p>
      <w:pPr>
        <w:spacing w:after="80"/>
      </w:pPr>
      <w:r>
        <w:t xml:space="preserve">basicline / basicline plus</w:t>
      </w:r>
    </w:p>
    <w:p>
      <w:pPr>
        <w:spacing w:after="80"/>
      </w:pPr>
      <w:r>
        <w:t xml:space="preserve">EURO-NORM · palety plastikowe Euro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02</w:t>
      </w:r>
    </w:p>
    <w:p>
      <w:pPr>
        <w:pStyle w:val="Heading3"/>
        <w:spacing w:after="100" w:before="240"/>
      </w:pPr>
      <w:r>
        <w:t xml:space="preserve">Pojemniki dla AKL i magazynów automatycznych</w:t>
      </w:r>
    </w:p>
    <w:p>
      <w:pPr>
        <w:spacing w:after="80"/>
      </w:pPr>
      <w:r>
        <w:t xml:space="preserve">Nowoczesna produkcja przemysłowa to automatyczny magazyn (AKL), linia produkcyjna i automatyczna stacja pakowania. Pojemniki muszą mieć precyzyjne, powtarzalne wymiary zgodne z EURO-NORM, zapewniające niezawodną obsługę w magazynach automatycznych (AKL).</w:t>
      </w:r>
    </w:p>
    <w:p>
      <w:pPr>
        <w:spacing w:after="80"/>
      </w:pPr>
      <w:r>
        <w:t xml:space="preserve">[silverline / contecline]</w:t>
      </w:r>
    </w:p>
    <w:p>
      <w:pPr>
        <w:spacing w:after="80"/>
      </w:pPr>
      <w:r>
        <w:t xml:space="preserve">silverline / contecline</w:t>
      </w:r>
    </w:p>
    <w:p>
      <w:pPr>
        <w:spacing w:after="80"/>
      </w:pPr>
      <w:r>
        <w:t xml:space="preserve">AKL · precyzja EURO-NORM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03</w:t>
      </w:r>
    </w:p>
    <w:p>
      <w:pPr>
        <w:pStyle w:val="Heading3"/>
        <w:spacing w:after="100" w:before="240"/>
      </w:pPr>
      <w:r>
        <w:t xml:space="preserve">Opakowania dla komponentów wielkogabarytowych</w:t>
      </w:r>
    </w:p>
    <w:p>
      <w:pPr>
        <w:spacing w:after="80"/>
      </w:pPr>
      <w:r>
        <w:t xml:space="preserve">Producenci AGD (lodówki, pralki), mebli i materiałów budowlanych potrzebują opakowań większych niż standardowe pojemniki – do komponentów wielkogabarytowych sprawdzają się palety plastikowe i pojemniki wielkogabarytowe.</w:t>
      </w:r>
    </w:p>
    <w:p>
      <w:pPr>
        <w:spacing w:after="80"/>
      </w:pPr>
      <w:r>
        <w:t xml:space="preserve">[Pojemniki wielkogabarytowe]</w:t>
      </w:r>
    </w:p>
    <w:p>
      <w:pPr>
        <w:spacing w:after="80"/>
      </w:pPr>
      <w:r>
        <w:t xml:space="preserve">Palety plastikowe i pojemniki wielkogabarytowe</w:t>
      </w:r>
    </w:p>
    <w:p>
      <w:pPr>
        <w:spacing w:after="80"/>
      </w:pPr>
      <w:r>
        <w:t xml:space="preserve">1200×1000 / 1200×800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04</w:t>
      </w:r>
    </w:p>
    <w:p>
      <w:pPr>
        <w:pStyle w:val="Heading3"/>
        <w:spacing w:after="100" w:before="240"/>
      </w:pPr>
      <w:r>
        <w:t xml:space="preserve">Palety drewniane i obróbka ISPM-15 przy eksporcie</w:t>
      </w:r>
    </w:p>
    <w:p>
      <w:pPr>
        <w:spacing w:after="80"/>
      </w:pPr>
      <w:r>
        <w:t xml:space="preserve">Palety drewniane w eksporcie poza UE wymagają obróbki fitosanitarnej według normy ISPM-15 (obróbka termiczna lub fumigacja) i znaku IPPC. Palety z tworzywa są poza zakresem tej normy – nie wymagają takiej obróbki ani certyfikacji.</w:t>
      </w:r>
    </w:p>
    <w:p>
      <w:pPr>
        <w:spacing w:after="80"/>
      </w:pPr>
      <w:r>
        <w:t xml:space="preserve">[Palety Euro]</w:t>
      </w:r>
    </w:p>
    <w:p>
      <w:pPr>
        <w:spacing w:after="80"/>
      </w:pPr>
      <w:r>
        <w:t xml:space="preserve">Palety plastikowe Euro</w:t>
      </w:r>
    </w:p>
    <w:p>
      <w:pPr>
        <w:spacing w:after="80"/>
      </w:pPr>
      <w:r>
        <w:t xml:space="preserve">bez obróbki ISPM-15 · długa żywotność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PRODUKTY</w:t>
      </w:r>
    </w:p>
    <w:p>
      <w:pPr>
        <w:pStyle w:val="Heading2"/>
        <w:spacing w:after="120" w:before="300"/>
      </w:pPr>
      <w:r>
        <w:t xml:space="preserve">Pojemniki i palety dla produkcji przemysłowej</w:t>
      </w:r>
    </w:p>
    <w:p>
      <w:pPr>
        <w:spacing w:after="80"/>
      </w:pPr>
      <w:r>
        <w:t xml:space="preserve">[silverline]</w:t>
      </w:r>
    </w:p>
    <w:p>
      <w:pPr>
        <w:pStyle w:val="Heading4"/>
        <w:spacing w:after="80" w:before="180"/>
      </w:pPr>
      <w:r>
        <w:t xml:space="preserve">silverline</w:t>
      </w:r>
    </w:p>
    <w:p>
      <w:pPr>
        <w:spacing w:after="80"/>
      </w:pPr>
      <w:r>
        <w:t xml:space="preserve">Obieg zamknięty między zakładami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basicline</w:t>
      </w:r>
    </w:p>
    <w:p>
      <w:pPr>
        <w:spacing w:after="80"/>
      </w:pPr>
      <w:r>
        <w:t xml:space="preserve">Uniwersalne B2B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basicline plus</w:t>
      </w:r>
    </w:p>
    <w:p>
      <w:pPr>
        <w:spacing w:after="80"/>
      </w:pPr>
      <w:r>
        <w:t xml:space="preserve">AGD, meble, narzędzia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contecline</w:t>
      </w:r>
    </w:p>
    <w:p>
      <w:pPr>
        <w:spacing w:after="80"/>
      </w:pPr>
      <w:r>
        <w:t xml:space="preserve">Magazyny AKL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ESD</w:t>
      </w:r>
    </w:p>
    <w:p>
      <w:pPr>
        <w:spacing w:after="80"/>
      </w:pPr>
      <w:r>
        <w:t xml:space="preserve">Elektronika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Palety Euro</w:t>
      </w:r>
    </w:p>
    <w:p>
      <w:pPr>
        <w:spacing w:after="80"/>
      </w:pPr>
      <w:r>
        <w:t xml:space="preserve">Bez obróbki ISPM-15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ERGline</w:t>
      </w:r>
    </w:p>
    <w:p>
      <w:pPr>
        <w:spacing w:after="80"/>
      </w:pPr>
      <w:r>
        <w:t xml:space="preserve">dystrybucja, logistyka zwrotna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Indywidualne</w:t>
      </w:r>
    </w:p>
    <w:p>
      <w:pPr>
        <w:spacing w:after="80"/>
      </w:pPr>
      <w:r>
        <w:t xml:space="preserve">Pod aplikację</w:t>
      </w:r>
    </w:p>
    <w:p>
      <w:pPr>
        <w:spacing w:after="80"/>
      </w:pPr>
      <w:r>
        <w:t xml:space="preserve">Zobacz serię →</w:t>
      </w:r>
    </w:p>
    <w:p>
      <w:pPr>
        <w:spacing w:after="80"/>
      </w:pPr>
      <w:r>
        <w:t xml:space="preserve">PPWR · ZGODNOŚĆ</w:t>
      </w:r>
    </w:p>
    <w:p>
      <w:pPr>
        <w:pStyle w:val="Heading2"/>
        <w:spacing w:after="120" w:before="300"/>
      </w:pPr>
      <w:r>
        <w:t xml:space="preserve">PPWR dla producentów – art. 29 i co konkretnie musisz zrobić</w:t>
      </w:r>
    </w:p>
    <w:p>
      <w:pPr>
        <w:spacing w:after="80"/>
      </w:pPr>
      <w:r>
        <w:t xml:space="preserve">Art. 29 ust. 2 PPWR przewiduje, że od 1 stycznia 2030 r. opakowania transportowe w obiegu wewnątrz firmy – między zakładami produkcyjnymi, magazynami DC i centrami dystrybucji tego samego podmiotu lub przedsiębiorstw powiązanych lub partnerskich – będą opakowaniami wielokrotnego użytku. Rozporządzenie nie podaje tu wprost wartości procentowej.</w:t>
      </w:r>
    </w:p>
    <w:p>
      <w:pPr>
        <w:spacing w:after="80"/>
      </w:pPr>
      <w:r>
        <w:t xml:space="preserve">‹ ›</w:t>
      </w:r>
    </w:p>
    <w:p>
      <w:pPr>
        <w:spacing w:after="80"/>
      </w:pPr>
      <w:r>
        <w:t xml:space="preserve">Art. 29 ust. 2</w:t>
      </w:r>
    </w:p>
    <w:p>
      <w:pPr>
        <w:spacing w:after="80"/>
      </w:pPr>
      <w:r>
        <w:t xml:space="preserve">PPWR przewiduje, że od 2030 r. opakowania transportowe w obiegu między zakładami tego samego przedsiębiorstwa lub przedsiębiorstw powiązanych będą opakowaniami wielokrotnego użytku.</w:t>
      </w:r>
    </w:p>
    <w:p>
      <w:pPr>
        <w:spacing w:after="80"/>
      </w:pPr>
      <w:r>
        <w:t xml:space="preserve">Art. 29 ust. 1</w:t>
      </w:r>
    </w:p>
    <w:p>
      <w:pPr>
        <w:spacing w:after="80"/>
      </w:pPr>
      <w:r>
        <w:t xml:space="preserve">Producent stosujący opakowania transportowe zapewnia co najmniej 40% opakowań wielokrotnego użytku (2030); od 2040 r. – dążenie do 70%.</w:t>
      </w:r>
    </w:p>
    <w:p>
      <w:pPr>
        <w:spacing w:after="80"/>
      </w:pPr>
      <w:r>
        <w:t xml:space="preserve">Art. 5 PFAS</w:t>
      </w:r>
    </w:p>
    <w:p>
      <w:pPr>
        <w:spacing w:after="80"/>
      </w:pPr>
      <w:r>
        <w:t xml:space="preserve">Ogranicza zawartość PFAS w opakowaniach mających kontakt z żywnością (od 12.08.2026). Dotyczy producentów takich opakowań.</w:t>
      </w:r>
    </w:p>
    <w:p>
      <w:pPr>
        <w:spacing w:after="80"/>
      </w:pPr>
      <w:r>
        <w:t xml:space="preserve">Art. 24</w:t>
      </w:r>
    </w:p>
    <w:p>
      <w:pPr>
        <w:spacing w:after="80"/>
      </w:pPr>
      <w:r>
        <w:t xml:space="preserve">Ograniczenie nadmiernej pustej przestrzeni w opakowaniu – maksymalnie 50% objętości.</w:t>
      </w:r>
    </w:p>
    <w:p>
      <w:pPr>
        <w:spacing w:after="80"/>
      </w:pPr>
      <w:r>
        <w:t xml:space="preserve">NASTĘPNE KROKI</w:t>
      </w:r>
    </w:p>
    <w:p>
      <w:pPr>
        <w:pStyle w:val="Heading2"/>
        <w:spacing w:after="120" w:before="300"/>
      </w:pPr>
      <w:r>
        <w:t xml:space="preserve">Co możesz zrobić już teraz</w:t>
      </w:r>
    </w:p>
    <w:p>
      <w:pPr>
        <w:pBdr>
          <w:left w:val="single" w:color="65B32E" w:sz="12"/>
        </w:pBdr>
        <w:spacing w:after="40" w:before="160"/>
        <w:ind w:left="420"/>
      </w:pPr>
      <w:r>
        <w:rPr>
          <w:i/>
          <w:iCs/>
        </w:rPr>
        <w:t xml:space="preserve">PPWR przewiduje, że od 2030 r. opakowania transportowe w obiegu między różnymi miejscami działalności tego samego podmiotu oraz przedsiębiorstw powiązanych lub partnerskich w UE będą opakowaniami wielokrotnego użytku (art. 29 ust. 2).</w:t>
      </w:r>
    </w:p>
    <w:p>
      <w:pPr>
        <w:spacing w:after="140"/>
        <w:ind w:left="420"/>
      </w:pPr>
      <w:r>
        <w:rPr>
          <w:i/>
          <w:iCs/>
          <w:color w:val="666666"/>
          <w:sz w:val="18"/>
          <w:szCs w:val="18"/>
        </w:rPr>
        <w:t xml:space="preserve">zgodnie z rozporządzeniem (UE) 2025/40 Parlamentu Europejskiego i Rady z dnia 19 grudnia 2024 r. w sprawie opakowań i odpadów opakowaniowych (PPWR)</w:t>
      </w:r>
    </w:p>
    <w:p>
      <w:pPr>
        <w:spacing w:after="80"/>
      </w:pPr>
      <w:r>
        <w:t xml:space="preserve">01</w:t>
      </w:r>
    </w:p>
    <w:p>
      <w:pPr>
        <w:pStyle w:val="Heading3"/>
        <w:spacing w:after="100" w:before="240"/>
      </w:pPr>
      <w:r>
        <w:t xml:space="preserve">Przeprowadź audyt PPWR</w:t>
      </w:r>
    </w:p>
    <w:p>
      <w:pPr>
        <w:spacing w:after="80"/>
      </w:pPr>
      <w:r>
        <w:t xml:space="preserve">Sprawdź gotowość zakładu do wymogów PPWR.</w:t>
      </w:r>
    </w:p>
    <w:p>
      <w:pPr>
        <w:spacing w:after="80"/>
      </w:pPr>
      <w:r>
        <w:t xml:space="preserve">Przejdź do audytu →</w:t>
      </w:r>
    </w:p>
    <w:p>
      <w:pPr>
        <w:spacing w:after="80"/>
      </w:pPr>
      <w:r>
        <w:t xml:space="preserve">02</w:t>
      </w:r>
    </w:p>
    <w:p>
      <w:pPr>
        <w:pStyle w:val="Heading3"/>
        <w:spacing w:after="100" w:before="240"/>
      </w:pPr>
      <w:r>
        <w:t xml:space="preserve">Oblicz koszt PPWR</w:t>
      </w:r>
    </w:p>
    <w:p>
      <w:pPr>
        <w:spacing w:after="80"/>
      </w:pPr>
      <w:r>
        <w:t xml:space="preserve">Porównaj opakowania jednorazowe i zwrotne oraz zobacz próg rentowności.</w:t>
      </w:r>
    </w:p>
    <w:p>
      <w:pPr>
        <w:spacing w:after="80"/>
      </w:pPr>
      <w:r>
        <w:t xml:space="preserve">Otwórz kalkulator →</w:t>
      </w:r>
    </w:p>
    <w:p>
      <w:pPr>
        <w:spacing w:after="80"/>
      </w:pPr>
      <w:r>
        <w:t xml:space="preserve">03</w:t>
      </w:r>
    </w:p>
    <w:p>
      <w:pPr>
        <w:pStyle w:val="Heading3"/>
        <w:spacing w:after="100" w:before="240"/>
      </w:pPr>
      <w:r>
        <w:t xml:space="preserve">Zapytaj eksperta</w:t>
      </w:r>
    </w:p>
    <w:p>
      <w:pPr>
        <w:spacing w:after="80"/>
      </w:pPr>
      <w:r>
        <w:t xml:space="preserve">Zapytaj eksperta o PPWR w swojej branży.</w:t>
      </w:r>
    </w:p>
    <w:p>
      <w:pPr>
        <w:spacing w:after="80"/>
      </w:pPr>
      <w:r>
        <w:t xml:space="preserve">Umów rozmowę →</w:t>
      </w:r>
    </w:p>
    <w:p>
      <w:pPr>
        <w:spacing w:after="80"/>
      </w:pPr>
      <w:r>
        <w:t xml:space="preserve">→ przewiń w poziomie, aby odsłonić kolejne kroki</w:t>
      </w:r>
    </w:p>
    <w:p>
      <w:pPr>
        <w:spacing w:after="80"/>
      </w:pPr>
      <w:r>
        <w:t xml:space="preserve">Case Studies</w:t>
      </w:r>
    </w:p>
    <w:p>
      <w:pPr>
        <w:pStyle w:val="Heading2"/>
        <w:spacing w:after="120" w:before="300"/>
      </w:pPr>
      <w:r>
        <w:t xml:space="preserve">Opakowania wielokrotnego użytku we wdrożeniach bekuplast</w:t>
      </w:r>
    </w:p>
    <w:p>
      <w:pPr>
        <w:spacing w:after="80"/>
      </w:pPr>
      <w:r>
        <w:t xml:space="preserve">Każde wdrożenie to osobna historia naszego Klienta – indywidualne wymagania, do których dopasowujemy optymalne rozwiązania.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ROSSMANN</w:t>
      </w:r>
    </w:p>
    <w:p>
      <w:pPr>
        <w:spacing w:after="80"/>
      </w:pPr>
      <w:r>
        <w:t xml:space="preserve">Intralogistyka centralnego magazynu (Landsberg, Niemcy) – pojemniki obiegowe w magazynie centralnym.</w:t>
      </w:r>
    </w:p>
    <w:p>
      <w:pPr>
        <w:spacing w:after="80"/>
      </w:pPr>
      <w:r>
        <w:t xml:space="preserve">2025 160 000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Orbico</w:t>
      </w:r>
    </w:p>
    <w:p>
      <w:pPr>
        <w:spacing w:after="80"/>
      </w:pPr>
      <w:r>
        <w:t xml:space="preserve">Dystrybucja beauty i FMCG (PL) – pojemniki contecline dla zautomatyzowanych magazynów AKL/Shuttle.</w:t>
      </w:r>
    </w:p>
    <w:p>
      <w:pPr>
        <w:spacing w:after="80"/>
      </w:pPr>
      <w:r>
        <w:t xml:space="preserve">2023 46 000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Onninen</w:t>
      </w:r>
    </w:p>
    <w:p>
      <w:pPr>
        <w:spacing w:after="80"/>
      </w:pPr>
      <w:r>
        <w:t xml:space="preserve">Dystrybucja materiałów budowlanych i instalacyjnych (PL) – pojemniki contecline.</w:t>
      </w:r>
    </w:p>
    <w:p>
      <w:pPr>
        <w:spacing w:after="80"/>
      </w:pPr>
      <w:r>
        <w:t xml:space="preserve">2019 40 000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Auto Partner SA</w:t>
      </w:r>
    </w:p>
    <w:p>
      <w:pPr>
        <w:spacing w:after="80"/>
      </w:pPr>
      <w:r>
        <w:t xml:space="preserve">Dystrybucja części samochodowych (PL) – pojemniki contecline i silverline w magazynach AKL/Shuttle.</w:t>
      </w:r>
    </w:p>
    <w:p>
      <w:pPr>
        <w:spacing w:after="80"/>
      </w:pPr>
      <w:r>
        <w:t xml:space="preserve">2022 27 000 pojemników</w:t>
      </w:r>
    </w:p>
    <w:p>
      <w:pPr>
        <w:spacing w:after="80"/>
      </w:pPr>
      <w:r>
        <w:t xml:space="preserve">‹ ›</w:t>
      </w:r>
    </w:p>
    <w:p>
      <w:pPr>
        <w:spacing w:after="80"/>
      </w:pPr>
      <w:r>
        <w:t xml:space="preserve">KOSZT PPWR</w:t>
      </w:r>
    </w:p>
    <w:p>
      <w:pPr>
        <w:pStyle w:val="Heading2"/>
        <w:spacing w:after="120" w:before="300"/>
      </w:pPr>
      <w:r>
        <w:t xml:space="preserve">Koszt przejścia na opakowania wielokrotnego użytku</w:t>
      </w:r>
    </w:p>
    <w:p>
      <w:pPr>
        <w:spacing w:after="80"/>
      </w:pPr>
      <w:r>
        <w:t xml:space="preserve">Porównaj koszt opakowań jednorazowych z kosztem pojemników zwrotnych w obiegu zamkniętym – kalkulator pomoże oszacować próg rentowności przejścia na opakowania wielokrotnego użytku.</w:t>
      </w:r>
    </w:p>
    <w:p>
      <w:pPr>
        <w:spacing w:after="80"/>
      </w:pPr>
      <w:r>
        <w:t xml:space="preserve">Oblicz koszt PPWR</w:t>
      </w:r>
    </w:p>
    <w:p>
      <w:pPr>
        <w:spacing w:after="80"/>
      </w:pPr>
      <w:r>
        <w:t xml:space="preserve">Kalkulator kosztu PPWR</w:t>
      </w:r>
    </w:p>
    <w:p>
      <w:pPr>
        <w:spacing w:after="80"/>
      </w:pPr>
      <w:r>
        <w:t xml:space="preserve">POWIĄZANE</w:t>
      </w:r>
    </w:p>
    <w:p>
      <w:pPr>
        <w:pStyle w:val="Heading2"/>
        <w:spacing w:after="120" w:before="300"/>
      </w:pPr>
      <w:r>
        <w:t xml:space="preserve">Może Cię też zainteresować</w:t>
      </w:r>
    </w:p>
    <w:p>
      <w:pPr>
        <w:pStyle w:val="Heading4"/>
        <w:spacing w:after="80" w:before="180"/>
      </w:pPr>
      <w:r>
        <w:t xml:space="preserve">Intralogistyka i magazyn</w:t>
      </w:r>
    </w:p>
    <w:p>
      <w:pPr>
        <w:spacing w:after="80"/>
      </w:pPr>
      <w:r>
        <w:t xml:space="preserve">Pojemniki AKL, shuttle, miniload dla automatyzacji magazynowej.</w:t>
      </w:r>
    </w:p>
    <w:p>
      <w:pPr>
        <w:spacing w:after="80"/>
      </w:pPr>
      <w:r>
        <w:t xml:space="preserve">Zobacz więcej</w:t>
      </w:r>
    </w:p>
    <w:p>
      <w:pPr>
        <w:pStyle w:val="Heading4"/>
        <w:spacing w:after="80" w:before="180"/>
      </w:pPr>
      <w:r>
        <w:t xml:space="preserve">Przemysł motoryzacyjny i automotive</w:t>
      </w:r>
    </w:p>
    <w:p>
      <w:pPr>
        <w:spacing w:after="80"/>
      </w:pPr>
      <w:r>
        <w:t xml:space="preserve">VDA-KLT, dostawcy tier-1/2/3, closed-loop OEM.</w:t>
      </w:r>
    </w:p>
    <w:p>
      <w:pPr>
        <w:spacing w:after="80"/>
      </w:pPr>
      <w:r>
        <w:t xml:space="preserve">Zobacz więcej</w:t>
      </w:r>
    </w:p>
    <w:p>
      <w:pPr>
        <w:pStyle w:val="Heading4"/>
        <w:spacing w:after="80" w:before="180"/>
      </w:pPr>
      <w:r>
        <w:t xml:space="preserve">Farmacja i kosmetyki</w:t>
      </w:r>
    </w:p>
    <w:p>
      <w:pPr>
        <w:spacing w:after="80"/>
      </w:pPr>
      <w:r>
        <w:t xml:space="preserve">Pojemniki ESD dla farmacji i chemii specjalistycznej.</w:t>
      </w:r>
    </w:p>
    <w:p>
      <w:pPr>
        <w:spacing w:after="80"/>
      </w:pPr>
      <w:r>
        <w:t xml:space="preserve">Zobacz więcej</w:t>
      </w:r>
    </w:p>
    <w:p>
      <w:pPr>
        <w:spacing w:after="80"/>
      </w:pPr>
      <w:r>
        <w:t xml:space="preserve">FAQ</w:t>
      </w:r>
    </w:p>
    <w:p>
      <w:pPr>
        <w:pStyle w:val="Heading2"/>
        <w:spacing w:after="120" w:before="300"/>
      </w:pPr>
      <w:r>
        <w:t xml:space="preserve">Najczęściej zadawane pytania</w:t>
      </w:r>
    </w:p>
    <w:p>
      <w:pPr>
        <w:spacing w:after="80"/>
      </w:pPr>
      <w:r>
        <w:t xml:space="preserve">↓ przewiń pytania</w:t>
      </w:r>
    </w:p>
    <w:p>
      <w:pPr>
        <w:spacing w:after="60" w:before="200"/>
      </w:pPr>
      <w:r>
        <w:rPr>
          <w:b/>
          <w:bCs/>
        </w:rPr>
        <w:t xml:space="preserve">Co to jest art. 29 ust. 2 PPWR i kogo dotyczy?</w:t>
      </w:r>
    </w:p>
    <w:p>
      <w:pPr>
        <w:spacing w:after="80"/>
      </w:pPr>
      <w:r>
        <w:t xml:space="preserve">Art. 29 ust. 2 PPWR przewiduje, że od 2030 r. opakowania transportowe w obiegu wewnątrz firmy – między różnymi miejscami działalności tego samego podmiotu lub przedsiębiorstw powiązanych lub partnerskich – będą opakowaniami wielokrotnego użytku. Dotyczy podmiotów gospodarczych stosujących opakowania transportowe w takim obiegu.</w:t>
      </w:r>
    </w:p>
    <w:p>
      <w:pPr>
        <w:spacing w:after="60" w:before="200"/>
      </w:pPr>
      <w:r>
        <w:rPr>
          <w:b/>
          <w:bCs/>
        </w:rPr>
        <w:t xml:space="preserve">Czy pojedynczy zakład produkcyjny jest objęty art. 29?</w:t>
      </w:r>
    </w:p>
    <w:p>
      <w:pPr>
        <w:spacing w:after="80"/>
      </w:pPr>
      <w:r>
        <w:t xml:space="preserve">Art. 29 ust. 2 dotyczy opakowań transportowych w obiegu między różnymi miejscami działalności tego samego podmiotu lub przedsiębiorstw powiązanych lub partnerskich – pojedynczy zakład bez takiego obiegu co do zasady nie podlega tej części przepisów. Może go jednak objąć art. 29 ust. 1 (cel 40% dla podmiotów stosujących opakowania transportowe), gdy dostarcza produkty dalej w łańcuchu.</w:t>
      </w:r>
    </w:p>
    <w:p>
      <w:pPr>
        <w:spacing w:after="60" w:before="200"/>
      </w:pPr>
      <w:r>
        <w:rPr>
          <w:b/>
          <w:bCs/>
        </w:rPr>
        <w:t xml:space="preserve">Jakie pojemniki polecacie do obiegu zamkniętego w branży AGD?</w:t>
      </w:r>
    </w:p>
    <w:p>
      <w:pPr>
        <w:spacing w:after="80"/>
      </w:pPr>
      <w:r>
        <w:t xml:space="preserve">Pojemniki basicline plus dla średnich i dużych komponentów AGD, silverline dla magazynów AKL oraz palety plastikowe Euro dla transportu międzyzakładowego.</w:t>
      </w:r>
    </w:p>
    <w:p>
      <w:pPr>
        <w:spacing w:after="60" w:before="200"/>
      </w:pPr>
      <w:r>
        <w:rPr>
          <w:b/>
          <w:bCs/>
        </w:rPr>
        <w:t xml:space="preserve">Czy palety plastikowe Euro są kompatybilne z systemami magazynów automatycznych (AKL)?</w:t>
      </w:r>
    </w:p>
    <w:p>
      <w:pPr>
        <w:spacing w:after="80"/>
      </w:pPr>
      <w:r>
        <w:t xml:space="preserve">Tak – produkujemy palety plastikowe Euro w standardowych wymiarach EURO-NORM, kompatybilne z powszechnie stosowanymi systemami magazynów automatycznych. Dokładne wymiary dobieramy do wymagań Twojej instalacji.</w:t>
      </w:r>
    </w:p>
    <w:p>
      <w:pPr>
        <w:spacing w:after="60" w:before="200"/>
      </w:pPr>
      <w:r>
        <w:rPr>
          <w:b/>
          <w:bCs/>
        </w:rPr>
        <w:t xml:space="preserve">Ile cykli wytrzymują palety plastikowe?</w:t>
      </w:r>
    </w:p>
    <w:p>
      <w:pPr>
        <w:spacing w:after="80"/>
      </w:pPr>
      <w:r>
        <w:t xml:space="preserve">Palety plastikowe zapewniają wieloletnią eksploatację w obiegu zamkniętym – konkretna żywotność zależy od profilu obciążeń i liczby cykli w Twoim procesie. Palety drewniane zwykle mają krótszą żywotność i wymagają napraw oraz wymiany uszkodzonych elementów.</w:t>
      </w:r>
    </w:p>
    <w:p>
      <w:pPr>
        <w:spacing w:after="60" w:before="200"/>
      </w:pPr>
      <w:r>
        <w:rPr>
          <w:b/>
          <w:bCs/>
        </w:rPr>
        <w:t xml:space="preserve">Czy mogę porównać koszt obiegu zamkniętego z obecnym modelem jednorazowym?</w:t>
      </w:r>
    </w:p>
    <w:p>
      <w:pPr>
        <w:spacing w:after="80"/>
      </w:pPr>
      <w:r>
        <w:t xml:space="preserve">Tak – kalkulator kosztu PPWR pomoże porównać obecny model z obiegiem zamkniętym: podajesz liczbę dostaw między zakładami, obecny model i skalę roczną, a otrzymujesz wynik kierunkowy w zakresie progu rentowności przejścia na opakowania zwrotne.</w:t>
      </w:r>
    </w:p>
    <w:p>
      <w:pPr>
        <w:spacing w:after="60" w:before="200"/>
      </w:pPr>
      <w:r>
        <w:rPr>
          <w:b/>
          <w:bCs/>
        </w:rPr>
        <w:t xml:space="preserve">Czy oferujecie znakowanie indywidualne dla producenta?</w:t>
      </w:r>
    </w:p>
    <w:p>
      <w:pPr>
        <w:spacing w:after="80"/>
      </w:pPr>
      <w:r>
        <w:t xml:space="preserve">Tak – oferujemy indywidualne znakowanie i personalizację pojemników (m.in. logo firmy), a w razie potrzeby przygotowanie miejsca pod tag RFID. Dostępne metody i szczegóły dobieramy pod konkretne zastosowanie. Docelowo opakowania obejmie zharmonizowane oznakowanie (cyfrowy nośnik danych) przewidziane w PPWR – szczegółowy termin i format wynikają z unijnych aktów wykonawczych.</w:t>
      </w:r>
    </w:p>
    <w:p>
      <w:pPr>
        <w:spacing w:after="80"/>
      </w:pPr>
      <w:r>
        <w:t xml:space="preserve">KONTAKT</w:t>
      </w:r>
    </w:p>
    <w:p>
      <w:pPr>
        <w:pStyle w:val="Heading2"/>
        <w:spacing w:after="120" w:before="300"/>
      </w:pPr>
      <w: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Możliwość pozyskania próbek produktów</w:t>
      </w:r>
    </w:p>
    <w:p>
      <w:pPr>
        <w:pStyle w:val="Heading3"/>
        <w:spacing w:after="100" w:before="240"/>
      </w:pPr>
      <w:r>
        <w:t xml:space="preserve">Pozostaw dane kontaktowe</w:t>
      </w:r>
    </w:p>
    <w:p>
      <w:pPr>
        <w:spacing w:after="80"/>
      </w:pPr>
      <w:r>
        <w:t xml:space="preserve">[pole: Twoje imię i nazwisko] Imię i nazwisko</w:t>
      </w:r>
    </w:p>
    <w:p>
      <w:pPr>
        <w:spacing w:after="80"/>
      </w:pPr>
      <w:r>
        <w:t xml:space="preserve">[pole: Nazwa firmy] Firma</w:t>
      </w:r>
    </w:p>
    <w:p>
      <w:pPr>
        <w:spacing w:after="80"/>
      </w:pPr>
      <w:r>
        <w:t xml:space="preserve">[pole: Adres e-mail] E-mail</w:t>
      </w:r>
    </w:p>
    <w:p>
      <w:pPr>
        <w:spacing w:after="80"/>
      </w:pPr>
      <w:r>
        <w:t xml:space="preserve">[pole: Numer telefonu] Telefon</w:t>
      </w:r>
    </w:p>
    <w:p>
      <w:pPr>
        <w:spacing w:after="80"/>
      </w:pPr>
      <w:r>
        <w:t xml:space="preserve">Wyrażam zgodę na przetwarzanie danych osobowych i potwierdzam, że zapoznałem/am się z dotyczącą zasad ich przetwarzania. Polityką prywatności</w:t>
      </w:r>
    </w:p>
    <w:p>
      <w:pPr>
        <w:spacing w:after="80"/>
      </w:pPr>
      <w:r>
        <w:t xml:space="preserve">Proszę o kontakt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2026-07-17T11:40:21.025Z</dcterms:created>
  <dcterms:modified xsi:type="dcterms:W3CDTF">2026-07-17T11:40:21.025Z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