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Strona 10 – E-commerce, 3PL i fulfillment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Treść makiety – wersja v14 (16.07.2026) · do recenzji</w:t>
      </w:r>
    </w:p>
    <w:p>
      <w:pPr>
        <w:spacing w:after="240"/>
      </w:pPr>
      <w:r>
        <w:rPr>
          <w:color w:val="444444"/>
          <w:sz w:val="20"/>
          <w:szCs w:val="20"/>
        </w:rPr>
        <w:t xml:space="preserve">Wersja uwzględnia uwagi z 7.07.2026 (arkusz decyzji + zestawienia uwag + zasady z korespondencji). Prosimy o nanoszenie komentarzy bezpośrednio w tym dokumencie.</w:t>
      </w:r>
    </w:p>
    <w:p>
      <w:pPr>
        <w:spacing w:after="80"/>
      </w:pPr>
      <w:r>
        <w:t xml:space="preserve">Wyszukiwarka Lista ofert Porównanie Zapytaj AI PL</w:t>
      </w:r>
    </w:p>
    <w:p>
      <w:pPr>
        <w:spacing w:after="80"/>
      </w:pPr>
      <w:r>
        <w:t xml:space="preserve">Produkty Branże Serwis Aktualności Firma Kontakt z nami</w:t>
      </w:r>
    </w:p>
    <w:p>
      <w:pPr>
        <w:pStyle w:val="Heading1"/>
        <w:spacing w:after="140" w:before="320"/>
      </w:pPr>
      <w:r>
        <w:t xml:space="preserve">Opakowania zwrotne dla e-commerce</w:t>
      </w:r>
    </w:p>
    <w:p>
      <w:pPr>
        <w:spacing w:after="80"/>
      </w:pPr>
      <w:r>
        <w:t xml:space="preserve">Opakowania zwrotne dla e-commerce – składane skrzynki, pojemniki magazynowe i pojemniki na zwroty dla operatorów fulfillmentu i 3PL. Rozwiązania wspierające realizację wymagań PPWR dotyczących opakowań transportowych.</w:t>
      </w:r>
    </w:p>
    <w:p>
      <w:pPr>
        <w:spacing w:after="80"/>
      </w:pPr>
      <w:r>
        <w:t xml:space="preserve">Zapytaj eksperta Przeprowadź audyt PPWR</w:t>
      </w:r>
    </w:p>
    <w:p>
      <w:pPr>
        <w:spacing w:after="80"/>
      </w:pPr>
      <w:r>
        <w:t xml:space="preserve">Ilustracja / foto produktów</w:t>
      </w:r>
    </w:p>
    <w:p>
      <w:pPr>
        <w:spacing w:after="80"/>
      </w:pPr>
      <w:r>
        <w:t xml:space="preserve">Strona główna Rozwiązania branżowe › › E-commerce, 3PL i fulfillment NOWA</w:t>
      </w:r>
    </w:p>
    <w:p>
      <w:pPr>
        <w:spacing w:after="80"/>
      </w:pPr>
      <w:r>
        <w:t xml:space="preserve">▶ Wideo / animacja zapętlona (mute, autoplay) – produkty w cyklu ponownego użycia</w:t>
      </w:r>
    </w:p>
    <w:p>
      <w:pPr>
        <w:spacing w:after="80"/>
      </w:pPr>
      <w:r>
        <w:t xml:space="preserve">NAJWAŻNIEJSZE</w:t>
      </w:r>
    </w:p>
    <w:p>
      <w:pPr>
        <w:pStyle w:val="Heading2"/>
        <w:spacing w:after="120" w:before="300"/>
      </w:pPr>
      <w:r>
        <w:t xml:space="preserve">Kluczowe wnioski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Art. 29 dotyczy podmiotów stosujących opakowania transportowe i obejmuje także handel elektroniczny (art. 29 ust. 3); operatorzy fulfillmentu, platformy marketplace i operatorzy logistyczni stosujący opakowania transportowe mogą podlegać wymaganiom wynikającym z PPWR – rozporządzenie nie wymienia ich z nazwy jako odrębnych adresatów. Cel: 40% ponownego użycia opakowań transportowych do 2030 r. Obowiązki PPWR w e-commerce i 3PL zależą od roli podmiotu i rodzaju stosowanych opakowań.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Składane skrzynki (clever move box) redukują objętość po zwrocie do 84% (dane bekuplast), ograniczając puste przebiegi w transporcie. Składana skrzynka zwrotna w e-commerce to dziś nisza, która może stać się standardem.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potencjalny kierunek rozwoju rynku, a nie wymóg wynikający z PPWR: konsument oddaje skrzynkę do automatu → kurier zabiera → DC czyści → ponowna dystrybucja. Infrastruktura automatów już istnieje. Rozbudowana sieć automatów paczkowych w Polsce może stać się naturalną bazą dla opakowań zwrotnych (RTP).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– rynki Europy Zachodniej rozwijają opakowania wielokrotnego użytku w e-commerce, jednak bez porównywalnej do Polski infrastruktury automatów paczkowych. Gotowa sieć automatów paczkowych daje Polsce przewagę nad regionem DACH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– wyliczymy ją dla Twojego procesu. Okres zwrotu inwestycji zależy od skali i intensywności rotacji – oszacujemy go w kalkulatorze. Przejście na flotę opakowań wielokrotnego użytku i system zwrotu to inwestycja, której skala zależy od wolumenu paczek i profilu operatora</w:t>
      </w:r>
    </w:p>
    <w:p>
      <w:pPr>
        <w:spacing w:after="80"/>
      </w:pPr>
      <w:r>
        <w:t xml:space="preserve">WYZWANIA</w:t>
      </w:r>
    </w:p>
    <w:p>
      <w:pPr>
        <w:pStyle w:val="Heading2"/>
        <w:spacing w:after="120" w:before="300"/>
      </w:pPr>
      <w:r>
        <w:t xml:space="preserve">Cztery wyzwania e-commerce – i cztery odpowiedzi opakowań zwrotnych</w:t>
      </w:r>
    </w:p>
    <w:p>
      <w:pPr>
        <w:spacing w:after="80"/>
      </w:pPr>
      <w:r>
        <w:t xml:space="preserve">Pokazujemy, jak opakowania zwrotne dla e-commerce ograniczają karton i obsługują zwroty w fulfillmencie.</w:t>
      </w:r>
    </w:p>
    <w:p>
      <w:pPr>
        <w:spacing w:after="80"/>
      </w:pPr>
      <w:r>
        <w:t xml:space="preserve">↓ przewiń kolejne wyzwania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Karton jednorazowy dominuje w opakowaniach e-commerce</w:t>
      </w:r>
    </w:p>
    <w:p>
      <w:pPr>
        <w:spacing w:after="80"/>
      </w:pPr>
      <w:r>
        <w:t xml:space="preserve">W typowym fulfillment center dominują jednorazowe kartony i folia stretch, generujące istotny wolumen odpadów opakowaniowych oraz koszt ich utylizacji.</w:t>
      </w:r>
    </w:p>
    <w:p>
      <w:pPr>
        <w:spacing w:after="80"/>
      </w:pPr>
      <w:r>
        <w:t xml:space="preserve">[Clever-Retail-Box]</w:t>
      </w:r>
    </w:p>
    <w:p>
      <w:pPr>
        <w:spacing w:after="80"/>
      </w:pPr>
      <w:r>
        <w:t xml:space="preserve">Clever-Retail-Box</w:t>
      </w:r>
    </w:p>
    <w:p>
      <w:pPr>
        <w:spacing w:after="80"/>
      </w:pPr>
      <w:r>
        <w:t xml:space="preserve">Skrzynka zwrotna e-commerce · okres amortyzacji zależny od skali wdrożenia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Puste przebiegi w transporcie zwrotnym</w:t>
      </w:r>
    </w:p>
    <w:p>
      <w:pPr>
        <w:spacing w:after="80"/>
      </w:pPr>
      <w:r>
        <w:t xml:space="preserve">Znacząca część paczek wraca jako zwroty, a opakowanie zwrotne wraca od konsumenta do DC puste. Sztywna skrzynka zajmuje po zwrocie tyle samo miejsca co pełna – składana redukuje objętość do 84%.</w:t>
      </w:r>
    </w:p>
    <w:p>
      <w:pPr>
        <w:spacing w:after="80"/>
      </w:pPr>
      <w:r>
        <w:t xml:space="preserve">[Clever move box]</w:t>
      </w:r>
    </w:p>
    <w:p>
      <w:pPr>
        <w:spacing w:after="80"/>
      </w:pPr>
      <w:r>
        <w:t xml:space="preserve">Clever move box</w:t>
      </w:r>
    </w:p>
    <w:p>
      <w:pPr>
        <w:spacing w:after="80"/>
      </w:pPr>
      <w:r>
        <w:t xml:space="preserve">Redukcja objętości po złożeniu do 84% (dane bekuplast)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Art. 29 PPWR – obowiązek po stronie podmiotu stosującego opakowania transportowe</w:t>
      </w:r>
    </w:p>
    <w:p>
      <w:pPr>
        <w:spacing w:after="80"/>
      </w:pPr>
      <w:r>
        <w:t xml:space="preserve">Podmioty stosujące opakowania transportowe (operatorzy fulfillmentu, platformy marketplace, kurierzy) podlegają art. 29 o tyle, o ile stosują takie opakowania – rozporządzenie nie wymienia ich z nazwy. Cel: 40% ponownego użycia opakowań transportowych do 2030 r.</w:t>
      </w:r>
    </w:p>
    <w:p>
      <w:pPr>
        <w:spacing w:after="80"/>
      </w:pPr>
      <w:r>
        <w:t xml:space="preserve">[Skrzynki dopasowane pod automaty]</w:t>
      </w:r>
    </w:p>
    <w:p>
      <w:pPr>
        <w:spacing w:after="80"/>
      </w:pPr>
      <w:r>
        <w:t xml:space="preserve">Skrzynki pod automaty paczkowe</w:t>
      </w:r>
    </w:p>
    <w:p>
      <w:pPr>
        <w:spacing w:after="80"/>
      </w:pPr>
      <w:r>
        <w:t xml:space="preserve">clever move box + palety plastikowe · skrzynki w wymiarach dopasowanych pod automaty paczkowe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04</w:t>
      </w:r>
    </w:p>
    <w:p>
      <w:pPr>
        <w:pStyle w:val="Heading3"/>
        <w:spacing w:after="100" w:before="240"/>
      </w:pPr>
      <w:r>
        <w:t xml:space="preserve">Zwroty w e-commerce – pojemniki na produkty zwrócone</w:t>
      </w:r>
    </w:p>
    <w:p>
      <w:pPr>
        <w:spacing w:after="80"/>
      </w:pPr>
      <w:r>
        <w:t xml:space="preserve">Współczynnik zwrotów w e-commerce bywa wysoki, zwłaszcza w modzie – pojemniki zwrotne porządkują ten proces, który dziś dla wielu operatorów jest improwizacją.</w:t>
      </w:r>
    </w:p>
    <w:p>
      <w:pPr>
        <w:spacing w:after="80"/>
      </w:pPr>
      <w:r>
        <w:t xml:space="preserve">[Kuwety na zwroty]</w:t>
      </w:r>
    </w:p>
    <w:p>
      <w:pPr>
        <w:spacing w:after="80"/>
      </w:pPr>
      <w:r>
        <w:t xml:space="preserve">Kuwety na zwroty</w:t>
      </w:r>
    </w:p>
    <w:p>
      <w:pPr>
        <w:spacing w:after="80"/>
      </w:pPr>
      <w:r>
        <w:t xml:space="preserve">Trwałe znakowanie i miejsce na etykietę · integracja z WMS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PRODUKTY</w:t>
      </w:r>
    </w:p>
    <w:p>
      <w:pPr>
        <w:pStyle w:val="Heading2"/>
        <w:spacing w:after="120" w:before="300"/>
      </w:pPr>
      <w:r>
        <w:t xml:space="preserve">Składane skrzynki, totes magazynowe i palety dla operatorów e-commerce</w:t>
      </w:r>
    </w:p>
    <w:p>
      <w:pPr>
        <w:spacing w:after="80"/>
      </w:pPr>
      <w:r>
        <w:t xml:space="preserve">Clever-Retail-Box</w:t>
      </w:r>
    </w:p>
    <w:p>
      <w:pPr>
        <w:pStyle w:val="Heading4"/>
        <w:spacing w:after="80" w:before="180"/>
      </w:pPr>
      <w:r>
        <w:t xml:space="preserve">Clever Retail Box 4011</w:t>
      </w:r>
    </w:p>
    <w:p>
      <w:pPr>
        <w:spacing w:after="80"/>
      </w:pPr>
      <w:r>
        <w:t xml:space="preserve">Składana skrzynka retail / fulfillment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Clever move box</w:t>
      </w:r>
    </w:p>
    <w:p>
      <w:pPr>
        <w:spacing w:after="80"/>
      </w:pPr>
      <w:r>
        <w:t xml:space="preserve">Redukcja objętości do 84% (dane bekuplast)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silverline</w:t>
      </w:r>
    </w:p>
    <w:p>
      <w:pPr>
        <w:spacing w:after="80"/>
      </w:pPr>
      <w:r>
        <w:t xml:space="preserve">AKL, automatyzacja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contecline</w:t>
      </w:r>
    </w:p>
    <w:p>
      <w:pPr>
        <w:spacing w:after="80"/>
      </w:pPr>
      <w:r>
        <w:t xml:space="preserve">Magazyny automatyczne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lightline</w:t>
      </w:r>
    </w:p>
    <w:p>
      <w:pPr>
        <w:spacing w:after="80"/>
      </w:pPr>
      <w:r>
        <w:t xml:space="preserve">Kompletacja ręczna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Palety Euro</w:t>
      </w:r>
    </w:p>
    <w:p>
      <w:pPr>
        <w:spacing w:after="80"/>
      </w:pPr>
      <w:r>
        <w:t xml:space="preserve">Transport DC → DC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Skrzynki pod automaty paczkowe</w:t>
      </w:r>
    </w:p>
    <w:p>
      <w:pPr>
        <w:spacing w:after="80"/>
      </w:pPr>
      <w:r>
        <w:t xml:space="preserve">formaty S/M/L do uzgodnienia z operatorem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Indywidualne pod paczkomat</w:t>
      </w:r>
    </w:p>
    <w:p>
      <w:pPr>
        <w:spacing w:after="80"/>
      </w:pPr>
      <w:r>
        <w:t xml:space="preserve">Pod operatora</w:t>
      </w:r>
    </w:p>
    <w:p>
      <w:pPr>
        <w:spacing w:after="80"/>
      </w:pPr>
      <w:r>
        <w:t xml:space="preserve">Zobacz serię →</w:t>
      </w:r>
    </w:p>
    <w:p>
      <w:pPr>
        <w:spacing w:after="80"/>
      </w:pPr>
      <w:r>
        <w:t xml:space="preserve">PPWR · ZGODNOŚĆ</w:t>
      </w:r>
    </w:p>
    <w:p>
      <w:pPr>
        <w:pStyle w:val="Heading2"/>
        <w:spacing w:after="120" w:before="300"/>
      </w:pPr>
      <w:r>
        <w:t xml:space="preserve">PPWR dla e-commerce – art. 29 i co konkretnie musisz zrobić</w:t>
      </w:r>
    </w:p>
    <w:p>
      <w:pPr>
        <w:spacing w:after="80"/>
      </w:pPr>
      <w:r>
        <w:t xml:space="preserve">Polski rynek e-commerce opiera się dziś niemal wyłącznie na opakowaniach jednorazowych (karton, folia stretch, wypełniacze). PPWR wprowadza wymagania dotyczące określonych kategorii opakowań: cele ponownego użycia obejmują opakowania transportowe (pudła tekturowe pozostają poza celami), a art. 24 ogranicza pustą przestrzeń w paczkach. Propozycja bekuplast: trzy pilotaże, które warto uruchomić w 2026 r., to składana skrzynka na zwroty (clever move box), skrzynka zwrotna do automatu paczkowego oraz totes magazynowe w DC w obiegu zamkniętym między magazynami.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Art. 29 ust. 1</w:t>
      </w:r>
    </w:p>
    <w:p>
      <w:pPr>
        <w:spacing w:after="80"/>
      </w:pPr>
      <w:r>
        <w:t xml:space="preserve">Kluczowy dla e-commerce – 40% ponownego użycia w opakowaniach transportowych do 2030 r. oraz dążenie do 70% do 2040 r. Kary określi polska ustawa krajowa (w toku prac legislacyjnych).</w:t>
      </w:r>
    </w:p>
    <w:p>
      <w:pPr>
        <w:spacing w:after="80"/>
      </w:pPr>
      <w:r>
        <w:t xml:space="preserve">Art. 24</w:t>
      </w:r>
    </w:p>
    <w:p>
      <w:pPr>
        <w:spacing w:after="80"/>
      </w:pPr>
      <w:r>
        <w:t xml:space="preserve">Ograniczenie nadmiarowego opakowania – art. 24 PPWR przewiduje, że pusta przestrzeń w paczce e-commerce nie będzie mogła przekraczać 50% (zgodnie z harmonogramem określonym w rozporządzeniu), co w praktyce oznacza minimalizację warstw opakowaniowych w wysyłce.</w:t>
      </w:r>
    </w:p>
    <w:p>
      <w:pPr>
        <w:spacing w:after="80"/>
      </w:pPr>
      <w:r>
        <w:t xml:space="preserve">Art. 29 ust. 6</w:t>
      </w:r>
    </w:p>
    <w:p>
      <w:pPr>
        <w:spacing w:after="80"/>
      </w:pPr>
      <w:r>
        <w:t xml:space="preserve">Cele ponownego użycia dla napojów (10% w 2030 r., dążenie do 40% w 2040 r.) obejmują dystrybutorów końcowych udostępniających napoje konsumentom.</w:t>
      </w:r>
    </w:p>
    <w:p>
      <w:pPr>
        <w:spacing w:after="80"/>
      </w:pPr>
      <w:r>
        <w:t xml:space="preserve">Art. 50</w:t>
      </w:r>
    </w:p>
    <w:p>
      <w:pPr>
        <w:spacing w:after="80"/>
      </w:pPr>
      <w:r>
        <w:t xml:space="preserve">PPWR przewiduje obowiązek ustanowienia systemów kaucyjnych dla jednorazowych butelek z tworzyw sztucznych i puszek, z wyjątkami określonymi w rozporządzeniu – to obszar istotny także dla e-commerce sprzedającego napoje. Wykorzystanie automatów paczkowych jako punktów zbiórki to potencjalny kierunek rozwoju rynku, a nie element rozporządzenia.</w:t>
      </w:r>
    </w:p>
    <w:p>
      <w:pPr>
        <w:spacing w:after="80"/>
      </w:pPr>
      <w:r>
        <w:t xml:space="preserve">NASTĘPNE KROKI</w:t>
      </w:r>
    </w:p>
    <w:p>
      <w:pPr>
        <w:pStyle w:val="Heading2"/>
        <w:spacing w:after="120" w:before="300"/>
      </w:pPr>
      <w:r>
        <w:t xml:space="preserve">Co możesz zrobić już teraz</w:t>
      </w:r>
    </w:p>
    <w:p>
      <w:pPr>
        <w:pBdr>
          <w:left w:val="single" w:color="65B32E" w:sz="12"/>
        </w:pBdr>
        <w:spacing w:after="40" w:before="160"/>
        <w:ind w:left="420"/>
      </w:pPr>
      <w:r>
        <w:rPr>
          <w:i/>
          <w:iCs/>
        </w:rPr>
        <w:t xml:space="preserve">Operatorzy e-commerce i fulfillmentu mogą podlegać celom ponownego użycia opakowań transportowych – zależnie od zakresu działalności i rodzaju stosowanych opakowań: co najmniej 40% do 2030 r. i dążenie do 70% do 2040 r.</w:t>
      </w:r>
    </w:p>
    <w:p>
      <w:pPr>
        <w:spacing w:after="140"/>
        <w:ind w:left="420"/>
      </w:pPr>
      <w:r>
        <w:rPr>
          <w:i/>
          <w:iCs/>
          <w:color w:val="666666"/>
          <w:sz w:val="18"/>
          <w:szCs w:val="18"/>
        </w:rPr>
        <w:t xml:space="preserve">zgodnie z rozporządzeniem (UE) 2025/40 Parlamentu Europejskiego i Rady z dnia 19 grudnia 2024 r. w sprawie opakowań i odpadów opakowaniowych (PPWR)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Przeprowadź audyt PPWR</w:t>
      </w:r>
    </w:p>
    <w:p>
      <w:pPr>
        <w:spacing w:after="80"/>
      </w:pPr>
      <w:r>
        <w:t xml:space="preserve">Sprawdź gotowość operatora e-commerce w kilka minut.</w:t>
      </w:r>
    </w:p>
    <w:p>
      <w:pPr>
        <w:spacing w:after="80"/>
      </w:pPr>
      <w:r>
        <w:t xml:space="preserve">Przejdź do audytu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Oblicz koszt PPWR</w:t>
      </w:r>
    </w:p>
    <w:p>
      <w:pPr>
        <w:spacing w:after="80"/>
      </w:pPr>
      <w:r>
        <w:t xml:space="preserve">Porównaj opakowania jednorazowe i zwrotne, zobacz próg rentowności.</w:t>
      </w:r>
    </w:p>
    <w:p>
      <w:pPr>
        <w:spacing w:after="80"/>
      </w:pPr>
      <w:r>
        <w:t xml:space="preserve">Otwórz kalkulator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Zapytaj eksperta</w:t>
      </w:r>
    </w:p>
    <w:p>
      <w:pPr>
        <w:spacing w:after="80"/>
      </w:pPr>
      <w:r>
        <w:t xml:space="preserve">Zapytaj eksperta o PPWR w swojej branży.</w:t>
      </w:r>
    </w:p>
    <w:p>
      <w:pPr>
        <w:spacing w:after="80"/>
      </w:pPr>
      <w:r>
        <w:t xml:space="preserve">Umów rozmowę →</w:t>
      </w:r>
    </w:p>
    <w:p>
      <w:pPr>
        <w:spacing w:after="80"/>
      </w:pPr>
      <w:r>
        <w:t xml:space="preserve">→ przewiń w poziomie, aby odsłonić kolejne kroki</w:t>
      </w:r>
    </w:p>
    <w:p>
      <w:pPr>
        <w:spacing w:after="80"/>
      </w:pPr>
      <w:r>
        <w:t xml:space="preserve">Case Studies</w:t>
      </w:r>
    </w:p>
    <w:p>
      <w:pPr>
        <w:pStyle w:val="Heading2"/>
        <w:spacing w:after="120" w:before="300"/>
      </w:pPr>
      <w:r>
        <w:t xml:space="preserve">Opakowania wielokrotnego użytku we wdrożeniach bekuplast</w:t>
      </w:r>
    </w:p>
    <w:p>
      <w:pPr>
        <w:spacing w:after="80"/>
      </w:pPr>
      <w:r>
        <w:t xml:space="preserve">Każde wdrożenie to osobna historia naszego Klienta. Indywidualne wymagania, do których dopasowujemy optymalne rozwiązania.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ROSSMANN</w:t>
      </w:r>
    </w:p>
    <w:p>
      <w:pPr>
        <w:spacing w:after="80"/>
      </w:pPr>
      <w:r>
        <w:t xml:space="preserve">Intralogistyka sieci drogerii (Landsberg, DE) – pojemnik kompletacyjny w zautomatyzowanym magazynie centralnym</w:t>
      </w:r>
    </w:p>
    <w:p>
      <w:pPr>
        <w:spacing w:after="80"/>
      </w:pPr>
      <w:r>
        <w:t xml:space="preserve">2025 160 000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Orbico</w:t>
      </w:r>
    </w:p>
    <w:p>
      <w:pPr>
        <w:spacing w:after="80"/>
      </w:pPr>
      <w:r>
        <w:t xml:space="preserve">Dystrybucja beauty i FMCG (PL) – pojemniki contecline w zautomatyzowanych magazynach (AKL/Shuttle)</w:t>
      </w:r>
    </w:p>
    <w:p>
      <w:pPr>
        <w:spacing w:after="80"/>
      </w:pPr>
      <w:r>
        <w:t xml:space="preserve">2023 46 000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Onninen</w:t>
      </w:r>
    </w:p>
    <w:p>
      <w:pPr>
        <w:spacing w:after="80"/>
      </w:pPr>
      <w:r>
        <w:t xml:space="preserve">Dystrybucja materiałów budowlanych i instalacyjnych (PL) – 40 000 pojemników contecline w automatycznym magazynie Onnimat (projekt DOMINO)</w:t>
      </w:r>
    </w:p>
    <w:p>
      <w:pPr>
        <w:spacing w:after="80"/>
      </w:pPr>
      <w:r>
        <w:t xml:space="preserve">2019 40 000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Auto Partner SA</w:t>
      </w:r>
    </w:p>
    <w:p>
      <w:pPr>
        <w:spacing w:after="80"/>
      </w:pPr>
      <w:r>
        <w:t xml:space="preserve">Dystrybucja części samochodowych (PL) – pojemniki contecline i silverline w magazynach AKL/Shuttle</w:t>
      </w:r>
    </w:p>
    <w:p>
      <w:pPr>
        <w:spacing w:after="80"/>
      </w:pPr>
      <w:r>
        <w:t xml:space="preserve">2022 27 000 pojemników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KOSZT PPWR</w:t>
      </w:r>
    </w:p>
    <w:p>
      <w:pPr>
        <w:pStyle w:val="Heading2"/>
        <w:spacing w:after="120" w:before="300"/>
      </w:pPr>
      <w:r>
        <w:t xml:space="preserve">Koszt przejścia na opakowania wielokrotnego użytku</w:t>
      </w:r>
    </w:p>
    <w:p>
      <w:pPr>
        <w:spacing w:after="80"/>
      </w:pPr>
      <w:r>
        <w:t xml:space="preserve">Porównaj koszt kartonów jednorazowych i zwrotnych pojemników e-commerce – kalkulator pokaże próg rentowności i strukturę emisji CO₂ dla operatora fulfillmentu.</w:t>
      </w:r>
    </w:p>
    <w:p>
      <w:pPr>
        <w:spacing w:after="80"/>
      </w:pPr>
      <w:r>
        <w:t xml:space="preserve">Oblicz koszt PPWR w 2 min.</w:t>
      </w:r>
    </w:p>
    <w:p>
      <w:pPr>
        <w:spacing w:after="80"/>
      </w:pPr>
      <w:r>
        <w:t xml:space="preserve">Kalkulator kosztu PPWR</w:t>
      </w:r>
    </w:p>
    <w:p>
      <w:pPr>
        <w:spacing w:after="80"/>
      </w:pPr>
      <w:r>
        <w:t xml:space="preserve">POWIĄZANE</w:t>
      </w:r>
    </w:p>
    <w:p>
      <w:pPr>
        <w:pStyle w:val="Heading2"/>
        <w:spacing w:after="120" w:before="300"/>
      </w:pPr>
      <w:r>
        <w:t xml:space="preserve">Może Cię też zainteresować</w:t>
      </w:r>
    </w:p>
    <w:p>
      <w:pPr>
        <w:pStyle w:val="Heading4"/>
        <w:spacing w:after="80" w:before="180"/>
      </w:pPr>
      <w:r>
        <w:t xml:space="preserve">Handel detaliczny i FMCG</w:t>
      </w:r>
    </w:p>
    <w:p>
      <w:pPr>
        <w:spacing w:after="80"/>
      </w:pPr>
      <w:r>
        <w:t xml:space="preserve">Sieci handlowe to często sprzedawcy na Twoich platformach marketplace. Art. 29 PPWR może dotyczyć ich podobnie jak operatorów e-commerce – zależnie od stosowanych opakowań transportowych.</w:t>
      </w:r>
    </w:p>
    <w:p>
      <w:pPr>
        <w:spacing w:after="80"/>
      </w:pPr>
      <w:r>
        <w:t xml:space="preserve">Zobacz więcej</w:t>
      </w:r>
    </w:p>
    <w:p>
      <w:pPr>
        <w:pStyle w:val="Heading4"/>
        <w:spacing w:after="80" w:before="180"/>
      </w:pPr>
      <w:r>
        <w:t xml:space="preserve">Logistyka i transport (3PL)</w:t>
      </w:r>
    </w:p>
    <w:p>
      <w:pPr>
        <w:spacing w:after="80"/>
      </w:pPr>
      <w:r>
        <w:t xml:space="preserve">Operatorzy logistyczni B2B obsługujący transport międzymagazynowy.</w:t>
      </w:r>
    </w:p>
    <w:p>
      <w:pPr>
        <w:spacing w:after="80"/>
      </w:pPr>
      <w:r>
        <w:t xml:space="preserve">Zobacz więcej</w:t>
      </w:r>
    </w:p>
    <w:p>
      <w:pPr>
        <w:pStyle w:val="Heading4"/>
        <w:spacing w:after="80" w:before="180"/>
      </w:pPr>
      <w:r>
        <w:t xml:space="preserve">Intralogistyka i magazyn</w:t>
      </w:r>
    </w:p>
    <w:p>
      <w:pPr>
        <w:spacing w:after="80"/>
      </w:pPr>
      <w:r>
        <w:t xml:space="preserve">AKL, shuttle, WMS – fundament fulfillment center.</w:t>
      </w:r>
    </w:p>
    <w:p>
      <w:pPr>
        <w:spacing w:after="80"/>
      </w:pPr>
      <w:r>
        <w:t xml:space="preserve">Zobacz więcej</w:t>
      </w:r>
    </w:p>
    <w:p>
      <w:pPr>
        <w:spacing w:after="80"/>
      </w:pPr>
      <w:r>
        <w:t xml:space="preserve">FAQ</w:t>
      </w:r>
    </w:p>
    <w:p>
      <w:pPr>
        <w:pStyle w:val="Heading2"/>
        <w:spacing w:after="120" w:before="300"/>
      </w:pPr>
      <w:r>
        <w:t xml:space="preserve">Najczęściej zadawane pytania</w:t>
      </w:r>
    </w:p>
    <w:p>
      <w:pPr>
        <w:spacing w:after="80"/>
      </w:pPr>
      <w:r>
        <w:t xml:space="preserve">↓ przewiń pytania</w:t>
      </w:r>
    </w:p>
    <w:p>
      <w:pPr>
        <w:spacing w:after="60" w:before="200"/>
      </w:pPr>
      <w:r>
        <w:rPr>
          <w:b/>
          <w:bCs/>
        </w:rPr>
        <w:t xml:space="preserve">Czym jest art. 29 PPWR i kogo obejmuje?</w:t>
      </w:r>
    </w:p>
    <w:p>
      <w:pPr>
        <w:spacing w:after="80"/>
      </w:pPr>
      <w:r>
        <w:t xml:space="preserve">Art. 29 PPWR dotyczy podmiotów stosujących opakowania transportowe – obejmuje także handel elektroniczny (art. 29 ust. 3). Sieci handlowe, operatorzy fulfillmentu, kurierzy i platformy marketplace podlegają mu o tyle, o ile stosują takie opakowania. Cel: 40% ponownego użycia opakowań transportowych do 2030 r. oraz dążenie do 70% do 2040 r. Z celów ponownego użycia zwolnione są mikroprzedsiębiorstwa udostępniające nie więcej niż 1000 kg opakowań rocznie (art. 29 ust. 13). Pudła tekturowe są wyłączone z tych obowiązków (art. 29 ust. 4 lit. d), co jest istotne dla paczek e-commerce.</w:t>
      </w:r>
    </w:p>
    <w:p>
      <w:pPr>
        <w:spacing w:after="60" w:before="200"/>
      </w:pPr>
      <w:r>
        <w:rPr>
          <w:b/>
          <w:bCs/>
        </w:rPr>
        <w:t xml:space="preserve">Czy operatorzy e-commerce i logistyki są objęci PPWR?</w:t>
      </w:r>
    </w:p>
    <w:p>
      <w:pPr>
        <w:spacing w:after="80"/>
      </w:pPr>
      <w:r>
        <w:t xml:space="preserve">Operatorzy fulfillmentu, platformy marketplace i operatorzy logistyczni stosujący opakowania transportowe mogą podlegać wymaganiom wynikającym z PPWR. Rozporządzenie nie wymienia ich z nazwy jako odrębnych adresatów – podlegają art. 29 o tyle, o ile stosują opakowania transportowe.</w:t>
      </w:r>
    </w:p>
    <w:p>
      <w:pPr>
        <w:spacing w:after="60" w:before="200"/>
      </w:pPr>
      <w:r>
        <w:rPr>
          <w:b/>
          <w:bCs/>
        </w:rPr>
        <w:t xml:space="preserve">Co to jest clever move box i czym różni się od zwykłej skrzynki?</w:t>
      </w:r>
    </w:p>
    <w:p>
      <w:pPr>
        <w:spacing w:after="80"/>
      </w:pPr>
      <w:r>
        <w:t xml:space="preserve">Clever move box to składana skrzynka z tworzywa – po złożeniu redukuje objętość do 84% w porównaniu ze skrzynkami sztywnymi (dane bekuplast). Ogranicza puste przebiegi w transporcie zwrotnym (kurier zabiera na jednym przebiegu znacznie więcej zwracanych skrzynek).</w:t>
      </w:r>
    </w:p>
    <w:p>
      <w:pPr>
        <w:spacing w:after="60" w:before="200"/>
      </w:pPr>
      <w:r>
        <w:rPr>
          <w:b/>
          <w:bCs/>
        </w:rPr>
        <w:t xml:space="preserve">Czy można zrobić skrzynkę dopasowaną do skrytki automatu paczkowego?</w:t>
      </w:r>
    </w:p>
    <w:p>
      <w:pPr>
        <w:spacing w:after="80"/>
      </w:pPr>
      <w:r>
        <w:t xml:space="preserve">Tak – projektujemy skrzynki dopasowane wymiarowo pod skrytki automatów paczkowych. Wymaga to uzgodnienia z operatorem automatu, a czas projektu i prototypu ustalamy indywidualnie.</w:t>
      </w:r>
    </w:p>
    <w:p>
      <w:pPr>
        <w:spacing w:after="60" w:before="200"/>
      </w:pPr>
      <w:r>
        <w:rPr>
          <w:b/>
          <w:bCs/>
        </w:rPr>
        <w:t xml:space="preserve">Jakie kary za niespełnienie art. 29?</w:t>
      </w:r>
    </w:p>
    <w:p>
      <w:pPr>
        <w:spacing w:after="80"/>
      </w:pPr>
      <w:r>
        <w:t xml:space="preserve">Kary za niespełnienie celów PPWR określi polska ustawa krajowa (w toku prac legislacyjnych). Zgodnie z art. 68 PPWR to państwa członkowskie ustanawiają kary skuteczne, proporcjonalne i odstraszające – ich ostateczna wysokość nie jest jeszcze przesądzona.</w:t>
      </w:r>
    </w:p>
    <w:p>
      <w:pPr>
        <w:spacing w:after="60" w:before="200"/>
      </w:pPr>
      <w:r>
        <w:rPr>
          <w:b/>
          <w:bCs/>
        </w:rPr>
        <w:t xml:space="preserve">Ile cykli wytrzymuje clever move box?</w:t>
      </w:r>
    </w:p>
    <w:p>
      <w:pPr>
        <w:spacing w:after="80"/>
      </w:pPr>
      <w:r>
        <w:t xml:space="preserve">Składane skrzynki transportowe z tworzywa są przeznaczone do wielokrotnej rotacji i wieloletniej eksploatacji; realną liczbę cykli dobieramy do intensywności Twojego procesu.</w:t>
      </w:r>
    </w:p>
    <w:p>
      <w:pPr>
        <w:spacing w:after="60" w:before="200"/>
      </w:pPr>
      <w:r>
        <w:rPr>
          <w:b/>
          <w:bCs/>
        </w:rPr>
        <w:t xml:space="preserve">Czy obsługujecie operatorów fulfillmentu i 3PL na rynkach DACH?</w:t>
      </w:r>
    </w:p>
    <w:p>
      <w:pPr>
        <w:spacing w:after="80"/>
      </w:pPr>
      <w:r>
        <w:t xml:space="preserve">Tak – bekuplast od lat obsługuje operatorów fulfillmentu i logistyki w regionie DACH oraz w Polsce.</w:t>
      </w:r>
    </w:p>
    <w:p>
      <w:pPr>
        <w:spacing w:after="80"/>
      </w:pPr>
      <w:r>
        <w:t xml:space="preserve">KONTAKT</w:t>
      </w:r>
    </w:p>
    <w:p>
      <w:pPr>
        <w:pStyle w:val="Heading2"/>
        <w:spacing w:after="120" w:before="300"/>
      </w:pPr>
      <w: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Możliwość pozyskania próbek produktów</w:t>
      </w:r>
    </w:p>
    <w:p>
      <w:pPr>
        <w:pStyle w:val="Heading3"/>
        <w:spacing w:after="100" w:before="240"/>
      </w:pPr>
      <w:r>
        <w:t xml:space="preserve">Pozostaw dane kontaktowe</w:t>
      </w:r>
    </w:p>
    <w:p>
      <w:pPr>
        <w:spacing w:after="80"/>
      </w:pPr>
      <w:r>
        <w:t xml:space="preserve">[pole: Twoje imię i nazwisko] Imię i nazwisko</w:t>
      </w:r>
    </w:p>
    <w:p>
      <w:pPr>
        <w:spacing w:after="80"/>
      </w:pPr>
      <w:r>
        <w:t xml:space="preserve">[pole: Nazwa firmy] Firma</w:t>
      </w:r>
    </w:p>
    <w:p>
      <w:pPr>
        <w:spacing w:after="80"/>
      </w:pPr>
      <w:r>
        <w:t xml:space="preserve">[pole: Adres e-mail] E-mail</w:t>
      </w:r>
    </w:p>
    <w:p>
      <w:pPr>
        <w:spacing w:after="80"/>
      </w:pPr>
      <w:r>
        <w:t xml:space="preserve">[pole: Numer telefonu] Telefon</w:t>
      </w:r>
    </w:p>
    <w:p>
      <w:pPr>
        <w:spacing w:after="80"/>
      </w:pPr>
      <w:r>
        <w:t xml:space="preserve">Wyrażam zgodę na przetwarzanie danych osobowych i potwierdzam, że zapoznałem/am się z dotyczącą zasad ich przetwarzania. Polityką prywatności</w:t>
      </w:r>
    </w:p>
    <w:p>
      <w:pPr>
        <w:spacing w:after="80"/>
      </w:pPr>
      <w:r>
        <w:t xml:space="preserve">Proszę o kontakt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2026-07-17T11:40:21.038Z</dcterms:created>
  <dcterms:modified xsi:type="dcterms:W3CDTF">2026-07-17T11:40:21.038Z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