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D9EB1" w14:textId="77777777" w:rsidR="00702579" w:rsidRPr="00C25F9F" w:rsidRDefault="00702579" w:rsidP="00702579">
      <w:pPr>
        <w:rPr>
          <w:b/>
          <w:bCs/>
        </w:rPr>
      </w:pPr>
      <w:r w:rsidRPr="00C25F9F">
        <w:rPr>
          <w:b/>
          <w:bCs/>
        </w:rPr>
        <w:t xml:space="preserve">Practice question </w:t>
      </w:r>
    </w:p>
    <w:p w14:paraId="15FDC6AB" w14:textId="77777777" w:rsidR="00702579" w:rsidRDefault="00702579" w:rsidP="00702579"/>
    <w:p w14:paraId="43BB43D8" w14:textId="735A68C2" w:rsidR="00702579" w:rsidRDefault="00702579" w:rsidP="0028571B">
      <w:pPr>
        <w:pStyle w:val="ListParagraph"/>
        <w:numPr>
          <w:ilvl w:val="0"/>
          <w:numId w:val="1"/>
        </w:numPr>
      </w:pPr>
      <w:r>
        <w:t xml:space="preserve">Pick a common side effect of long-term cortisol treatment and design </w:t>
      </w:r>
      <w:r w:rsidRPr="006C79E6">
        <w:rPr>
          <w:i/>
          <w:iCs/>
        </w:rPr>
        <w:t>in vitro</w:t>
      </w:r>
      <w:r>
        <w:t xml:space="preserve"> and </w:t>
      </w:r>
      <w:r w:rsidRPr="006C79E6">
        <w:rPr>
          <w:i/>
          <w:iCs/>
        </w:rPr>
        <w:t>in vivo</w:t>
      </w:r>
      <w:r>
        <w:t xml:space="preserve"> tests to assess a novel glucocorticoid.</w:t>
      </w:r>
    </w:p>
    <w:p w14:paraId="6AEBCE68" w14:textId="04C3C63B" w:rsidR="0028571B" w:rsidRPr="0028571B" w:rsidRDefault="0028571B" w:rsidP="0028571B">
      <w:pPr>
        <w:pStyle w:val="ListParagraph"/>
        <w:numPr>
          <w:ilvl w:val="0"/>
          <w:numId w:val="2"/>
        </w:numPr>
        <w:rPr>
          <w:i/>
          <w:iCs/>
          <w:color w:val="C45911" w:themeColor="accent2" w:themeShade="BF"/>
        </w:rPr>
      </w:pPr>
      <w:r w:rsidRPr="0028571B">
        <w:rPr>
          <w:i/>
          <w:iCs/>
          <w:color w:val="C45911" w:themeColor="accent2" w:themeShade="BF"/>
        </w:rPr>
        <w:t>The idea is to get them to translate and use the theory they know and the techniques that they have learnt about into designing an experiment.</w:t>
      </w:r>
    </w:p>
    <w:p w14:paraId="02269861" w14:textId="77777777" w:rsidR="00702579" w:rsidRDefault="00702579" w:rsidP="00702579"/>
    <w:p w14:paraId="1DB06BBA" w14:textId="77777777" w:rsidR="00702579" w:rsidRPr="00C25F9F" w:rsidRDefault="00702579" w:rsidP="00702579">
      <w:pPr>
        <w:rPr>
          <w:i/>
          <w:iCs/>
        </w:rPr>
      </w:pPr>
      <w:r w:rsidRPr="00C25F9F">
        <w:rPr>
          <w:i/>
          <w:iCs/>
        </w:rPr>
        <w:t>Model answer</w:t>
      </w:r>
    </w:p>
    <w:p w14:paraId="142171AD" w14:textId="77777777" w:rsidR="00702579" w:rsidRDefault="00702579" w:rsidP="00702579">
      <w:r>
        <w:t>First step is to identify a side effect. The major ones highlighted in the lecture are:</w:t>
      </w:r>
    </w:p>
    <w:p w14:paraId="6E408B2F" w14:textId="77777777" w:rsidR="006C79E6" w:rsidRDefault="00702579" w:rsidP="006C79E6">
      <w:pPr>
        <w:spacing w:after="0"/>
        <w:jc w:val="both"/>
      </w:pPr>
      <w:r w:rsidRPr="00C25F9F">
        <w:rPr>
          <w:u w:val="single"/>
        </w:rPr>
        <w:t>Reduction in POMC (</w:t>
      </w:r>
      <w:bookmarkStart w:id="0" w:name="_Hlk117099616"/>
      <w:r w:rsidR="00394FA5">
        <w:rPr>
          <w:u w:val="single"/>
        </w:rPr>
        <w:sym w:font="Symbol" w:char="F061"/>
      </w:r>
      <w:r w:rsidRPr="00C25F9F">
        <w:rPr>
          <w:u w:val="single"/>
        </w:rPr>
        <w:t>MSH</w:t>
      </w:r>
      <w:bookmarkEnd w:id="0"/>
      <w:r w:rsidRPr="00C25F9F">
        <w:rPr>
          <w:u w:val="single"/>
        </w:rPr>
        <w:t>)</w:t>
      </w:r>
      <w:r>
        <w:t xml:space="preserve"> - First step is to identify what cells produce ACTH which in this case are the </w:t>
      </w:r>
      <w:proofErr w:type="spellStart"/>
      <w:r>
        <w:t>corticotroph</w:t>
      </w:r>
      <w:r w:rsidR="00C25F9F">
        <w:t>ic</w:t>
      </w:r>
      <w:proofErr w:type="spellEnd"/>
      <w:r>
        <w:t xml:space="preserve"> cells of the anterior pituitary gland. So, you would either </w:t>
      </w:r>
      <w:proofErr w:type="gramStart"/>
      <w:r>
        <w:t>have to</w:t>
      </w:r>
      <w:proofErr w:type="gramEnd"/>
      <w:r>
        <w:t xml:space="preserve"> isolate them from a rat or mouse or buy in some immortalised cells from cell culture supplier. A good answer would highlight the advantages and disadvantages of using primary cells versus cell lines. Identify what you are going to measure and how you would measure it.</w:t>
      </w:r>
      <w:r w:rsidR="00EF7C89">
        <w:t xml:space="preserve"> </w:t>
      </w:r>
      <w:r w:rsidR="008A26F5">
        <w:t>You could stimulate cells with CRH and measure</w:t>
      </w:r>
      <w:r w:rsidR="00EF7C89">
        <w:t xml:space="preserve"> intracellular cAMP </w:t>
      </w:r>
      <w:r w:rsidR="008A26F5">
        <w:t xml:space="preserve">by </w:t>
      </w:r>
      <w:r w:rsidR="00EF7C89">
        <w:t>transfecting</w:t>
      </w:r>
      <w:r w:rsidR="008A26F5">
        <w:t xml:space="preserve"> cells</w:t>
      </w:r>
      <w:r w:rsidR="00EF7C89">
        <w:t xml:space="preserve"> with a reporter </w:t>
      </w:r>
      <w:r w:rsidR="008A26F5">
        <w:t xml:space="preserve">gene </w:t>
      </w:r>
      <w:r w:rsidR="00EF7C89">
        <w:t xml:space="preserve">or </w:t>
      </w:r>
      <w:r w:rsidR="0028571B">
        <w:t xml:space="preserve">using FRET sensors or </w:t>
      </w:r>
      <w:r w:rsidR="00EF7C89">
        <w:t xml:space="preserve">measuring </w:t>
      </w:r>
      <w:r w:rsidR="008A26F5">
        <w:t xml:space="preserve">using a biochemical assay. Extra marks if they recognise cAMP is labile and the stimulation would have to be carried out in the presence of PDE4 inhibitor such as rolipram to preserve levels. They could also </w:t>
      </w:r>
      <w:r w:rsidR="00E8045B">
        <w:t>measure or</w:t>
      </w:r>
      <w:r w:rsidR="008A26F5">
        <w:t xml:space="preserve"> ACTH or </w:t>
      </w:r>
      <w:r w:rsidR="008A26F5" w:rsidRPr="008A26F5">
        <w:sym w:font="Symbol" w:char="F061"/>
      </w:r>
      <w:r w:rsidR="008A26F5" w:rsidRPr="008A26F5">
        <w:t>MSH</w:t>
      </w:r>
      <w:r w:rsidR="00E8045B">
        <w:t xml:space="preserve"> or </w:t>
      </w:r>
      <w:r w:rsidR="00E8045B">
        <w:sym w:font="Symbol" w:char="F067"/>
      </w:r>
      <w:r w:rsidR="00E8045B">
        <w:t xml:space="preserve"> Lipotropin or </w:t>
      </w:r>
      <w:r w:rsidR="00E8045B">
        <w:sym w:font="Symbol" w:char="F062"/>
      </w:r>
      <w:r w:rsidR="00E8045B">
        <w:t xml:space="preserve"> endorphin by ELISA in the culture media. Extra marks for stating</w:t>
      </w:r>
      <w:r w:rsidR="00E8045B" w:rsidRPr="00E8045B">
        <w:t xml:space="preserve"> the stimulation of GPCR with CRH causes exocytosis of ACTH and this can be exploited. </w:t>
      </w:r>
      <w:r w:rsidR="00E8045B">
        <w:t xml:space="preserve">Extra marks if they recognise that the POMC precursor is cleaved into a variety of peptide hormones that can all work on MCR receptors. </w:t>
      </w:r>
      <w:r w:rsidR="0028571B">
        <w:t>They</w:t>
      </w:r>
      <w:r w:rsidR="00E8045B">
        <w:t xml:space="preserve"> could also use</w:t>
      </w:r>
      <w:r w:rsidR="0028571B">
        <w:t xml:space="preserve"> a biological assay by preloading cells with a dye that tracks </w:t>
      </w:r>
      <w:bookmarkStart w:id="1" w:name="_Hlk117100645"/>
      <w:r w:rsidR="0028571B">
        <w:t>Ca</w:t>
      </w:r>
      <w:r w:rsidR="0028571B" w:rsidRPr="0028571B">
        <w:rPr>
          <w:vertAlign w:val="superscript"/>
        </w:rPr>
        <w:t>2+</w:t>
      </w:r>
      <w:bookmarkEnd w:id="1"/>
      <w:r w:rsidR="0028571B">
        <w:t xml:space="preserve"> influx such as Fura2 and visualising under a microscope or using fluorometer to measure the increase of </w:t>
      </w:r>
      <w:r w:rsidR="0028571B">
        <w:t>Ca</w:t>
      </w:r>
      <w:r w:rsidR="0028571B" w:rsidRPr="0028571B">
        <w:rPr>
          <w:vertAlign w:val="superscript"/>
        </w:rPr>
        <w:t>2+</w:t>
      </w:r>
      <w:r w:rsidR="0028571B">
        <w:t xml:space="preserve">over time. </w:t>
      </w:r>
      <w:r w:rsidR="00525D1C">
        <w:t xml:space="preserve">This could also be done </w:t>
      </w:r>
      <w:proofErr w:type="gramStart"/>
      <w:r w:rsidR="00525D1C" w:rsidRPr="00525D1C">
        <w:rPr>
          <w:i/>
          <w:iCs/>
        </w:rPr>
        <w:t>in vivo</w:t>
      </w:r>
      <w:proofErr w:type="gramEnd"/>
      <w:r w:rsidR="00525D1C">
        <w:t xml:space="preserve"> and blood ACTH levels measured. </w:t>
      </w:r>
    </w:p>
    <w:p w14:paraId="5D42BF49" w14:textId="760AE574" w:rsidR="005C31C1" w:rsidRDefault="0028571B" w:rsidP="006C79E6">
      <w:pPr>
        <w:spacing w:after="0"/>
        <w:jc w:val="both"/>
        <w:rPr>
          <w:i/>
          <w:iCs/>
          <w:color w:val="C45911" w:themeColor="accent2" w:themeShade="BF"/>
        </w:rPr>
      </w:pPr>
      <w:r w:rsidRPr="00442954">
        <w:rPr>
          <w:i/>
          <w:iCs/>
          <w:color w:val="C45911" w:themeColor="accent2" w:themeShade="BF"/>
        </w:rPr>
        <w:t xml:space="preserve">The more they write about the higher the mark, I’m not bother if it is doable to a degree </w:t>
      </w:r>
      <w:r w:rsidR="00442954" w:rsidRPr="00442954">
        <w:rPr>
          <w:i/>
          <w:iCs/>
          <w:color w:val="C45911" w:themeColor="accent2" w:themeShade="BF"/>
        </w:rPr>
        <w:t>if</w:t>
      </w:r>
      <w:r w:rsidRPr="00442954">
        <w:rPr>
          <w:i/>
          <w:iCs/>
          <w:color w:val="C45911" w:themeColor="accent2" w:themeShade="BF"/>
        </w:rPr>
        <w:t xml:space="preserve"> they can show a logic to their </w:t>
      </w:r>
      <w:r w:rsidR="00442954" w:rsidRPr="00442954">
        <w:rPr>
          <w:i/>
          <w:iCs/>
          <w:color w:val="C45911" w:themeColor="accent2" w:themeShade="BF"/>
        </w:rPr>
        <w:t>choice</w:t>
      </w:r>
      <w:r w:rsidR="00442954">
        <w:rPr>
          <w:i/>
          <w:iCs/>
          <w:color w:val="C45911" w:themeColor="accent2" w:themeShade="BF"/>
        </w:rPr>
        <w:t xml:space="preserve"> and how they would go about the experiment.</w:t>
      </w:r>
    </w:p>
    <w:p w14:paraId="1B119C7D" w14:textId="77777777" w:rsidR="006C79E6" w:rsidRPr="00525D1C" w:rsidRDefault="006C79E6" w:rsidP="006C79E6">
      <w:pPr>
        <w:spacing w:after="0"/>
        <w:jc w:val="both"/>
      </w:pPr>
    </w:p>
    <w:p w14:paraId="0876D7F2" w14:textId="1592FDAD" w:rsidR="00442954" w:rsidRDefault="00442954" w:rsidP="008A26F5">
      <w:pPr>
        <w:jc w:val="both"/>
      </w:pPr>
      <w:r w:rsidRPr="00442954">
        <w:rPr>
          <w:u w:val="single"/>
        </w:rPr>
        <w:t>Reduction in Keratin</w:t>
      </w:r>
      <w:r w:rsidRPr="00442954">
        <w:t xml:space="preserve"> - </w:t>
      </w:r>
      <w:r>
        <w:t>S</w:t>
      </w:r>
      <w:r w:rsidRPr="00442954">
        <w:t xml:space="preserve">imilar </w:t>
      </w:r>
      <w:r>
        <w:t xml:space="preserve">logic </w:t>
      </w:r>
      <w:r w:rsidRPr="00442954">
        <w:t>to above but being able to recognise that keratin is produced by keratinocytes</w:t>
      </w:r>
      <w:r>
        <w:t>. They need to recognise that keratin production needs to be stimulated in keratinocytes.</w:t>
      </w:r>
      <w:r w:rsidR="00525D1C">
        <w:t xml:space="preserve"> They may want to grow to confluence and do a scratch assay in the presence and absence of</w:t>
      </w:r>
      <w:r w:rsidR="00525D1C" w:rsidRPr="00525D1C">
        <w:t xml:space="preserve"> </w:t>
      </w:r>
      <w:r w:rsidR="00525D1C">
        <w:t>cortisol or glucocorticoid</w:t>
      </w:r>
      <w:r w:rsidR="00525D1C">
        <w:t>. They may want to seed cells at a low density and then measure proliferation over several days or then stain cells for keratin… This could also be done in vivo with longer term dosing of a glucocorticoid and skin thickness measured.</w:t>
      </w:r>
    </w:p>
    <w:p w14:paraId="6E7352D0" w14:textId="77777777" w:rsidR="006C79E6" w:rsidRDefault="00525D1C" w:rsidP="006C79E6">
      <w:pPr>
        <w:spacing w:after="0"/>
        <w:jc w:val="both"/>
      </w:pPr>
      <w:r w:rsidRPr="00525D1C">
        <w:rPr>
          <w:u w:val="single"/>
        </w:rPr>
        <w:t xml:space="preserve">Reduction in </w:t>
      </w:r>
      <w:r w:rsidRPr="00525D1C">
        <w:rPr>
          <w:u w:val="single"/>
        </w:rPr>
        <w:t>osteocalcin</w:t>
      </w:r>
      <w:r w:rsidRPr="00525D1C">
        <w:t xml:space="preserve"> - in vitro or in vivo </w:t>
      </w:r>
      <w:r>
        <w:t xml:space="preserve">again, clearly this time </w:t>
      </w:r>
      <w:r w:rsidR="006C79E6">
        <w:t xml:space="preserve">either looking at osteocalcin levels from osteoblasts or serum pyrroloindoline levels in rats or performing a bone eating assay. </w:t>
      </w:r>
    </w:p>
    <w:p w14:paraId="7C0BF660" w14:textId="6F9CFCB9" w:rsidR="00525D1C" w:rsidRPr="006C79E6" w:rsidRDefault="006C79E6" w:rsidP="006C79E6">
      <w:pPr>
        <w:spacing w:after="0"/>
        <w:jc w:val="both"/>
        <w:rPr>
          <w:i/>
          <w:iCs/>
          <w:color w:val="C45911" w:themeColor="accent2" w:themeShade="BF"/>
        </w:rPr>
      </w:pPr>
      <w:r w:rsidRPr="006C79E6">
        <w:rPr>
          <w:i/>
          <w:iCs/>
          <w:color w:val="C45911" w:themeColor="accent2" w:themeShade="BF"/>
        </w:rPr>
        <w:t xml:space="preserve">I cover this in the lecture  </w:t>
      </w:r>
    </w:p>
    <w:p w14:paraId="74983645" w14:textId="0E66F905" w:rsidR="006C79E6" w:rsidRDefault="006C79E6" w:rsidP="008A26F5">
      <w:pPr>
        <w:jc w:val="both"/>
      </w:pPr>
    </w:p>
    <w:p w14:paraId="1F6BE359" w14:textId="604154A3" w:rsidR="006C79E6" w:rsidRPr="00525D1C" w:rsidRDefault="006C79E6" w:rsidP="008A26F5">
      <w:pPr>
        <w:jc w:val="both"/>
      </w:pPr>
      <w:r w:rsidRPr="006C79E6">
        <w:rPr>
          <w:u w:val="single"/>
        </w:rPr>
        <w:lastRenderedPageBreak/>
        <w:t>Elevation of glucose</w:t>
      </w:r>
      <w:r>
        <w:t xml:space="preserve"> - They should know this…</w:t>
      </w:r>
    </w:p>
    <w:p w14:paraId="46DCA36D" w14:textId="77777777" w:rsidR="00525D1C" w:rsidRPr="00525D1C" w:rsidRDefault="00525D1C" w:rsidP="008A26F5">
      <w:pPr>
        <w:jc w:val="both"/>
      </w:pPr>
    </w:p>
    <w:p w14:paraId="7483D1E1" w14:textId="0017A372" w:rsidR="00442954" w:rsidRPr="00525D1C" w:rsidRDefault="00442954" w:rsidP="008A26F5">
      <w:pPr>
        <w:jc w:val="both"/>
      </w:pPr>
    </w:p>
    <w:p w14:paraId="25E605E3" w14:textId="047C9529" w:rsidR="00442954" w:rsidRPr="00525D1C" w:rsidRDefault="00442954" w:rsidP="008A26F5">
      <w:pPr>
        <w:jc w:val="both"/>
        <w:rPr>
          <w:i/>
          <w:iCs/>
          <w:color w:val="C45911" w:themeColor="accent2" w:themeShade="BF"/>
        </w:rPr>
      </w:pPr>
    </w:p>
    <w:p w14:paraId="3A72EFC8" w14:textId="77777777" w:rsidR="00442954" w:rsidRPr="00525D1C" w:rsidRDefault="00442954" w:rsidP="008A26F5">
      <w:pPr>
        <w:jc w:val="both"/>
        <w:rPr>
          <w:i/>
          <w:iCs/>
          <w:color w:val="C45911" w:themeColor="accent2" w:themeShade="BF"/>
        </w:rPr>
      </w:pPr>
    </w:p>
    <w:sectPr w:rsidR="00442954" w:rsidRPr="00525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7621FA"/>
    <w:multiLevelType w:val="hybridMultilevel"/>
    <w:tmpl w:val="CF048400"/>
    <w:lvl w:ilvl="0" w:tplc="75AA5426">
      <w:start w:val="1"/>
      <w:numFmt w:val="bullet"/>
      <w:lvlText w:val="-"/>
      <w:lvlJc w:val="left"/>
      <w:pPr>
        <w:ind w:left="1440" w:hanging="360"/>
      </w:pPr>
      <w:rPr>
        <w:rFonts w:ascii="Calibri" w:eastAsiaTheme="minorEastAsia"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7E321D5D"/>
    <w:multiLevelType w:val="hybridMultilevel"/>
    <w:tmpl w:val="776042E4"/>
    <w:lvl w:ilvl="0" w:tplc="433E0C3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579"/>
    <w:rsid w:val="0028571B"/>
    <w:rsid w:val="00394FA5"/>
    <w:rsid w:val="00442954"/>
    <w:rsid w:val="004C2595"/>
    <w:rsid w:val="00525D1C"/>
    <w:rsid w:val="005C31C1"/>
    <w:rsid w:val="006C79E6"/>
    <w:rsid w:val="00702579"/>
    <w:rsid w:val="008A26F5"/>
    <w:rsid w:val="00C25F9F"/>
    <w:rsid w:val="00E8045B"/>
    <w:rsid w:val="00EE30B0"/>
    <w:rsid w:val="00EF7C8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8111E"/>
  <w15:chartTrackingRefBased/>
  <w15:docId w15:val="{4A4E65D8-8A6C-4050-812C-1CE071B91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2"/>
        <w:sz w:val="24"/>
        <w:szCs w:val="96"/>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0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7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Paul-Clark, Mark</dc:creator>
  <cp:keywords/>
  <dc:description/>
  <cp:lastModifiedBy>Paul-Clark, Mark</cp:lastModifiedBy>
  <cp:revision>3</cp:revision>
  <dcterms:created xsi:type="dcterms:W3CDTF">2022-10-17T17:17:00Z</dcterms:created>
  <dcterms:modified xsi:type="dcterms:W3CDTF">2022-10-19T19:10:00Z</dcterms:modified>
</cp:coreProperties>
</file>