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Health</w:t>
      </w:r>
      <w:r>
        <w:t xml:space="preserve"> </w:t>
      </w:r>
      <w:r>
        <w:t xml:space="preserve">Survey:</w:t>
      </w:r>
      <w:r>
        <w:t xml:space="preserve"> </w:t>
      </w:r>
      <w:r>
        <w:t xml:space="preserve">Supplemental</w:t>
      </w:r>
      <w:r>
        <w:t xml:space="preserve"> </w:t>
      </w:r>
      <w:r>
        <w:t xml:space="preserve">Report</w:t>
      </w:r>
      <w:r>
        <w:br/>
      </w:r>
      <w:r>
        <w:t xml:space="preserve">2021-2022</w:t>
      </w:r>
      <w:r>
        <w:t xml:space="preserve"> </w:t>
      </w:r>
      <w:r>
        <w:t xml:space="preserve">School</w:t>
      </w:r>
      <w:r>
        <w:t xml:space="preserve"> </w:t>
      </w:r>
      <w:r>
        <w:t xml:space="preserve">Year</w:t>
      </w:r>
    </w:p>
    <w:p>
      <w:pPr>
        <w:pStyle w:val="Author"/>
      </w:pPr>
      <w:r>
        <w:t xml:space="preserve">Baltimore</w:t>
      </w:r>
      <w:r>
        <w:t xml:space="preserve"> </w:t>
      </w:r>
      <w:r>
        <w:t xml:space="preserve">City</w:t>
      </w:r>
      <w:r>
        <w:t xml:space="preserve"> </w:t>
      </w:r>
      <w:r>
        <w:t xml:space="preserve">Public</w:t>
      </w:r>
      <w:r>
        <w:t xml:space="preserve"> </w:t>
      </w:r>
      <w:r>
        <w:t xml:space="preserve">Schools</w:t>
      </w:r>
    </w:p>
    <w:p>
      <w:pPr>
        <w:pStyle w:val="Date"/>
      </w:pPr>
      <w:r>
        <w:t xml:space="preserve">Report</w:t>
      </w:r>
      <w:r>
        <w:t xml:space="preserve"> </w:t>
      </w:r>
      <w:r>
        <w:t xml:space="preserve">produced</w:t>
      </w:r>
      <w:r>
        <w:t xml:space="preserve"> </w:t>
      </w:r>
      <w:r>
        <w:t xml:space="preserve">on</w:t>
      </w:r>
      <w:r>
        <w:t xml:space="preserve"> </w:t>
      </w:r>
      <w:r>
        <w:t xml:space="preserve">March</w:t>
      </w:r>
      <w:r>
        <w:t xml:space="preserve"> </w:t>
      </w:r>
      <w:r>
        <w:t xml:space="preserve">01,</w:t>
      </w:r>
      <w:r>
        <w:t xml:space="preserve"> </w:t>
      </w:r>
      <w:r>
        <w:t xml:space="preserve">2022</w:t>
      </w:r>
    </w:p>
    <w:p>
      <w:pPr>
        <w:pStyle w:val="FirstParagraph"/>
      </w:pPr>
      <w:r>
        <w:br/>
      </w:r>
      <w:r>
        <w:br/>
      </w:r>
      <w:r>
        <w:br/>
      </w:r>
    </w:p>
    <w:p>
      <w:pPr>
        <w:pStyle w:val="CenterText"/>
      </w:pPr>
      <w:r>
        <w:t xml:space="preserve">Part of the Networks for School Improvement Initiative</w:t>
      </w:r>
      <w:r>
        <w:br/>
      </w:r>
      <w:r>
        <w:t xml:space="preserve">Funded by The Bill and Melinda Gates Foundation</w:t>
      </w:r>
      <w:r>
        <w:br/>
      </w:r>
    </w:p>
    <w:p>
      <w:pPr>
        <w:pStyle w:val="CenterText"/>
      </w:pPr>
      <w:r>
        <w:rPr>
          <w:iCs/>
          <w:i/>
        </w:rPr>
        <w:t xml:space="preserve">Prepared by</w:t>
      </w:r>
      <w:r>
        <w:t xml:space="preserve">:</w:t>
      </w:r>
    </w:p>
    <w:p>
      <w:pPr>
        <w:pStyle w:val="CenterText"/>
      </w:pPr>
      <w:bookmarkStart w:id="21" w:name="id"/>
      <w:r>
        <w:drawing>
          <wp:inline>
            <wp:extent cx="4762500" cy="762000"/>
            <wp:effectExtent b="0" l="0" r="0" t="0"/>
            <wp:docPr descr="" title="" id="1" name="Picture"/>
            <a:graphic>
              <a:graphicData uri="http://schemas.openxmlformats.org/drawingml/2006/picture">
                <pic:pic>
                  <pic:nvPicPr>
                    <pic:cNvPr descr="pni_graphic.png" id="2" name="Picture"/>
                    <pic:cNvPicPr>
                      <a:picLocks noChangeArrowheads="1" noChangeAspect="1"/>
                    </pic:cNvPicPr>
                  </pic:nvPicPr>
                  <pic:blipFill>
                    <a:blip r:embed="rId20"/>
                    <a:stretch>
                      <a:fillRect/>
                    </a:stretch>
                  </pic:blipFill>
                  <pic:spPr bwMode="auto">
                    <a:xfrm>
                      <a:off x="0" y="0"/>
                      <a:ext cx="4762500" cy="762000"/>
                    </a:xfrm>
                    <a:prstGeom prst="rect">
                      <a:avLst/>
                    </a:prstGeom>
                    <a:noFill/>
                    <a:ln w="9525">
                      <a:noFill/>
                      <a:headEnd/>
                      <a:tailEnd/>
                    </a:ln>
                  </pic:spPr>
                </pic:pic>
              </a:graphicData>
            </a:graphic>
          </wp:inline>
        </w:drawing>
      </w:r>
      <w:bookmarkEnd w:id="21"/>
      <w:r>
        <w:br/>
      </w:r>
      <w:r>
        <w:t xml:space="preserve">Learning Research and Development Center</w:t>
      </w:r>
      <w:r>
        <w:br/>
      </w:r>
      <w:r>
        <w:t xml:space="preserve">University of Pittsburgh</w:t>
      </w:r>
      <w:r>
        <w:br/>
      </w:r>
      <w:r>
        <w:br/>
      </w:r>
      <w:r>
        <w:br/>
      </w:r>
      <w:r>
        <w:rPr>
          <w:iCs/>
          <w:i/>
        </w:rPr>
        <w:t xml:space="preserve">In collaboration with</w:t>
      </w:r>
    </w:p>
    <w:p>
      <w:pPr>
        <w:pStyle w:val="CenterText"/>
      </w:pPr>
      <w:bookmarkStart w:id="23" w:name="id"/>
      <w:r>
        <w:drawing>
          <wp:inline>
            <wp:extent cx="3333750" cy="1143000"/>
            <wp:effectExtent b="0" l="0" r="0" t="0"/>
            <wp:docPr descr="" title="" id="3" name="Picture"/>
            <a:graphic>
              <a:graphicData uri="http://schemas.openxmlformats.org/drawingml/2006/picture">
                <pic:pic>
                  <pic:nvPicPr>
                    <pic:cNvPr descr="carnegie_graphic.png" id="4" name="Picture"/>
                    <pic:cNvPicPr>
                      <a:picLocks noChangeArrowheads="1" noChangeAspect="1"/>
                    </pic:cNvPicPr>
                  </pic:nvPicPr>
                  <pic:blipFill>
                    <a:blip r:embed="rId22"/>
                    <a:stretch>
                      <a:fillRect/>
                    </a:stretch>
                  </pic:blipFill>
                  <pic:spPr bwMode="auto">
                    <a:xfrm>
                      <a:off x="0" y="0"/>
                      <a:ext cx="3333750" cy="1143000"/>
                    </a:xfrm>
                    <a:prstGeom prst="rect">
                      <a:avLst/>
                    </a:prstGeom>
                    <a:noFill/>
                    <a:ln w="9525">
                      <a:noFill/>
                      <a:headEnd/>
                      <a:tailEnd/>
                    </a:ln>
                  </pic:spPr>
                </pic:pic>
              </a:graphicData>
            </a:graphic>
          </wp:inline>
        </w:drawing>
      </w:r>
      <w:bookmarkEnd w:id="23"/>
    </w:p>
    <w:p>
      <w:r>
        <w:br w:type="page"/>
      </w:r>
    </w:p>
    <w:p>
      <w:pPr>
        <w:pStyle w:val="BodyText"/>
      </w:pPr>
      <w:r>
        <w:t xml:space="preserve">Thank you for your participation in this year’s network health survey. The data in this report overview your network members’ responses to various questions that were included in this year’s survey but are not available through the primary report dashboard. We encourage you to review these data alongside your primary report dashboard to get a more complete understanding of your network’s current health and areas for further development.</w:t>
      </w:r>
    </w:p>
    <w:bookmarkStart w:id="24" w:name="who-took-the-survey"/>
    <w:p>
      <w:pPr>
        <w:pStyle w:val="Heading1"/>
      </w:pPr>
      <w:r>
        <w:t xml:space="preserve">Who took the survey?</w:t>
      </w:r>
    </w:p>
    <w:p>
      <w:pPr>
        <w:pStyle w:val="FirstParagraph"/>
      </w:pPr>
      <w:r>
        <w:t xml:space="preserve">Overall, your network’s response rate was</w:t>
      </w:r>
      <w:r>
        <w:t xml:space="preserve"> </w:t>
      </w:r>
      <w:r>
        <w:rPr>
          <w:bCs/>
          <w:b/>
        </w:rPr>
        <w:t xml:space="preserve">72%</w:t>
      </w:r>
      <w:r>
        <w:t xml:space="preserve">. This is an improvement over last year’s response rate, which was 65%.</w:t>
      </w:r>
    </w:p>
    <w:p>
      <w:pPr>
        <w:pStyle w:val="BodyText"/>
      </w:pPr>
      <w:r>
        <w:t xml:space="preserve">Table 1 describes the</w:t>
      </w:r>
      <w:r>
        <w:t xml:space="preserve"> </w:t>
      </w:r>
      <w:r>
        <w:rPr>
          <w:bCs/>
          <w:b/>
        </w:rPr>
        <w:t xml:space="preserve">distribution of respondents by role group</w:t>
      </w:r>
      <w:r>
        <w:t xml:space="preserve">:</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Responses by Role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80"/>
        <w:gridCol w:w="46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Network role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Number of respondents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Hub leaders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Other school and district leaders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 leads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Team members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w:t>
            </w:r>
          </w:p>
        </w:tc>
      </w:tr>
    </w:tbl>
    <w:p>
      <w:pPr>
        <w:pStyle w:val="BodyText"/>
      </w:pPr>
      <w:r>
        <w:t xml:space="preserve">Note that both the percentages for your overall network response rate and the response rates per role group in Table 1 were calculated using your network roster data from the RAND foundation.</w:t>
      </w:r>
    </w:p>
    <w:p>
      <w:pPr>
        <w:pStyle w:val="BodyText"/>
      </w:pPr>
      <w:r>
        <w:t xml:space="preserve">Table 2 describes the</w:t>
      </w:r>
      <w:r>
        <w:t xml:space="preserve"> </w:t>
      </w:r>
      <w:r>
        <w:rPr>
          <w:bCs/>
          <w:b/>
        </w:rPr>
        <w:t xml:space="preserve">distribution of respondents by school</w:t>
      </w:r>
      <w:r>
        <w:t xml:space="preserve">:</w:t>
      </w:r>
      <w:r>
        <w:br/>
      </w:r>
      <w:r>
        <w:t xml:space="preserve">[INSERT TABLE WITH RESPONDENTS BY SCHOOL HERE–POSSIBLE TO INCLUDE RESPONSE RATE % HERE?]</w:t>
      </w:r>
    </w:p>
    <w:p>
      <w:pPr>
        <w:pStyle w:val="BodyText"/>
      </w:pPr>
      <w:r>
        <w:t xml:space="preserve">Figures</w:t>
      </w:r>
      <w:r>
        <w:t xml:space="preserve"> </w:t>
      </w:r>
      <w:hyperlink w:anchor="rrRac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rrRace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w:t>
      </w:r>
      <w:r>
        <w:t xml:space="preserve"> </w:t>
      </w:r>
      <w:hyperlink w:anchor="rrGende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rrGender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show</w:t>
      </w:r>
      <w:r>
        <w:t xml:space="preserve"> </w:t>
      </w:r>
      <w:r>
        <w:rPr>
          <w:bCs/>
          <w:b/>
        </w:rPr>
        <w:t xml:space="preserve">how your respondents varied by race/ethnicity and gender</w:t>
      </w:r>
      <w:r>
        <w:t xml:space="preserve">, respectively. Given your knowledge of your network’s overall membership, consider whether any particular groups seem under-represented in your respondents this year. How might you increase responses from this group in future surveys to ensure all perspectives are fully reflected in your network’s data?</w:t>
      </w:r>
    </w:p>
    <w:p>
      <w:pPr>
        <w:pStyle w:val="ImageCaption"/>
      </w:pPr>
      <w:r>
        <w:rPr>
          <w:rFonts/>
          <w:b w:val="true"/>
        </w:rPr>
        <w:t xml:space="preserve">Figure </w:t>
      </w:r>
      <w:bookmarkStart w:id="3dfb5965-7911-4d59-a637-f4e8ec7cd675" w:name="rrRa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dfb5965-7911-4d59-a637-f4e8ec7cd675"/>
      <w:r>
        <w:t xml:space="preserve">: </w:t>
      </w:r>
      <w:r>
        <w:t xml:space="preserve">Survey Respondents by Racial Ethnic Background</w:t>
      </w:r>
    </w:p>
    <w:p>
      <w:pPr>
        <w:jc w:val="left"/>
        <w:pStyle w:val="Normal"/>
      </w:pPr>
      <w:r>
        <w:rPr/>
        <w:drawing xmlns:r="http://schemas.openxmlformats.org/officeDocument/2006/relationships">
          <wp:inline distT="0" distB="0" distL="0" distR="0">
            <wp:extent cx="5486400" cy="32004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76200" cy="44450"/>
                    </a:xfrm>
                    <a:prstGeom prst="rect">
                      <a:avLst/>
                    </a:prstGeom>
                    <a:noFill/>
                  </pic:spPr>
                </pic:pic>
              </a:graphicData>
            </a:graphic>
          </wp:inline>
        </w:drawing>
      </w:r>
    </w:p>
    <w:p>
      <w:pPr>
        <w:pStyle w:val="ImageCaption"/>
      </w:pPr>
      <w:r>
        <w:rPr>
          <w:rFonts/>
          <w:b w:val="true"/>
        </w:rPr>
        <w:t xml:space="preserve">Figure </w:t>
      </w:r>
      <w:bookmarkStart w:id="82c4edba-7cec-44e5-972e-c22705563106" w:name="rrGende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2c4edba-7cec-44e5-972e-c22705563106"/>
      <w:r>
        <w:t xml:space="preserve">: </w:t>
      </w:r>
      <w:r>
        <w:t xml:space="preserve">Survey Respondents by Gender</w:t>
      </w:r>
    </w:p>
    <w:p>
      <w:pPr>
        <w:jc w:val="left"/>
        <w:pStyle w:val="Normal"/>
      </w:pPr>
      <w:r>
        <w:rPr/>
        <w:drawing xmlns:r="http://schemas.openxmlformats.org/officeDocument/2006/relationships">
          <wp:inline distT="0" distB="0" distL="0" distR="0">
            <wp:extent cx="5486400" cy="32004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4"/>
                    <a:srcRect/>
                    <a:stretch>
                      <a:fillRect/>
                    </a:stretch>
                  </pic:blipFill>
                  <pic:spPr bwMode="auto">
                    <a:xfrm>
                      <a:off x="0" y="0"/>
                      <a:ext cx="76200" cy="44450"/>
                    </a:xfrm>
                    <a:prstGeom prst="rect">
                      <a:avLst/>
                    </a:prstGeom>
                    <a:noFill/>
                  </pic:spPr>
                </pic:pic>
              </a:graphicData>
            </a:graphic>
          </wp:inline>
        </w:drawing>
      </w:r>
    </w:p>
    <w:bookmarkEnd w:id="24"/>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sto MT">
    <w:panose1 w:val="020406030505050303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524B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6AE5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E03D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F6F7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BA2756"/>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80E663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40BE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2A4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0ECC8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E86D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5EEEF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6489F"/>
    <w:pPr>
      <w:keepNext/>
      <w:keepLines/>
      <w:spacing w:before="480" w:after="0"/>
      <w:outlineLvl w:val="0"/>
    </w:pPr>
    <w:rPr>
      <w:rFonts w:ascii="Calisto MT" w:eastAsiaTheme="majorEastAsia" w:hAnsi="Calisto MT" w:cstheme="majorBidi"/>
      <w:b/>
      <w:bCs/>
      <w:color w:val="000000" w:themeColor="text1"/>
      <w:sz w:val="28"/>
      <w:szCs w:val="32"/>
    </w:rPr>
  </w:style>
  <w:style w:type="paragraph" w:styleId="Heading2">
    <w:name w:val="heading 2"/>
    <w:basedOn w:val="Normal"/>
    <w:next w:val="BodyText"/>
    <w:uiPriority w:val="9"/>
    <w:unhideWhenUsed/>
    <w:qFormat/>
    <w:rsid w:val="000F481A"/>
    <w:pPr>
      <w:keepNext/>
      <w:keepLines/>
      <w:spacing w:before="200" w:after="0"/>
      <w:outlineLvl w:val="1"/>
    </w:pPr>
    <w:rPr>
      <w:rFonts w:ascii="Calisto MT" w:eastAsiaTheme="majorEastAsia" w:hAnsi="Calisto MT" w:cstheme="majorBidi"/>
      <w:b/>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34F3D"/>
    <w:pPr>
      <w:spacing w:before="180" w:after="180"/>
    </w:pPr>
    <w:rPr>
      <w:rFonts w:ascii="Times New Roman" w:hAnsi="Times New Roman"/>
    </w:rPr>
  </w:style>
  <w:style w:type="paragraph" w:customStyle="1" w:styleId="FirstParagraph">
    <w:name w:val="First Paragraph"/>
    <w:basedOn w:val="BodyText"/>
    <w:next w:val="BodyText"/>
    <w:qFormat/>
    <w:rsid w:val="00C63218"/>
  </w:style>
  <w:style w:type="paragraph" w:customStyle="1" w:styleId="Compact">
    <w:name w:val="Compact"/>
    <w:basedOn w:val="BodyText"/>
    <w:qFormat/>
    <w:pPr>
      <w:spacing w:before="36" w:after="36"/>
    </w:pPr>
  </w:style>
  <w:style w:type="paragraph" w:styleId="Title">
    <w:name w:val="Title"/>
    <w:basedOn w:val="Normal"/>
    <w:next w:val="BodyText"/>
    <w:qFormat/>
    <w:rsid w:val="00693ABE"/>
    <w:pPr>
      <w:keepNext/>
      <w:keepLines/>
      <w:spacing w:before="480" w:after="240"/>
      <w:jc w:val="center"/>
    </w:pPr>
    <w:rPr>
      <w:rFonts w:ascii="Calisto MT" w:eastAsiaTheme="majorEastAsia" w:hAnsi="Calisto MT"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C09AB"/>
    <w:pPr>
      <w:keepNext/>
      <w:keepLines/>
      <w:jc w:val="center"/>
    </w:pPr>
    <w:rPr>
      <w:rFonts w:ascii="Calisto MT" w:hAnsi="Calisto MT"/>
      <w:b/>
      <w:color w:val="000000" w:themeColor="text1"/>
      <w:sz w:val="32"/>
    </w:rPr>
  </w:style>
  <w:style w:type="paragraph" w:styleId="Date">
    <w:name w:val="Date"/>
    <w:next w:val="BodyText"/>
    <w:qFormat/>
    <w:rsid w:val="000F481A"/>
    <w:pPr>
      <w:keepNext/>
      <w:keepLines/>
      <w:jc w:val="center"/>
    </w:pPr>
    <w:rPr>
      <w:rFonts w:ascii="Times New Roman" w:hAnsi="Times New Roman"/>
      <w:sz w:val="28"/>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D3E91"/>
    <w:pPr>
      <w:keepNext/>
    </w:pPr>
    <w:rPr>
      <w:rFonts w:ascii="Times New Roman" w:hAnsi="Times New Roman"/>
      <w:b/>
      <w:i w:val="0"/>
    </w:rPr>
  </w:style>
  <w:style w:type="paragraph" w:customStyle="1" w:styleId="ImageCaption">
    <w:name w:val="Image Caption"/>
    <w:basedOn w:val="Caption"/>
    <w:rsid w:val="00520A8F"/>
    <w:pPr>
      <w:spacing w:after="0"/>
    </w:pPr>
    <w:rPr>
      <w:rFonts w:ascii="Times New Roman" w:hAnsi="Times New Roman"/>
      <w:b/>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F481A"/>
    <w:rPr>
      <w:color w:val="800080" w:themeColor="followedHyperlink"/>
      <w:u w:val="single"/>
    </w:rPr>
  </w:style>
  <w:style w:type="character" w:customStyle="1" w:styleId="BodyTextChar">
    <w:name w:val="Body Text Char"/>
    <w:basedOn w:val="DefaultParagraphFont"/>
    <w:link w:val="BodyText"/>
    <w:rsid w:val="00F34F3D"/>
    <w:rPr>
      <w:rFonts w:ascii="Times New Roman" w:hAnsi="Times New Roman"/>
    </w:rPr>
  </w:style>
  <w:style w:type="paragraph" w:customStyle="1" w:styleId="CenterText">
    <w:name w:val="CenterText"/>
    <w:basedOn w:val="BodyText"/>
    <w:qFormat/>
    <w:rsid w:val="00F34F3D"/>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2" Type="http://schemas.openxmlformats.org/officeDocument/2006/relationships/image" Target="media/rId22.png"/>
<Relationship Id="rId20" Type="http://schemas.openxmlformats.org/officeDocument/2006/relationships/image" Target="media/rId20.png"/>
<Relationship Id="rId23" Type="http://schemas.openxmlformats.org/officeDocument/2006/relationships/image" Target="media/filea18c30ad6c47.png"/>
<Relationship Id="rId24" Type="http://schemas.openxmlformats.org/officeDocument/2006/relationships/image" Target="media/filea18c499fc2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Network Health Survey: Supplemental Report 2021-2022 School Year [Network Name]</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Network Health Survey: Supplemental Report 2021-2022 School Year</dc:title>
  <dc:creator>Baltimore City Public Schools</dc:creator>
  <cp:keywords/>
  <dcterms:created xsi:type="dcterms:W3CDTF">2022-03-01T20:13:57Z</dcterms:created>
  <dcterms:modified xsi:type="dcterms:W3CDTF">2022-03-01T15:13:58Z</dcterms:modified>
  <cp:lastModifiedBy>meganduff</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produced on March 01, 2022</vt:lpwstr>
  </property>
  <property fmtid="{D5CDD505-2E9C-101B-9397-08002B2CF9AE}" pid="3" name="output">
    <vt:lpwstr/>
  </property>
  <property fmtid="{D5CDD505-2E9C-101B-9397-08002B2CF9AE}" pid="4" name="params">
    <vt:lpwstr/>
  </property>
</Properties>
</file>