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February</w:t>
      </w:r>
      <w:r>
        <w:t xml:space="preserve"> </w:t>
      </w:r>
      <w:r>
        <w:t xml:space="preserve">25,</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0"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1" name="Picture"/>
            <a:graphic>
              <a:graphicData uri="http://schemas.openxmlformats.org/drawingml/2006/picture">
                <pic:pic>
                  <pic:nvPicPr>
                    <pic:cNvPr descr="carnegie_graphic.png" id="0"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5" w:name="who-took-the-survey"/>
    <w:p>
      <w:pPr>
        <w:pStyle w:val="Heading1"/>
      </w:pPr>
      <w:r>
        <w:t xml:space="preserve">Who took the survey?</w:t>
      </w:r>
    </w:p>
    <w:p>
      <w:pPr>
        <w:pStyle w:val="FirstParagraph"/>
      </w:pPr>
      <w:r>
        <w:t xml:space="preserve">Overall, your network’s response rate was [r rr_22]. This is [r if(rr_22&gt;rr21){</w:t>
      </w:r>
      <w:r>
        <w:t xml:space="preserve">“</w:t>
      </w:r>
      <w:r>
        <w:t xml:space="preserve">an improvement over</w:t>
      </w:r>
      <w:r>
        <w:t xml:space="preserve">”</w:t>
      </w:r>
      <w:r>
        <w:t xml:space="preserve">}] [r if(rr22=rr21{</w:t>
      </w:r>
      <w:r>
        <w:t xml:space="preserve">“</w:t>
      </w:r>
      <w:r>
        <w:t xml:space="preserve">consistent with</w:t>
      </w:r>
      <w:r>
        <w:t xml:space="preserve">”</w:t>
      </w:r>
      <w:r>
        <w:t xml:space="preserve">}] [r if(rr22&lt;rr21{</w:t>
      </w:r>
      <w:r>
        <w:t xml:space="preserve">“</w:t>
      </w:r>
      <w:r>
        <w:t xml:space="preserve">below</w:t>
      </w:r>
      <w:r>
        <w:t xml:space="preserve">”</w:t>
      </w:r>
      <w:r>
        <w:t xml:space="preserve">}] last year’s response rate, which was [r rr_21]. [If response rate under 50%] Given your network response rate was under 50%, we urge you to interpret these results with caution as they represent only a portion of your network’s membership. Please reach out to the Network Health team for tips on how to increase response rates moving forward.</w:t>
      </w:r>
    </w:p>
    <w:p>
      <w:pPr>
        <w:pStyle w:val="BodyText"/>
      </w:pPr>
      <w:r>
        <w:t xml:space="preserve">Table 1 describes the</w:t>
      </w:r>
      <w:r>
        <w:t xml:space="preserve"> </w:t>
      </w:r>
      <w:r>
        <w:rPr>
          <w:bCs/>
          <w:b/>
        </w:rPr>
        <w:t xml:space="preserve">distribution of respondents by role group</w:t>
      </w:r>
      <w:r>
        <w:t xml:space="preserve">:</w:t>
      </w:r>
    </w:p>
    <w:p>
      <w:pPr>
        <w:pStyle w:val="BodyText"/>
      </w:pPr>
      <w:r>
        <w:t xml:space="preserve">Figures 1 and 2 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BodyText"/>
      </w:pPr>
      <w:r>
        <w:drawing>
          <wp:inline>
            <wp:extent cx="5943600" cy="3566160"/>
            <wp:effectExtent b="0" l="0" r="0" t="0"/>
            <wp:docPr descr="" title="" id="1" name="Picture"/>
            <a:graphic>
              <a:graphicData uri="http://schemas.openxmlformats.org/drawingml/2006/picture">
                <pic:pic>
                  <pic:nvPicPr>
                    <pic:cNvPr descr="aux_report_template_duff_2022_files/figure-docx/response_rate_by_race_ethnicity-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[INSERT GENDER_V3 BAR GRAPH HERE (FIGURE 2)]</w:t>
      </w:r>
    </w:p>
    <w:bookmarkEnd w:id="25"/>
    <w:sectPr w:rsidR="00E4311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50C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5E07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7E06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06FA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8C0E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24A45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B6B1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CEC0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E4E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3243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Health Survey: Supplemental Report 2021-2022 School Year</dc:title>
  <dc:creator>Baltimore City Public Schools</dc:creator>
  <cp:keywords/>
  <dcterms:created xsi:type="dcterms:W3CDTF">2022-02-25T17:11:54Z</dcterms:created>
  <dcterms:modified xsi:type="dcterms:W3CDTF">2022-02-25T17:11:54Z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February 25, 2022</vt:lpwstr>
  </property>
  <property fmtid="{D5CDD505-2E9C-101B-9397-08002B2CF9AE}" pid="3" name="output">
    <vt:lpwstr/>
  </property>
  <property fmtid="{D5CDD505-2E9C-101B-9397-08002B2CF9AE}" pid="4" name="params">
    <vt:lpwstr/>
  </property>
</Properties>
</file>