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1969" w:line="240" w:lineRule="auto"/>
        <w:ind w:left="0" w:firstLine="0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  <w:rtl w:val="0"/>
        </w:rPr>
        <w:t xml:space="preserve">Shopper 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Liberation Sans" w:cs="Liberation Sans" w:eastAsia="Liberation Sans" w:hAnsi="Liberation Sans"/>
          <w:sz w:val="40"/>
          <w:szCs w:val="40"/>
          <w:rtl w:val="0"/>
        </w:rPr>
        <w:t xml:space="preserve">Propuesta de Proyecto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1494000</wp:posOffset>
            </wp:positionH>
            <wp:positionV relativeFrom="paragraph">
              <wp:posOffset>514350</wp:posOffset>
            </wp:positionV>
            <wp:extent cx="2738438" cy="2343150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Datos Identificativos: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ind w:left="720" w:firstLine="0"/>
        <w:rPr>
          <w:rFonts w:ascii="Liberation Sans" w:cs="Liberation Sans" w:eastAsia="Liberation Sans" w:hAnsi="Liberation Sans"/>
          <w:i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Alumno/s: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4"/>
          <w:szCs w:val="24"/>
          <w:rtl w:val="0"/>
        </w:rPr>
        <w:t xml:space="preserve">Álvaro Gómez Delgado, Mauricio Peña Domínguez, Alberto Sánchez Díaz, Paloma Hernández Sánchez.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ind w:left="720" w:firstLine="0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A">
      <w:pPr>
        <w:pageBreakBefore w:val="0"/>
        <w:spacing w:after="140" w:lineRule="auto"/>
        <w:ind w:left="720" w:firstLine="0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ind w:left="720" w:firstLine="0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2024-2025</w:t>
      </w:r>
    </w:p>
    <w:p w:rsidR="00000000" w:rsidDel="00000000" w:rsidP="00000000" w:rsidRDefault="00000000" w:rsidRPr="00000000" w14:paraId="0000000C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Ámbito de Ciudadanía Global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Desarrollo Humano y Sostenible.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Minijuego que referencia al clásico Super Mario, enfocado hacia una critica al consumismo, más concretamente el fast fashion. Promoviendo la moda sostenible y el consumo responsable.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-Educación Ambiental: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Concienciar sobre el consumo excesivo en el mundo de la moda  y sobre la importancia de cuidar nuestro planeta.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-Inspiración para Acciones Reales: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Fomentar un consumo responsable y no caer en las tentaciones del capitalismo.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-Reforzar el papel de la tecnología en la educación social: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Demostrar que los videojuegos no solo entretienen sino que también educan.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Beneficiarios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Futuras generaciones: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Niños y jóvenes, fomentando buenos hábitos que les acompañará toda la vida.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Escuelas y entidades educativas: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Dispondrán de una herramienta muy útil para enseñar conceptos como el reciclaje y contaminación.</w:t>
        <w:tab/>
      </w:r>
    </w:p>
    <w:p w:rsidR="00000000" w:rsidDel="00000000" w:rsidP="00000000" w:rsidRDefault="00000000" w:rsidRPr="00000000" w14:paraId="0000001D">
      <w:pPr>
        <w:pStyle w:val="Heading1"/>
        <w:pageBreakBefore w:val="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Aspectos Principales a Abordar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Producción Contaminante:</w:t>
      </w:r>
      <w:r w:rsidDel="00000000" w:rsidR="00000000" w:rsidRPr="00000000">
        <w:rPr>
          <w:rtl w:val="0"/>
        </w:rPr>
        <w:t xml:space="preserve"> Mostrar cómo la moda rápida contribuye a la contaminación y al agotamiento de recursos naturales debido a la producción masiva de ropa de baja calidad.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 Laborales:</w:t>
      </w:r>
      <w:r w:rsidDel="00000000" w:rsidR="00000000" w:rsidRPr="00000000">
        <w:rPr>
          <w:rtl w:val="0"/>
        </w:rPr>
        <w:t xml:space="preserve"> Reflexionar sobre las malas condiciones de trabajo de las personas que producen ropa en fábricas de moda rápida.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Obsolescencia Programada:</w:t>
      </w:r>
      <w:r w:rsidDel="00000000" w:rsidR="00000000" w:rsidRPr="00000000">
        <w:rPr>
          <w:rtl w:val="0"/>
        </w:rPr>
        <w:t xml:space="preserve"> Explicar cómo la moda rápida promueve el consumo continuo mediante la creación de tendencias de corto plazo y la baja durabilidad de los productos.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Ambiental:</w:t>
      </w:r>
      <w:r w:rsidDel="00000000" w:rsidR="00000000" w:rsidRPr="00000000">
        <w:rPr>
          <w:rtl w:val="0"/>
        </w:rPr>
        <w:t xml:space="preserve"> Incluir mecánicas o minijuegos que reflejen la huella ecológica de la industria textil, como la contaminación de ríos y la generación de residuos de ropa.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Compra Sostenible:</w:t>
      </w:r>
      <w:r w:rsidDel="00000000" w:rsidR="00000000" w:rsidRPr="00000000">
        <w:rPr>
          <w:rtl w:val="0"/>
        </w:rPr>
        <w:t xml:space="preserve"> Incentivar el uso de tiendas de ropa de segunda mano, marcas que usen materiales reciclados o ecológicos, y prendas duraderas.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Reciclaje y Reutilización:</w:t>
      </w:r>
      <w:r w:rsidDel="00000000" w:rsidR="00000000" w:rsidRPr="00000000">
        <w:rPr>
          <w:rtl w:val="0"/>
        </w:rPr>
        <w:t xml:space="preserve"> Integrar mecánicas donde los jugadores puedan "reciclar" ropa dentro del juego y aprender cómo se pueden reutilizar las prendas en lugar de desecharlas.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Moda Ética:</w:t>
      </w:r>
      <w:r w:rsidDel="00000000" w:rsidR="00000000" w:rsidRPr="00000000">
        <w:rPr>
          <w:rtl w:val="0"/>
        </w:rPr>
        <w:t xml:space="preserve"> Incluir en la narrativa personajes o marcas que promuevan la moda ética, cuyo objetivo sea cuidar el bienestar social y ambiental.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Alternativas Ecológicas:</w:t>
      </w:r>
      <w:r w:rsidDel="00000000" w:rsidR="00000000" w:rsidRPr="00000000">
        <w:rPr>
          <w:rtl w:val="0"/>
        </w:rPr>
        <w:t xml:space="preserve"> Dar visibilidad a las marcas y procesos de moda sostenible, incluyendo datos educativos sobre las diferentes opciones ecológicas.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Otros Aspectos a Destacar</w:t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Estilo Retro: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juego adoptará un estilo </w:t>
      </w:r>
      <w:r w:rsidDel="00000000" w:rsidR="00000000" w:rsidRPr="00000000">
        <w:rPr>
          <w:b w:val="1"/>
          <w:rtl w:val="0"/>
        </w:rPr>
        <w:t xml:space="preserve">retro</w:t>
      </w:r>
      <w:r w:rsidDel="00000000" w:rsidR="00000000" w:rsidRPr="00000000">
        <w:rPr>
          <w:rtl w:val="0"/>
        </w:rPr>
        <w:t xml:space="preserve"> clásico inspirado en los juegos de </w:t>
      </w:r>
      <w:r w:rsidDel="00000000" w:rsidR="00000000" w:rsidRPr="00000000">
        <w:rPr>
          <w:b w:val="1"/>
          <w:rtl w:val="0"/>
        </w:rPr>
        <w:t xml:space="preserve">8-bit y 16-bit</w:t>
      </w:r>
      <w:r w:rsidDel="00000000" w:rsidR="00000000" w:rsidRPr="00000000">
        <w:rPr>
          <w:rtl w:val="0"/>
        </w:rPr>
        <w:t xml:space="preserve"> de los años 80 y 90, especialmente en juegos como </w:t>
      </w:r>
      <w:r w:rsidDel="00000000" w:rsidR="00000000" w:rsidRPr="00000000">
        <w:rPr>
          <w:i w:val="1"/>
          <w:rtl w:val="0"/>
        </w:rPr>
        <w:t xml:space="preserve">Super Mario Bros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Sonic the Hedgehog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Áreas de Trabajo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 proyecto abordará las siguientes áreas de trabajo: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Programación en entorno Cliente.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Programación en entorno Servidor.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Diseño de Interfaces Web.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Despliegue de Aplicaciones Web.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Proyectos.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2448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Liberation Sans"/>
  <w:font w:name="Free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line="240" w:lineRule="auto"/>
      <w:jc w:val="righ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B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C">
    <w:pP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3E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3F">
    <w:pPr>
      <w:tabs>
        <w:tab w:val="center" w:leader="none" w:pos="4252"/>
        <w:tab w:val="right" w:leader="none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spacing w:line="240" w:lineRule="auto"/>
      <w:ind w:left="6377.952755905511" w:firstLine="0"/>
      <w:rPr>
        <w:rFonts w:ascii="FreeSans" w:cs="FreeSans" w:eastAsia="FreeSans" w:hAnsi="FreeSans"/>
        <w:b w:val="1"/>
        <w:color w:val="2a6099"/>
        <w:sz w:val="24"/>
        <w:szCs w:val="24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Proyecto Shopper Mario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2a60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2a60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07m17j8bIhEbPzIUcHoVnpovtA==">CgMxLjAyCGguZ2pkZ3hzMgloLjMwajB6bGwyCWguMWZvYjl0ZTIJaC4zem55c2g3MgloLjJldDkycDAyCGgudHlqY3d0MgloLjNkeTZ2a20yCWguMXQzaDVzZjgAciExQW8wUmMxS3RxVW4zT29rdzNfVUtaNmg5U2tFRGtMMUo=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