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eastAsia="Aptos Display"/>
          <w:b/>
          <w:color w:val="1F4E79"/>
          <w:sz w:val="34"/>
        </w:rPr>
        <w:t>CICIDS2017 Data Description</w:t>
      </w:r>
    </w:p>
    <w:p>
      <w:pPr>
        <w:spacing w:after="140"/>
        <w:jc w:val="center"/>
      </w:pPr>
      <w:r>
        <w:rPr>
          <w:rFonts w:ascii="Aptos" w:hAnsi="Aptos"/>
          <w:i/>
          <w:color w:val="595959"/>
          <w:sz w:val="20"/>
        </w:rPr>
        <w:t>IDC 5205 Statistics 2 Final Project</w:t>
      </w:r>
    </w:p>
    <w:p>
      <w:pPr>
        <w:pStyle w:val="Heading1"/>
        <w:keepNext/>
      </w:pPr>
      <w:r>
        <w:t>Source and Reason for Choosing the Dataset</w:t>
      </w:r>
    </w:p>
    <w:p>
      <w:r>
        <w:t xml:space="preserve">For our Statistics 2 final project, we selected the </w:t>
      </w:r>
      <w:r>
        <w:t>CICIDS2017</w:t>
      </w:r>
      <w:r>
        <w:t xml:space="preserve"> dataset, which stands for the Canadian Institute for Cybersecurity Intrusion Detection Evaluation Dataset. The dataset was developed by researchers at the Canadian Institute for Cybersecurity to address weaknesses in older network security benchmark datasets. It was collected in a controlled but realistic network environment and contains benign background traffic along with modern attack types, including Distributed Denial of Service attacks, Port Scans, Web Attacks, and infiltration attempts.</w:t>
      </w:r>
    </w:p>
    <w:p>
      <w:r>
        <w:t>We chose this dataset because it is useful for applied statistical modeling. Each row represents a network flow, which summarizes communication between devices on a network. The dataset does not only identify whether traffic was normal or malicious. It also provides detailed flow measurements, including packet length distributions, inter-arrival times, byte rates, idle times, segment sizes, and TCP flag counts. These variables allow us to study which traffic behaviors are most strongly associated with malicious intrusions.</w:t>
      </w:r>
    </w:p>
    <w:p>
      <w:pPr>
        <w:pStyle w:val="Heading1"/>
        <w:keepNext/>
      </w:pPr>
      <w:r>
        <w:t>Rubric Alignment and Data Structure</w:t>
      </w:r>
    </w:p>
    <w:tbl>
      <w:tblPr>
        <w:tblW w:type="auto" w:w="0"/>
        <w:jc w:val="center"/>
        <w:tblLayout w:type="autofit"/>
        <w:tblLook w:firstColumn="1" w:firstRow="1" w:lastColumn="0" w:lastRow="0" w:noHBand="0" w:noVBand="1" w:val="04A0"/>
        <w:tblBorders>
          <w:top w:val="single" w:sz="4" w:space="0" w:color="C9D4E5"/>
          <w:left w:val="single" w:sz="4" w:space="0" w:color="C9D4E5"/>
          <w:bottom w:val="single" w:sz="4" w:space="0" w:color="C9D4E5"/>
          <w:right w:val="single" w:sz="4" w:space="0" w:color="C9D4E5"/>
          <w:insideH w:val="single" w:sz="4" w:space="0" w:color="C9D4E5"/>
          <w:insideV w:val="single" w:sz="4" w:space="0" w:color="C9D4E5"/>
        </w:tblBorders>
      </w:tblPr>
      <w:tblGrid>
        <w:gridCol w:w="5184"/>
        <w:gridCol w:w="5184"/>
      </w:tblGrid>
      <w:tr>
        <w:tc>
          <w:tcPr>
            <w:tcW w:type="dxa" w:w="5184"/>
            <w:shd w:fill="1F4E79"/>
            <w:tcMar>
              <w:top w:w="45" w:type="dxa"/>
              <w:start w:w="70" w:type="dxa"/>
              <w:bottom w:w="45" w:type="dxa"/>
              <w:end w:w="70" w:type="dxa"/>
            </w:tcMar>
          </w:tcPr>
          <w:p>
            <w:r>
              <w:rPr>
                <w:b/>
                <w:color w:val="FFFFFF"/>
                <w:sz w:val="17"/>
              </w:rPr>
              <w:t>Requirement</w:t>
            </w:r>
          </w:p>
        </w:tc>
        <w:tc>
          <w:tcPr>
            <w:tcW w:type="dxa" w:w="5184"/>
            <w:shd w:fill="1F4E79"/>
            <w:tcMar>
              <w:top w:w="45" w:type="dxa"/>
              <w:start w:w="70" w:type="dxa"/>
              <w:bottom w:w="45" w:type="dxa"/>
              <w:end w:w="70" w:type="dxa"/>
            </w:tcMar>
          </w:tcPr>
          <w:p>
            <w:r>
              <w:rPr>
                <w:b/>
                <w:color w:val="FFFFFF"/>
                <w:sz w:val="17"/>
              </w:rPr>
              <w:t>How our dataset meets it</w:t>
            </w:r>
          </w:p>
        </w:tc>
      </w:tr>
      <w:tr>
        <w:tc>
          <w:tcPr>
            <w:tcW w:type="dxa" w:w="5184"/>
            <w:shd w:fill="F3F6FA"/>
            <w:vAlign w:val="center"/>
            <w:tcMar>
              <w:top w:w="35" w:type="dxa"/>
              <w:start w:w="70" w:type="dxa"/>
              <w:bottom w:w="35" w:type="dxa"/>
              <w:end w:w="70" w:type="dxa"/>
            </w:tcMar>
          </w:tcPr>
          <w:p>
            <w:pPr>
              <w:spacing w:after="0" w:line="240" w:lineRule="auto"/>
            </w:pPr>
            <w:r>
              <w:rPr>
                <w:b/>
                <w:color w:val="1F4E79"/>
                <w:sz w:val="16"/>
              </w:rPr>
              <w:t>External source</w:t>
            </w:r>
          </w:p>
        </w:tc>
        <w:tc>
          <w:tcPr>
            <w:tcW w:type="dxa" w:w="5184"/>
            <w:shd w:fill="F3F6FA"/>
            <w:vAlign w:val="center"/>
            <w:tcMar>
              <w:top w:w="35" w:type="dxa"/>
              <w:start w:w="70" w:type="dxa"/>
              <w:bottom w:w="35" w:type="dxa"/>
              <w:end w:w="70" w:type="dxa"/>
            </w:tcMar>
          </w:tcPr>
          <w:p>
            <w:pPr>
              <w:spacing w:after="0" w:line="240" w:lineRule="auto"/>
            </w:pPr>
            <w:r>
              <w:rPr>
                <w:sz w:val="16"/>
              </w:rPr>
              <w:t>CICIDS2017 comes from the Canadian Institute for Cybersecurity, not from an R package or a dataset used in class.</w:t>
            </w:r>
          </w:p>
        </w:tc>
      </w:tr>
      <w:tr>
        <w:tc>
          <w:tcPr>
            <w:tcW w:type="dxa" w:w="5184"/>
            <w:vAlign w:val="center"/>
            <w:tcMar>
              <w:top w:w="35" w:type="dxa"/>
              <w:start w:w="70" w:type="dxa"/>
              <w:bottom w:w="35" w:type="dxa"/>
              <w:end w:w="70" w:type="dxa"/>
            </w:tcMar>
          </w:tcPr>
          <w:p>
            <w:pPr>
              <w:spacing w:after="0" w:line="240" w:lineRule="auto"/>
            </w:pPr>
            <w:r>
              <w:rPr>
                <w:b/>
                <w:color w:val="1F4E79"/>
                <w:sz w:val="16"/>
              </w:rPr>
              <w:t>Size</w:t>
            </w:r>
          </w:p>
        </w:tc>
        <w:tc>
          <w:tcPr>
            <w:tcW w:type="dxa" w:w="5184"/>
            <w:vAlign w:val="center"/>
            <w:tcMar>
              <w:top w:w="35" w:type="dxa"/>
              <w:start w:w="70" w:type="dxa"/>
              <w:bottom w:w="35" w:type="dxa"/>
              <w:end w:w="70" w:type="dxa"/>
            </w:tcMar>
          </w:tcPr>
          <w:p>
            <w:pPr>
              <w:spacing w:after="0" w:line="240" w:lineRule="auto"/>
            </w:pPr>
            <w:r>
              <w:rPr>
                <w:sz w:val="16"/>
              </w:rPr>
              <w:t>After combining the CSV files in R, the data contains 2,830,743 observations and 80 variables.</w:t>
            </w:r>
          </w:p>
        </w:tc>
      </w:tr>
      <w:tr>
        <w:tc>
          <w:tcPr>
            <w:tcW w:type="dxa" w:w="5184"/>
            <w:shd w:fill="F3F6FA"/>
            <w:vAlign w:val="center"/>
            <w:tcMar>
              <w:top w:w="35" w:type="dxa"/>
              <w:start w:w="70" w:type="dxa"/>
              <w:bottom w:w="35" w:type="dxa"/>
              <w:end w:w="70" w:type="dxa"/>
            </w:tcMar>
          </w:tcPr>
          <w:p>
            <w:pPr>
              <w:spacing w:after="0" w:line="240" w:lineRule="auto"/>
            </w:pPr>
            <w:r>
              <w:rPr>
                <w:b/>
                <w:color w:val="1F4E79"/>
                <w:sz w:val="16"/>
              </w:rPr>
              <w:t>Not a time series</w:t>
            </w:r>
          </w:p>
        </w:tc>
        <w:tc>
          <w:tcPr>
            <w:tcW w:type="dxa" w:w="5184"/>
            <w:shd w:fill="F3F6FA"/>
            <w:vAlign w:val="center"/>
            <w:tcMar>
              <w:top w:w="35" w:type="dxa"/>
              <w:start w:w="70" w:type="dxa"/>
              <w:bottom w:w="35" w:type="dxa"/>
              <w:end w:w="70" w:type="dxa"/>
            </w:tcMar>
          </w:tcPr>
          <w:p>
            <w:pPr>
              <w:spacing w:after="0" w:line="240" w:lineRule="auto"/>
            </w:pPr>
            <w:r>
              <w:rPr>
                <w:sz w:val="16"/>
              </w:rPr>
              <w:t>Each row is one network flow record, not a repeated time-ordered measurement for one subject.</w:t>
            </w:r>
          </w:p>
        </w:tc>
      </w:tr>
      <w:tr>
        <w:tc>
          <w:tcPr>
            <w:tcW w:type="dxa" w:w="5184"/>
            <w:vAlign w:val="center"/>
            <w:tcMar>
              <w:top w:w="35" w:type="dxa"/>
              <w:start w:w="70" w:type="dxa"/>
              <w:bottom w:w="35" w:type="dxa"/>
              <w:end w:w="70" w:type="dxa"/>
            </w:tcMar>
          </w:tcPr>
          <w:p>
            <w:pPr>
              <w:spacing w:after="0" w:line="240" w:lineRule="auto"/>
            </w:pPr>
            <w:r>
              <w:rPr>
                <w:b/>
                <w:color w:val="1F4E79"/>
                <w:sz w:val="16"/>
              </w:rPr>
              <w:t>Numerical variables</w:t>
            </w:r>
          </w:p>
        </w:tc>
        <w:tc>
          <w:tcPr>
            <w:tcW w:type="dxa" w:w="5184"/>
            <w:vAlign w:val="center"/>
            <w:tcMar>
              <w:top w:w="35" w:type="dxa"/>
              <w:start w:w="70" w:type="dxa"/>
              <w:bottom w:w="35" w:type="dxa"/>
              <w:end w:w="70" w:type="dxa"/>
            </w:tcMar>
          </w:tcPr>
          <w:p>
            <w:pPr>
              <w:spacing w:after="0" w:line="240" w:lineRule="auto"/>
            </w:pPr>
            <w:r>
              <w:rPr>
                <w:sz w:val="16"/>
              </w:rPr>
              <w:t>The data includes many numerical flow measurements, such as packet counts, byte rates, packet lengths, timing gaps, idle times, and TCP flag counts.</w:t>
            </w:r>
          </w:p>
        </w:tc>
      </w:tr>
      <w:tr>
        <w:tc>
          <w:tcPr>
            <w:tcW w:type="dxa" w:w="5184"/>
            <w:shd w:fill="F3F6FA"/>
            <w:vAlign w:val="center"/>
            <w:tcMar>
              <w:top w:w="35" w:type="dxa"/>
              <w:start w:w="70" w:type="dxa"/>
              <w:bottom w:w="35" w:type="dxa"/>
              <w:end w:w="70" w:type="dxa"/>
            </w:tcMar>
          </w:tcPr>
          <w:p>
            <w:pPr>
              <w:spacing w:after="0" w:line="240" w:lineRule="auto"/>
            </w:pPr>
            <w:r>
              <w:rPr>
                <w:b/>
                <w:color w:val="1F4E79"/>
                <w:sz w:val="16"/>
              </w:rPr>
              <w:t>Categorical variables</w:t>
            </w:r>
          </w:p>
        </w:tc>
        <w:tc>
          <w:tcPr>
            <w:tcW w:type="dxa" w:w="5184"/>
            <w:shd w:fill="F3F6FA"/>
            <w:vAlign w:val="center"/>
            <w:tcMar>
              <w:top w:w="35" w:type="dxa"/>
              <w:start w:w="70" w:type="dxa"/>
              <w:bottom w:w="35" w:type="dxa"/>
              <w:end w:w="70" w:type="dxa"/>
            </w:tcMar>
          </w:tcPr>
          <w:p>
            <w:pPr>
              <w:spacing w:after="0" w:line="240" w:lineRule="auto"/>
            </w:pPr>
            <w:r>
              <w:rPr>
                <w:sz w:val="16"/>
              </w:rPr>
              <w:t>The original categorical variable is label. We also plan to create attack_flag and port_group.</w:t>
            </w:r>
          </w:p>
        </w:tc>
      </w:tr>
      <w:tr>
        <w:tc>
          <w:tcPr>
            <w:tcW w:type="dxa" w:w="5184"/>
            <w:vAlign w:val="center"/>
            <w:tcMar>
              <w:top w:w="35" w:type="dxa"/>
              <w:start w:w="70" w:type="dxa"/>
              <w:bottom w:w="35" w:type="dxa"/>
              <w:end w:w="70" w:type="dxa"/>
            </w:tcMar>
          </w:tcPr>
          <w:p>
            <w:pPr>
              <w:spacing w:after="0" w:line="240" w:lineRule="auto"/>
            </w:pPr>
            <w:r>
              <w:rPr>
                <w:b/>
                <w:color w:val="1F4E79"/>
                <w:sz w:val="16"/>
              </w:rPr>
              <w:t>Regression use</w:t>
            </w:r>
          </w:p>
        </w:tc>
        <w:tc>
          <w:tcPr>
            <w:tcW w:type="dxa" w:w="5184"/>
            <w:vAlign w:val="center"/>
            <w:tcMar>
              <w:top w:w="35" w:type="dxa"/>
              <w:start w:w="70" w:type="dxa"/>
              <w:bottom w:w="35" w:type="dxa"/>
              <w:end w:w="70" w:type="dxa"/>
            </w:tcMar>
          </w:tcPr>
          <w:p>
            <w:pPr>
              <w:spacing w:after="0" w:line="240" w:lineRule="auto"/>
            </w:pPr>
            <w:r>
              <w:rPr>
                <w:sz w:val="16"/>
              </w:rPr>
              <w:t>flow_bytes_s can be used as the numerical response for linear regression, while attack_flag can be used as a binary response for logistic regression.</w:t>
            </w:r>
          </w:p>
        </w:tc>
      </w:tr>
    </w:tbl>
    <w:p>
      <w:pPr>
        <w:pStyle w:val="Heading1"/>
        <w:keepNext/>
      </w:pPr>
      <w:r>
        <w:t>Variable Descriptions</w:t>
      </w:r>
    </w:p>
    <w:p>
      <w:r>
        <w:t>Because the full dataset contains 80 variables, we describe the variables by grouping them into the main types of network-flow measurements. Since many variables are repeated versions of the same measurement type in the forward, backward, or overall direction, we describe the full set by measurement category rather than listing each variable separately. This keeps the description readable while still accounting for the full dataset.</w:t>
      </w:r>
    </w:p>
    <w:p>
      <w:pPr>
        <w:pStyle w:val="ListBullet"/>
      </w:pPr>
      <w:r>
        <w:rPr>
          <w:b/>
          <w:color w:val="1F4E79"/>
        </w:rPr>
        <w:t xml:space="preserve">Flow identification and duration: </w:t>
      </w:r>
      <w:r>
        <w:t>destination_port gives the port targeted by the connection, and flow_duration measures how long the flow lasted.</w:t>
      </w:r>
    </w:p>
    <w:p>
      <w:pPr>
        <w:pStyle w:val="ListBullet"/>
      </w:pPr>
      <w:r>
        <w:rPr>
          <w:b/>
          <w:color w:val="1F4E79"/>
        </w:rPr>
        <w:t xml:space="preserve">Packet and byte counts: </w:t>
      </w:r>
      <w:r>
        <w:t>total_fwd_packets, total_backward_packets, total_length_of_fwd_packets, and total_length_of_bwd_packets describe how much traffic moved in each direction.</w:t>
      </w:r>
    </w:p>
    <w:p>
      <w:pPr>
        <w:pStyle w:val="ListBullet"/>
      </w:pPr>
      <w:r>
        <w:rPr>
          <w:b/>
          <w:color w:val="1F4E79"/>
        </w:rPr>
        <w:t xml:space="preserve">Packet length summaries: </w:t>
      </w:r>
      <w:r>
        <w:t>fwd_packet_length_max, bwd_packet_length_min, packet_length_mean, packet_length_std, and packet_length_variance describe packet size and variability.</w:t>
      </w:r>
    </w:p>
    <w:p>
      <w:pPr>
        <w:pStyle w:val="ListBullet"/>
      </w:pPr>
      <w:r>
        <w:rPr>
          <w:b/>
          <w:color w:val="1F4E79"/>
        </w:rPr>
        <w:t xml:space="preserve">Flow rate variables: </w:t>
      </w:r>
      <w:r>
        <w:t>flow_bytes_s, flow_packets_s, fwd_packets_s, and bwd_packets_s describe how quickly bytes or packets moved through the connection.</w:t>
      </w:r>
    </w:p>
    <w:p>
      <w:pPr>
        <w:pStyle w:val="ListBullet"/>
      </w:pPr>
      <w:r>
        <w:rPr>
          <w:b/>
          <w:color w:val="1F4E79"/>
        </w:rPr>
        <w:t xml:space="preserve">Inter-arrival time variables: </w:t>
      </w:r>
      <w:r>
        <w:t>flow_iat_mean, flow_iat_std, fwd_iat_total, and bwd_iat_total measure timing gaps between packets.</w:t>
      </w:r>
    </w:p>
    <w:p>
      <w:pPr>
        <w:pStyle w:val="ListBullet"/>
      </w:pPr>
      <w:r>
        <w:rPr>
          <w:b/>
          <w:color w:val="1F4E79"/>
        </w:rPr>
        <w:t xml:space="preserve">Segment-size variables: </w:t>
      </w:r>
      <w:r>
        <w:t>avg_fwd_segment_size, avg_bwd_segment_size, and min_seg_size_forward describe forward and backward data segments.</w:t>
      </w:r>
    </w:p>
    <w:p>
      <w:pPr>
        <w:pStyle w:val="ListBullet"/>
      </w:pPr>
      <w:r>
        <w:rPr>
          <w:b/>
          <w:color w:val="1F4E79"/>
        </w:rPr>
        <w:t xml:space="preserve">TCP flag variables: </w:t>
      </w:r>
      <w:r>
        <w:t>fin_flag_count, syn_flag_count, rst_flag_count, psh_flag_count, ack_flag_count, and urg_flag_count count flag behavior that may differ between normal and attack traffic.</w:t>
      </w:r>
    </w:p>
    <w:p>
      <w:pPr>
        <w:pStyle w:val="ListBullet"/>
      </w:pPr>
      <w:r>
        <w:rPr>
          <w:b/>
          <w:color w:val="1F4E79"/>
        </w:rPr>
        <w:t xml:space="preserve">Idle and active time variables: </w:t>
      </w:r>
      <w:r>
        <w:t>idle_mean, idle_std, idle_min, active_mean, and active_std describe pauses or bursts in network behavior.</w:t>
      </w:r>
    </w:p>
    <w:p>
      <w:pPr>
        <w:pStyle w:val="ListBullet"/>
      </w:pPr>
      <w:r>
        <w:rPr>
          <w:b/>
          <w:color w:val="1F4E79"/>
        </w:rPr>
        <w:t xml:space="preserve">Categorical variables: </w:t>
      </w:r>
      <w:r>
        <w:t>label identifies the original traffic category. attack_flag will simplify this into Benign versus Attack, and port_group will group destination ports into service categories such as Web, DNS, Email, Remote/File Access, and Other.</w:t>
      </w:r>
    </w:p>
    <w:p>
      <w:pPr>
        <w:pStyle w:val="Heading1"/>
        <w:keepNext/>
      </w:pPr>
      <w:r>
        <w:t>Primary Features of Interest</w:t>
      </w:r>
    </w:p>
    <w:p>
      <w:r>
        <w:t xml:space="preserve">Although the dataset contains 80 variables, we identified several candidate features likely to be useful for later regression modeling: </w:t>
      </w:r>
      <w:r>
        <w:rPr>
          <w:rFonts w:ascii="Consolas" w:hAnsi="Consolas" w:eastAsia="Consolas"/>
          <w:b w:val="0"/>
          <w:sz w:val="18"/>
        </w:rPr>
        <w:t>destination_port</w:t>
      </w:r>
      <w:r>
        <w:t xml:space="preserve">, </w:t>
      </w:r>
      <w:r>
        <w:rPr>
          <w:rFonts w:ascii="Consolas" w:hAnsi="Consolas" w:eastAsia="Consolas"/>
          <w:b w:val="0"/>
          <w:sz w:val="18"/>
        </w:rPr>
        <w:t>packet_length_variance</w:t>
      </w:r>
      <w:r>
        <w:t xml:space="preserve">, </w:t>
      </w:r>
      <w:r>
        <w:rPr>
          <w:rFonts w:ascii="Consolas" w:hAnsi="Consolas" w:eastAsia="Consolas"/>
          <w:b w:val="0"/>
          <w:sz w:val="18"/>
        </w:rPr>
        <w:t>min_seg_size_forward</w:t>
      </w:r>
      <w:r>
        <w:t xml:space="preserve">, </w:t>
      </w:r>
      <w:r>
        <w:rPr>
          <w:rFonts w:ascii="Consolas" w:hAnsi="Consolas" w:eastAsia="Consolas"/>
          <w:b w:val="0"/>
          <w:sz w:val="18"/>
        </w:rPr>
        <w:t>avg_fwd_segment_size</w:t>
      </w:r>
      <w:r>
        <w:t xml:space="preserve">, </w:t>
      </w:r>
      <w:r>
        <w:rPr>
          <w:rFonts w:ascii="Consolas" w:hAnsi="Consolas" w:eastAsia="Consolas"/>
          <w:b w:val="0"/>
          <w:sz w:val="18"/>
        </w:rPr>
        <w:t>avg_bwd_segment_size</w:t>
      </w:r>
      <w:r>
        <w:t xml:space="preserve">, </w:t>
      </w:r>
      <w:r>
        <w:rPr>
          <w:rFonts w:ascii="Consolas" w:hAnsi="Consolas" w:eastAsia="Consolas"/>
          <w:b w:val="0"/>
          <w:sz w:val="18"/>
        </w:rPr>
        <w:t>bwd_packet_length_min</w:t>
      </w:r>
      <w:r>
        <w:t xml:space="preserve">, </w:t>
      </w:r>
      <w:r>
        <w:rPr>
          <w:rFonts w:ascii="Consolas" w:hAnsi="Consolas" w:eastAsia="Consolas"/>
          <w:b w:val="0"/>
          <w:sz w:val="18"/>
        </w:rPr>
        <w:t>init_win_bytes_forward</w:t>
      </w:r>
      <w:r>
        <w:t xml:space="preserve">, </w:t>
      </w:r>
      <w:r>
        <w:rPr>
          <w:rFonts w:ascii="Consolas" w:hAnsi="Consolas" w:eastAsia="Consolas"/>
          <w:b w:val="0"/>
          <w:sz w:val="18"/>
        </w:rPr>
        <w:t>init_win_bytes_backward</w:t>
      </w:r>
      <w:r>
        <w:t xml:space="preserve">, </w:t>
      </w:r>
      <w:r>
        <w:rPr>
          <w:rFonts w:ascii="Consolas" w:hAnsi="Consolas" w:eastAsia="Consolas"/>
          <w:b w:val="0"/>
          <w:sz w:val="18"/>
        </w:rPr>
        <w:t>flow_bytes_s</w:t>
      </w:r>
      <w:r>
        <w:t xml:space="preserve">, </w:t>
      </w:r>
      <w:r>
        <w:rPr>
          <w:rFonts w:ascii="Consolas" w:hAnsi="Consolas" w:eastAsia="Consolas"/>
          <w:b w:val="0"/>
          <w:sz w:val="18"/>
        </w:rPr>
        <w:t>down_up_ratio</w:t>
      </w:r>
      <w:r>
        <w:t xml:space="preserve">, </w:t>
      </w:r>
      <w:r>
        <w:rPr>
          <w:rFonts w:ascii="Consolas" w:hAnsi="Consolas" w:eastAsia="Consolas"/>
          <w:b w:val="0"/>
          <w:sz w:val="18"/>
        </w:rPr>
        <w:t>bwd_iat_total</w:t>
      </w:r>
      <w:r>
        <w:t xml:space="preserve">, </w:t>
      </w:r>
      <w:r>
        <w:rPr>
          <w:rFonts w:ascii="Consolas" w:hAnsi="Consolas" w:eastAsia="Consolas"/>
          <w:b w:val="0"/>
          <w:sz w:val="18"/>
        </w:rPr>
        <w:t>idle_min</w:t>
      </w:r>
      <w:r>
        <w:t xml:space="preserve">, </w:t>
      </w:r>
      <w:r>
        <w:rPr>
          <w:rFonts w:ascii="Consolas" w:hAnsi="Consolas" w:eastAsia="Consolas"/>
          <w:b w:val="0"/>
          <w:sz w:val="18"/>
        </w:rPr>
        <w:t>idle_std</w:t>
      </w:r>
      <w:r>
        <w:t xml:space="preserve">, </w:t>
      </w:r>
      <w:r>
        <w:rPr>
          <w:rFonts w:ascii="Consolas" w:hAnsi="Consolas" w:eastAsia="Consolas"/>
          <w:b w:val="0"/>
          <w:sz w:val="18"/>
        </w:rPr>
        <w:t>urg_flag_count</w:t>
      </w:r>
      <w:r>
        <w:t xml:space="preserve">, and </w:t>
      </w:r>
      <w:r>
        <w:rPr>
          <w:rFonts w:ascii="Consolas" w:hAnsi="Consolas" w:eastAsia="Consolas"/>
          <w:b w:val="0"/>
          <w:sz w:val="18"/>
        </w:rPr>
        <w:t>psh_flag_count</w:t>
      </w:r>
      <w:r>
        <w:t>.</w:t>
      </w:r>
    </w:p>
    <w:p>
      <w:r>
        <w:t>These variables describe where the connection is going, how large the packets are, how quickly data moves, how long packets wait between arrivals, how much idle time occurs, and which TCP flags are present. Later in the project, we may use methods such as AIC, BIC, or LASSO to narrow this set further. For this data description stage, these variables are best understood as candidate modeling variables.</w:t>
      </w:r>
    </w:p>
    <w:p>
      <w:pPr>
        <w:pStyle w:val="Heading1"/>
        <w:keepNext/>
      </w:pPr>
      <w:r>
        <w:t>Anticipated Statistical Challenges</w:t>
      </w:r>
    </w:p>
    <w:p>
      <w:r>
        <w:t>Because the data comes from mechanical network protocols, we expect some statistical challenges before formal modeling. One challenge is multicollinearity. Many network traffic variables are naturally related; for example, total forward packets may be strongly related to total forward bytes. If too many overlapping predictors are included in one regression model, coefficient estimates may become unstable and difficult to interpret.</w:t>
      </w:r>
    </w:p>
    <w:p>
      <w:r>
        <w:t>A second challenge is perfect or near-perfect separation in logistic regression, which can happen when a variable almost perfectly predicts whether traffic is benign or malicious. Certain ports, flag patterns, or packet behaviors may be strongly associated with attack traffic. We also noticed during the R loading process that some rate variables can produce invalid values such as Infinity or NaN, likely due to division by zero or extremely short flow durations. These values will need to be cleaned before modeling.</w:t>
      </w:r>
    </w:p>
    <w:p>
      <w:pPr>
        <w:pStyle w:val="Heading1"/>
        <w:keepNext/>
      </w:pPr>
      <w:r>
        <w:t>Planned Regression Use</w:t>
      </w:r>
    </w:p>
    <w:p>
      <w:r>
        <w:t xml:space="preserve">For linear regression, we plan to use </w:t>
      </w:r>
      <w:r>
        <w:rPr>
          <w:rFonts w:ascii="Consolas" w:hAnsi="Consolas" w:eastAsia="Consolas"/>
          <w:b w:val="0"/>
          <w:sz w:val="18"/>
        </w:rPr>
        <w:t>flow_bytes_s</w:t>
      </w:r>
      <w:r>
        <w:t xml:space="preserve"> as our main numerical response variable. This variable measures the number of bytes transferred per second during a network flow. Possible predictors include packet length variance, segment-size variables, idle-time variables, byte and packet counts, and TCP flag counts.</w:t>
      </w:r>
    </w:p>
    <w:p>
      <w:r>
        <w:t xml:space="preserve">For logistic regression, we plan to use </w:t>
      </w:r>
      <w:r>
        <w:rPr>
          <w:rFonts w:ascii="Consolas" w:hAnsi="Consolas" w:eastAsia="Consolas"/>
          <w:b w:val="0"/>
          <w:sz w:val="18"/>
        </w:rPr>
        <w:t>attack_flag</w:t>
      </w:r>
      <w:r>
        <w:t xml:space="preserve"> as the categorical response variable. This model would estimate whether a network flow is more likely to be benign or attack traffic based on the flow measurements. Overall, CICIDS2017 is a strong dataset for this project because it is large, externally sourced, not a time series, and contains enough numerical and categorical information to support both required regression approaches.</w:t>
      </w:r>
    </w:p>
    <w:sectPr w:rsidR="00FC693F" w:rsidRPr="0006063C" w:rsidSect="00034616">
      <w:headerReference w:type="default" r:id="rId9"/>
      <w:footerReference w:type="default" r:id="rId10"/>
      <w:pgSz w:w="12240" w:h="15840"/>
      <w:pgMar w:top="835"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CICIDS2017 Dataset Description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IDC 5205 Statistics 2 Final Project | Data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eastAsia="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eastAsia="Aptos Display"/>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line="240" w:lineRule="auto"/>
      <w:ind w:left="259" w:hanging="144"/>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