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A1354D3" w14:textId="77777777" w:rsidR="0046688E" w:rsidRDefault="0046688E">
      <w:pPr>
        <w:spacing w:after="0" w:line="360" w:lineRule="auto"/>
        <w:ind w:firstLine="0"/>
        <w:rPr>
          <w:rFonts w:ascii="Arial" w:eastAsia="Arial" w:hAnsi="Arial" w:cs="Arial"/>
          <w:b/>
          <w:sz w:val="2"/>
          <w:szCs w:val="2"/>
        </w:rPr>
      </w:pP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04"/>
      </w:tblGrid>
      <w:tr w:rsidR="0046688E" w:rsidRPr="007D5FD1" w14:paraId="72DD993B" w14:textId="77777777">
        <w:tc>
          <w:tcPr>
            <w:tcW w:w="8504" w:type="dxa"/>
            <w:tcBorders>
              <w:top w:val="nil"/>
              <w:left w:val="nil"/>
              <w:bottom w:val="nil"/>
              <w:right w:val="nil"/>
            </w:tcBorders>
            <w:shd w:val="clear" w:color="auto" w:fill="F3F3F3"/>
            <w:tcMar>
              <w:top w:w="100" w:type="dxa"/>
              <w:left w:w="100" w:type="dxa"/>
              <w:bottom w:w="100" w:type="dxa"/>
              <w:right w:w="100" w:type="dxa"/>
            </w:tcMar>
          </w:tcPr>
          <w:p w14:paraId="12A9F647" w14:textId="77777777" w:rsidR="0046688E" w:rsidRPr="007D5FD1" w:rsidRDefault="00000000" w:rsidP="007D5FD1">
            <w:pPr>
              <w:widowControl w:val="0"/>
              <w:pBdr>
                <w:top w:val="nil"/>
                <w:left w:val="nil"/>
                <w:bottom w:val="nil"/>
                <w:right w:val="nil"/>
                <w:between w:val="nil"/>
              </w:pBdr>
              <w:spacing w:after="0" w:line="240" w:lineRule="auto"/>
              <w:ind w:firstLine="0"/>
              <w:rPr>
                <w:rFonts w:ascii="Segoe UI" w:eastAsia="Arial" w:hAnsi="Segoe UI" w:cs="Segoe UI"/>
              </w:rPr>
            </w:pPr>
            <w:r w:rsidRPr="007D5FD1">
              <w:rPr>
                <w:rFonts w:ascii="Segoe UI" w:eastAsia="Arial" w:hAnsi="Segoe UI" w:cs="Segoe UI"/>
                <w:b/>
              </w:rPr>
              <w:t xml:space="preserve">Obs.: </w:t>
            </w:r>
            <w:r w:rsidRPr="007D5FD1">
              <w:rPr>
                <w:rFonts w:ascii="Segoe UI" w:eastAsia="Arial" w:hAnsi="Segoe UI" w:cs="Segoe UI"/>
              </w:rPr>
              <w:t xml:space="preserve">Segundo informado a operadora TIM, em específico, não faz uma pesquisa para identificar quais antenas de fato atendem a região apontada (geolocalização). </w:t>
            </w:r>
          </w:p>
          <w:p w14:paraId="1D59AA2F" w14:textId="77777777" w:rsidR="0046688E" w:rsidRPr="007D5FD1" w:rsidRDefault="00000000" w:rsidP="007D5FD1">
            <w:pPr>
              <w:widowControl w:val="0"/>
              <w:pBdr>
                <w:top w:val="nil"/>
                <w:left w:val="nil"/>
                <w:bottom w:val="nil"/>
                <w:right w:val="nil"/>
                <w:between w:val="nil"/>
              </w:pBdr>
              <w:spacing w:after="60" w:line="240" w:lineRule="auto"/>
              <w:ind w:firstLine="0"/>
              <w:rPr>
                <w:rFonts w:ascii="Segoe UI" w:eastAsia="Arial" w:hAnsi="Segoe UI" w:cs="Segoe UI"/>
              </w:rPr>
            </w:pPr>
            <w:r w:rsidRPr="007D5FD1">
              <w:rPr>
                <w:rFonts w:ascii="Segoe UI" w:eastAsia="Arial" w:hAnsi="Segoe UI" w:cs="Segoe UI"/>
              </w:rPr>
              <w:t xml:space="preserve">Buscam, a partir da geolocalização indicada as antenas que estão no raio de 800 m em áreas urbanas e 4000m em áreas rurais. São desprezadas, assim, as antenas que prestam serviços na região e estão a uma distância maior que as indicadas. </w:t>
            </w:r>
          </w:p>
          <w:p w14:paraId="13E27CE2" w14:textId="77777777" w:rsidR="0046688E" w:rsidRPr="007D5FD1" w:rsidRDefault="00000000" w:rsidP="007D5FD1">
            <w:pPr>
              <w:widowControl w:val="0"/>
              <w:pBdr>
                <w:top w:val="nil"/>
                <w:left w:val="nil"/>
                <w:bottom w:val="nil"/>
                <w:right w:val="nil"/>
                <w:between w:val="nil"/>
              </w:pBdr>
              <w:spacing w:after="0" w:line="240" w:lineRule="auto"/>
              <w:ind w:firstLine="0"/>
              <w:rPr>
                <w:rFonts w:ascii="Segoe UI" w:eastAsia="Arial" w:hAnsi="Segoe UI" w:cs="Segoe UI"/>
              </w:rPr>
            </w:pPr>
            <w:r w:rsidRPr="007D5FD1">
              <w:rPr>
                <w:rFonts w:ascii="Segoe UI" w:eastAsia="Arial" w:hAnsi="Segoe UI" w:cs="Segoe UI"/>
              </w:rPr>
              <w:t xml:space="preserve">Dependendo o caso concreto, pode ser interessante estabelecer um raio mínimo para que a operadora efetue as pesquisas. </w:t>
            </w:r>
          </w:p>
        </w:tc>
      </w:tr>
    </w:tbl>
    <w:p w14:paraId="3A4C4FF0" w14:textId="77777777" w:rsidR="0046688E" w:rsidRDefault="0046688E">
      <w:pPr>
        <w:spacing w:after="0" w:line="360" w:lineRule="auto"/>
        <w:ind w:firstLine="1418"/>
        <w:rPr>
          <w:rFonts w:ascii="Arial" w:eastAsia="Arial" w:hAnsi="Arial" w:cs="Arial"/>
          <w:b/>
          <w:sz w:val="22"/>
          <w:szCs w:val="22"/>
        </w:rPr>
      </w:pPr>
    </w:p>
    <w:p w14:paraId="1CA38C6C" w14:textId="77777777" w:rsidR="0046688E" w:rsidRDefault="0046688E">
      <w:pPr>
        <w:spacing w:after="0" w:line="360" w:lineRule="auto"/>
        <w:ind w:firstLine="0"/>
        <w:rPr>
          <w:rFonts w:ascii="Arial" w:eastAsia="Arial" w:hAnsi="Arial" w:cs="Arial"/>
          <w:b/>
          <w:sz w:val="22"/>
          <w:szCs w:val="22"/>
        </w:rPr>
      </w:pPr>
    </w:p>
    <w:p w14:paraId="494EC3BB" w14:textId="77777777" w:rsidR="0046688E" w:rsidRDefault="00000000">
      <w:pPr>
        <w:spacing w:after="0" w:line="360" w:lineRule="auto"/>
        <w:ind w:firstLine="0"/>
        <w:rPr>
          <w:rFonts w:ascii="Arial" w:eastAsia="Arial" w:hAnsi="Arial" w:cs="Arial"/>
          <w:sz w:val="22"/>
          <w:szCs w:val="22"/>
        </w:rPr>
      </w:pPr>
      <w:r>
        <w:rPr>
          <w:rFonts w:ascii="Arial" w:eastAsia="Arial" w:hAnsi="Arial" w:cs="Arial"/>
          <w:b/>
          <w:sz w:val="22"/>
          <w:szCs w:val="22"/>
        </w:rPr>
        <w:t>x.1)</w:t>
      </w:r>
      <w:r>
        <w:rPr>
          <w:rFonts w:ascii="Arial" w:eastAsia="Arial" w:hAnsi="Arial" w:cs="Arial"/>
          <w:sz w:val="22"/>
          <w:szCs w:val="22"/>
        </w:rPr>
        <w:t xml:space="preserve"> </w:t>
      </w:r>
      <w:r>
        <w:rPr>
          <w:rFonts w:ascii="Arial" w:eastAsia="Arial" w:hAnsi="Arial" w:cs="Arial"/>
          <w:b/>
          <w:sz w:val="22"/>
          <w:szCs w:val="22"/>
        </w:rPr>
        <w:t>Quebra de Sigilo das Estações Rádio Base</w:t>
      </w:r>
      <w:r>
        <w:rPr>
          <w:rFonts w:ascii="Arial" w:eastAsia="Arial" w:hAnsi="Arial" w:cs="Arial"/>
          <w:sz w:val="22"/>
          <w:szCs w:val="22"/>
        </w:rPr>
        <w:t xml:space="preserve">, nos seguintes termos: </w:t>
      </w:r>
    </w:p>
    <w:p w14:paraId="6DB7B51F" w14:textId="77777777" w:rsidR="0046688E" w:rsidRDefault="0046688E">
      <w:pPr>
        <w:spacing w:after="0" w:line="360" w:lineRule="auto"/>
        <w:ind w:firstLine="1418"/>
        <w:rPr>
          <w:rFonts w:ascii="Arial" w:eastAsia="Arial" w:hAnsi="Arial" w:cs="Arial"/>
          <w:sz w:val="22"/>
          <w:szCs w:val="22"/>
        </w:rPr>
      </w:pPr>
    </w:p>
    <w:p w14:paraId="3BAC5E73" w14:textId="77777777" w:rsidR="0046688E" w:rsidRDefault="00000000">
      <w:pPr>
        <w:spacing w:after="0" w:line="312" w:lineRule="auto"/>
        <w:ind w:firstLine="0"/>
        <w:rPr>
          <w:rFonts w:ascii="Arial" w:eastAsia="Arial" w:hAnsi="Arial" w:cs="Arial"/>
          <w:sz w:val="22"/>
          <w:szCs w:val="22"/>
        </w:rPr>
      </w:pPr>
      <w:r>
        <w:rPr>
          <w:rFonts w:ascii="Arial" w:eastAsia="Arial" w:hAnsi="Arial" w:cs="Arial"/>
          <w:b/>
          <w:sz w:val="22"/>
          <w:szCs w:val="22"/>
        </w:rPr>
        <w:t>a)</w:t>
      </w:r>
      <w:r>
        <w:rPr>
          <w:rFonts w:ascii="Arial" w:eastAsia="Arial" w:hAnsi="Arial" w:cs="Arial"/>
          <w:sz w:val="22"/>
          <w:szCs w:val="22"/>
        </w:rPr>
        <w:t xml:space="preserve"> seja determinado a todas as operadoras de telefonia móvel VIVO, TIM, CLARO e outras a fornecerem os históricos de chamadas efetuadas e recebidas e conexões móveis (dados móveis) registradas pelas ERBs, que </w:t>
      </w:r>
      <w:r>
        <w:rPr>
          <w:rFonts w:ascii="Arial" w:eastAsia="Arial" w:hAnsi="Arial" w:cs="Arial"/>
          <w:b/>
          <w:sz w:val="22"/>
          <w:szCs w:val="22"/>
        </w:rPr>
        <w:t xml:space="preserve">EFETIVAMENTE </w:t>
      </w:r>
      <w:r>
        <w:rPr>
          <w:rFonts w:ascii="Arial" w:eastAsia="Arial" w:hAnsi="Arial" w:cs="Arial"/>
          <w:sz w:val="22"/>
          <w:szCs w:val="22"/>
        </w:rPr>
        <w:t xml:space="preserve">prestam serviço e cobertura para os endereços abaixo relacionados, nas datas e períodos especificados, no prazo máximo de 72 horas. A operadora deverá apresentar dados de todas as antenas que possam ser utilizadas a partir do endereço/geolocalização indicada e não apenas realizar uma estimativa. Tais históricos deverão conter o exato setor de cobertura da ERB, assim como os azimutes das ligações que utilizaram a respectiva Estação Rádio Base (ERB).  Deverão conter também o IMEI dos números (chamante/chamado). Em vista da quantidade de chamadas efetuadas nesse período, objetivando uma análise computacional dos dados, solicitamos que os referidos históricos de chamadas sejam OBRIGATORIAMENTE enviados no formato de planilha do Microsoft Excel, no prazo acima estipulado, para o e-mail </w:t>
      </w:r>
      <w:hyperlink r:id="rId6">
        <w:r>
          <w:rPr>
            <w:rFonts w:ascii="Arial" w:eastAsia="Arial" w:hAnsi="Arial" w:cs="Arial"/>
            <w:color w:val="1155CC"/>
            <w:sz w:val="22"/>
            <w:szCs w:val="22"/>
            <w:u w:val="single"/>
          </w:rPr>
          <w:t>xxxxx@pc.sc.gov.br</w:t>
        </w:r>
      </w:hyperlink>
      <w:r>
        <w:rPr>
          <w:rFonts w:ascii="Arial" w:eastAsia="Arial" w:hAnsi="Arial" w:cs="Arial"/>
          <w:sz w:val="22"/>
          <w:szCs w:val="22"/>
        </w:rPr>
        <w:t>:</w:t>
      </w:r>
    </w:p>
    <w:p w14:paraId="5EB022BD" w14:textId="77777777" w:rsidR="0046688E" w:rsidRDefault="0046688E">
      <w:pPr>
        <w:spacing w:after="0" w:line="360" w:lineRule="auto"/>
        <w:ind w:firstLine="1418"/>
        <w:rPr>
          <w:rFonts w:ascii="Arial" w:eastAsia="Arial" w:hAnsi="Arial" w:cs="Arial"/>
          <w:sz w:val="22"/>
          <w:szCs w:val="22"/>
        </w:rPr>
      </w:pPr>
    </w:p>
    <w:tbl>
      <w:tblPr>
        <w:tblStyle w:val="a0"/>
        <w:tblW w:w="82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0"/>
        <w:gridCol w:w="1395"/>
        <w:gridCol w:w="2070"/>
      </w:tblGrid>
      <w:tr w:rsidR="0046688E" w14:paraId="505A3E2F" w14:textId="77777777" w:rsidTr="0046688E">
        <w:trPr>
          <w:cnfStyle w:val="000000100000" w:firstRow="0" w:lastRow="0" w:firstColumn="0" w:lastColumn="0" w:oddVBand="0" w:evenVBand="0" w:oddHBand="1" w:evenHBand="0" w:firstRowFirstColumn="0" w:firstRowLastColumn="0" w:lastRowFirstColumn="0" w:lastRowLastColumn="0"/>
          <w:trHeight w:val="300"/>
          <w:jc w:val="center"/>
        </w:trPr>
        <w:tc>
          <w:tcPr>
            <w:tcW w:w="4770" w:type="dxa"/>
            <w:shd w:val="clear" w:color="auto" w:fill="F2F2F2"/>
            <w:vAlign w:val="center"/>
          </w:tcPr>
          <w:p w14:paraId="26319902" w14:textId="77777777" w:rsidR="0046688E" w:rsidRDefault="00000000">
            <w:pPr>
              <w:spacing w:after="0" w:line="240" w:lineRule="auto"/>
              <w:ind w:firstLine="0"/>
              <w:jc w:val="left"/>
              <w:rPr>
                <w:rFonts w:ascii="Arial" w:eastAsia="Arial" w:hAnsi="Arial" w:cs="Arial"/>
                <w:sz w:val="20"/>
                <w:szCs w:val="20"/>
              </w:rPr>
            </w:pPr>
            <w:r>
              <w:rPr>
                <w:rFonts w:ascii="Arial" w:eastAsia="Arial" w:hAnsi="Arial" w:cs="Arial"/>
                <w:b/>
                <w:sz w:val="20"/>
                <w:szCs w:val="20"/>
              </w:rPr>
              <w:t>ENDEREÇO/LATITUDE LONGITUDE</w:t>
            </w:r>
          </w:p>
        </w:tc>
        <w:tc>
          <w:tcPr>
            <w:tcW w:w="1395" w:type="dxa"/>
            <w:shd w:val="clear" w:color="auto" w:fill="F2F2F2"/>
            <w:vAlign w:val="center"/>
          </w:tcPr>
          <w:p w14:paraId="57C7AE3A" w14:textId="77777777" w:rsidR="0046688E" w:rsidRDefault="00000000">
            <w:pPr>
              <w:spacing w:after="0" w:line="240" w:lineRule="auto"/>
              <w:ind w:firstLine="0"/>
              <w:jc w:val="center"/>
              <w:rPr>
                <w:rFonts w:ascii="Arial" w:eastAsia="Arial" w:hAnsi="Arial" w:cs="Arial"/>
                <w:sz w:val="20"/>
                <w:szCs w:val="20"/>
              </w:rPr>
            </w:pPr>
            <w:r>
              <w:rPr>
                <w:rFonts w:ascii="Arial" w:eastAsia="Arial" w:hAnsi="Arial" w:cs="Arial"/>
                <w:b/>
                <w:sz w:val="20"/>
                <w:szCs w:val="20"/>
              </w:rPr>
              <w:t>DATA</w:t>
            </w:r>
          </w:p>
        </w:tc>
        <w:tc>
          <w:tcPr>
            <w:tcW w:w="2070" w:type="dxa"/>
            <w:shd w:val="clear" w:color="auto" w:fill="F2F2F2"/>
            <w:vAlign w:val="center"/>
          </w:tcPr>
          <w:p w14:paraId="2273D25F" w14:textId="77777777" w:rsidR="0046688E" w:rsidRDefault="00000000">
            <w:pPr>
              <w:spacing w:after="0" w:line="240" w:lineRule="auto"/>
              <w:ind w:firstLine="0"/>
              <w:jc w:val="left"/>
              <w:rPr>
                <w:rFonts w:ascii="Arial" w:eastAsia="Arial" w:hAnsi="Arial" w:cs="Arial"/>
                <w:sz w:val="20"/>
                <w:szCs w:val="20"/>
              </w:rPr>
            </w:pPr>
            <w:r>
              <w:rPr>
                <w:rFonts w:ascii="Arial" w:eastAsia="Arial" w:hAnsi="Arial" w:cs="Arial"/>
                <w:b/>
                <w:sz w:val="20"/>
                <w:szCs w:val="20"/>
              </w:rPr>
              <w:t>PERÍODO</w:t>
            </w:r>
          </w:p>
        </w:tc>
      </w:tr>
      <w:tr w:rsidR="0046688E" w14:paraId="7CBB4AC0" w14:textId="77777777" w:rsidTr="0046688E">
        <w:trPr>
          <w:cnfStyle w:val="000000010000" w:firstRow="0" w:lastRow="0" w:firstColumn="0" w:lastColumn="0" w:oddVBand="0" w:evenVBand="0" w:oddHBand="0" w:evenHBand="1" w:firstRowFirstColumn="0" w:firstRowLastColumn="0" w:lastRowFirstColumn="0" w:lastRowLastColumn="0"/>
          <w:trHeight w:val="280"/>
          <w:jc w:val="center"/>
        </w:trPr>
        <w:tc>
          <w:tcPr>
            <w:tcW w:w="4770" w:type="dxa"/>
            <w:vAlign w:val="center"/>
          </w:tcPr>
          <w:p w14:paraId="31106957" w14:textId="77777777" w:rsidR="0046688E" w:rsidRDefault="00000000">
            <w:pPr>
              <w:spacing w:after="0" w:line="240" w:lineRule="auto"/>
              <w:ind w:firstLine="0"/>
              <w:jc w:val="left"/>
              <w:rPr>
                <w:rFonts w:ascii="Arial" w:eastAsia="Arial" w:hAnsi="Arial" w:cs="Arial"/>
                <w:sz w:val="20"/>
                <w:szCs w:val="20"/>
              </w:rPr>
            </w:pPr>
            <w:r>
              <w:rPr>
                <w:rFonts w:ascii="Arial" w:eastAsia="Arial" w:hAnsi="Arial" w:cs="Arial"/>
                <w:sz w:val="20"/>
                <w:szCs w:val="20"/>
              </w:rPr>
              <w:t xml:space="preserve">Rua Werner Duwe, 197 – Badenfurt – Blumenau/SC </w:t>
            </w:r>
          </w:p>
          <w:p w14:paraId="5DA60765" w14:textId="77777777" w:rsidR="0046688E" w:rsidRDefault="0046688E">
            <w:pPr>
              <w:spacing w:after="0" w:line="240" w:lineRule="auto"/>
              <w:ind w:firstLine="0"/>
              <w:jc w:val="left"/>
              <w:rPr>
                <w:rFonts w:ascii="Arial" w:eastAsia="Arial" w:hAnsi="Arial" w:cs="Arial"/>
                <w:sz w:val="20"/>
                <w:szCs w:val="20"/>
              </w:rPr>
            </w:pPr>
          </w:p>
          <w:p w14:paraId="457690E5" w14:textId="77777777" w:rsidR="0046688E" w:rsidRDefault="00000000">
            <w:pPr>
              <w:spacing w:after="200" w:line="240" w:lineRule="auto"/>
              <w:ind w:firstLine="0"/>
              <w:jc w:val="left"/>
              <w:rPr>
                <w:rFonts w:ascii="Arial" w:eastAsia="Arial" w:hAnsi="Arial" w:cs="Arial"/>
                <w:sz w:val="20"/>
                <w:szCs w:val="20"/>
              </w:rPr>
            </w:pPr>
            <w:r>
              <w:rPr>
                <w:rFonts w:ascii="Arial" w:eastAsia="Arial" w:hAnsi="Arial" w:cs="Arial"/>
                <w:b/>
                <w:sz w:val="20"/>
                <w:szCs w:val="20"/>
              </w:rPr>
              <w:t>Lat/Long</w:t>
            </w:r>
            <w:r>
              <w:rPr>
                <w:rFonts w:ascii="Arial" w:eastAsia="Arial" w:hAnsi="Arial" w:cs="Arial"/>
                <w:sz w:val="20"/>
                <w:szCs w:val="20"/>
              </w:rPr>
              <w:t xml:space="preserve"> -26.881038 -49.141908</w:t>
            </w:r>
          </w:p>
        </w:tc>
        <w:tc>
          <w:tcPr>
            <w:tcW w:w="1395" w:type="dxa"/>
            <w:vAlign w:val="center"/>
          </w:tcPr>
          <w:p w14:paraId="70A18DE9" w14:textId="77777777" w:rsidR="0046688E" w:rsidRDefault="00000000">
            <w:pPr>
              <w:spacing w:after="0" w:line="240" w:lineRule="auto"/>
              <w:ind w:firstLine="0"/>
              <w:jc w:val="center"/>
              <w:rPr>
                <w:rFonts w:ascii="Arial" w:eastAsia="Arial" w:hAnsi="Arial" w:cs="Arial"/>
                <w:sz w:val="20"/>
                <w:szCs w:val="20"/>
              </w:rPr>
            </w:pPr>
            <w:r>
              <w:rPr>
                <w:rFonts w:ascii="Arial" w:eastAsia="Arial" w:hAnsi="Arial" w:cs="Arial"/>
                <w:sz w:val="20"/>
                <w:szCs w:val="20"/>
              </w:rPr>
              <w:t>07/02/2024</w:t>
            </w:r>
          </w:p>
        </w:tc>
        <w:tc>
          <w:tcPr>
            <w:tcW w:w="2070" w:type="dxa"/>
            <w:vAlign w:val="center"/>
          </w:tcPr>
          <w:p w14:paraId="00CE12FE" w14:textId="77777777" w:rsidR="0046688E" w:rsidRDefault="00000000">
            <w:pPr>
              <w:spacing w:after="0" w:line="240" w:lineRule="auto"/>
              <w:ind w:firstLine="0"/>
              <w:jc w:val="left"/>
              <w:rPr>
                <w:rFonts w:ascii="Arial" w:eastAsia="Arial" w:hAnsi="Arial" w:cs="Arial"/>
                <w:sz w:val="20"/>
                <w:szCs w:val="20"/>
              </w:rPr>
            </w:pPr>
            <w:r>
              <w:rPr>
                <w:rFonts w:ascii="Arial" w:eastAsia="Arial" w:hAnsi="Arial" w:cs="Arial"/>
                <w:sz w:val="20"/>
                <w:szCs w:val="20"/>
              </w:rPr>
              <w:t>Entre 19:15 e 20:15</w:t>
            </w:r>
          </w:p>
        </w:tc>
      </w:tr>
      <w:tr w:rsidR="0046688E" w14:paraId="36C114DA" w14:textId="77777777" w:rsidTr="0046688E">
        <w:trPr>
          <w:cnfStyle w:val="000000100000" w:firstRow="0" w:lastRow="0" w:firstColumn="0" w:lastColumn="0" w:oddVBand="0" w:evenVBand="0" w:oddHBand="1" w:evenHBand="0" w:firstRowFirstColumn="0" w:firstRowLastColumn="0" w:lastRowFirstColumn="0" w:lastRowLastColumn="0"/>
          <w:trHeight w:val="280"/>
          <w:jc w:val="center"/>
        </w:trPr>
        <w:tc>
          <w:tcPr>
            <w:tcW w:w="4770" w:type="dxa"/>
            <w:vAlign w:val="center"/>
          </w:tcPr>
          <w:p w14:paraId="382F9599" w14:textId="77777777" w:rsidR="0046688E" w:rsidRDefault="00000000">
            <w:pPr>
              <w:spacing w:after="0" w:line="240" w:lineRule="auto"/>
              <w:ind w:firstLine="0"/>
              <w:jc w:val="left"/>
              <w:rPr>
                <w:rFonts w:ascii="Arial" w:eastAsia="Arial" w:hAnsi="Arial" w:cs="Arial"/>
                <w:sz w:val="20"/>
                <w:szCs w:val="20"/>
              </w:rPr>
            </w:pPr>
            <w:r>
              <w:rPr>
                <w:rFonts w:ascii="Arial" w:eastAsia="Arial" w:hAnsi="Arial" w:cs="Arial"/>
                <w:sz w:val="20"/>
                <w:szCs w:val="20"/>
              </w:rPr>
              <w:t>Rua Engenheiro Udo Deeke, 1113 – Badenfurt – Blumenau/SC</w:t>
            </w:r>
          </w:p>
        </w:tc>
        <w:tc>
          <w:tcPr>
            <w:tcW w:w="1395" w:type="dxa"/>
            <w:vAlign w:val="center"/>
          </w:tcPr>
          <w:p w14:paraId="148AD88A" w14:textId="77777777" w:rsidR="0046688E" w:rsidRDefault="00000000">
            <w:pPr>
              <w:spacing w:after="0" w:line="240" w:lineRule="auto"/>
              <w:ind w:firstLine="0"/>
              <w:jc w:val="center"/>
              <w:rPr>
                <w:rFonts w:ascii="Arial" w:eastAsia="Arial" w:hAnsi="Arial" w:cs="Arial"/>
                <w:sz w:val="20"/>
                <w:szCs w:val="20"/>
              </w:rPr>
            </w:pPr>
            <w:r>
              <w:rPr>
                <w:rFonts w:ascii="Arial" w:eastAsia="Arial" w:hAnsi="Arial" w:cs="Arial"/>
                <w:sz w:val="20"/>
                <w:szCs w:val="20"/>
              </w:rPr>
              <w:t>07/02/2024</w:t>
            </w:r>
          </w:p>
        </w:tc>
        <w:tc>
          <w:tcPr>
            <w:tcW w:w="2070" w:type="dxa"/>
            <w:vAlign w:val="center"/>
          </w:tcPr>
          <w:p w14:paraId="2DA1E453" w14:textId="77777777" w:rsidR="0046688E" w:rsidRDefault="00000000">
            <w:pPr>
              <w:spacing w:after="0" w:line="240" w:lineRule="auto"/>
              <w:ind w:firstLine="0"/>
              <w:jc w:val="left"/>
              <w:rPr>
                <w:rFonts w:ascii="Arial" w:eastAsia="Arial" w:hAnsi="Arial" w:cs="Arial"/>
                <w:sz w:val="20"/>
                <w:szCs w:val="20"/>
              </w:rPr>
            </w:pPr>
            <w:r>
              <w:rPr>
                <w:rFonts w:ascii="Arial" w:eastAsia="Arial" w:hAnsi="Arial" w:cs="Arial"/>
                <w:sz w:val="20"/>
                <w:szCs w:val="20"/>
              </w:rPr>
              <w:t>Entre 03:00 e 04:00</w:t>
            </w:r>
          </w:p>
        </w:tc>
      </w:tr>
    </w:tbl>
    <w:p w14:paraId="2849BABA" w14:textId="77777777" w:rsidR="0046688E" w:rsidRDefault="0046688E">
      <w:pPr>
        <w:spacing w:after="0" w:line="360" w:lineRule="auto"/>
        <w:ind w:firstLine="1418"/>
        <w:rPr>
          <w:rFonts w:ascii="Arial" w:eastAsia="Arial" w:hAnsi="Arial" w:cs="Arial"/>
          <w:sz w:val="22"/>
          <w:szCs w:val="22"/>
        </w:rPr>
      </w:pPr>
    </w:p>
    <w:p w14:paraId="2F8D28A5" w14:textId="77777777" w:rsidR="0046688E" w:rsidRDefault="0046688E">
      <w:pPr>
        <w:spacing w:after="0" w:line="312" w:lineRule="auto"/>
        <w:ind w:firstLine="1418"/>
        <w:rPr>
          <w:rFonts w:ascii="Arial" w:eastAsia="Arial" w:hAnsi="Arial" w:cs="Arial"/>
          <w:sz w:val="22"/>
          <w:szCs w:val="22"/>
        </w:rPr>
      </w:pPr>
    </w:p>
    <w:p w14:paraId="6D285A0C" w14:textId="5D5983E4" w:rsidR="0046688E" w:rsidRDefault="00000000" w:rsidP="007D5FD1">
      <w:pPr>
        <w:spacing w:after="0" w:line="312" w:lineRule="auto"/>
        <w:ind w:firstLine="0"/>
        <w:rPr>
          <w:rFonts w:ascii="Arial" w:eastAsia="Arial" w:hAnsi="Arial" w:cs="Arial"/>
          <w:sz w:val="22"/>
          <w:szCs w:val="22"/>
        </w:rPr>
      </w:pPr>
      <w:r>
        <w:rPr>
          <w:rFonts w:ascii="Arial" w:eastAsia="Arial" w:hAnsi="Arial" w:cs="Arial"/>
          <w:b/>
          <w:sz w:val="22"/>
          <w:szCs w:val="22"/>
        </w:rPr>
        <w:t>b)</w:t>
      </w:r>
      <w:r>
        <w:rPr>
          <w:rFonts w:ascii="Arial" w:eastAsia="Arial" w:hAnsi="Arial" w:cs="Arial"/>
          <w:sz w:val="22"/>
          <w:szCs w:val="22"/>
        </w:rPr>
        <w:t xml:space="preserve"> seja determinado ainda a todas operadoras de telefonia móvel e fixo -  VIVO, TIM, CLARO e outras - o fornecimento de dados cadastrais (por terminal, IMEI, nome, CPF e IP), dados de localização de ERB, extrato em tempo real e deslocamento de alvo(s) e interlocutores; extratos de chamadas e relatório de conexão de dados móveis 3G/4G/5G com ERB do alvo e interlocutores, tudo, inclusive de períodos retroativos, a partir de 01/01/2025 fornecendo essas informações durante 60 dias após o recebimento do ofício judicial. Agentes autorizados: </w:t>
      </w:r>
      <w:r w:rsidR="007D5FD1">
        <w:rPr>
          <w:rFonts w:ascii="Arial" w:eastAsia="Arial" w:hAnsi="Arial" w:cs="Arial"/>
          <w:sz w:val="22"/>
          <w:szCs w:val="22"/>
          <w:lang w:val="pt-BR"/>
        </w:rPr>
        <w:t>nome (</w:t>
      </w:r>
      <w:r>
        <w:rPr>
          <w:rFonts w:ascii="Arial" w:eastAsia="Arial" w:hAnsi="Arial" w:cs="Arial"/>
          <w:sz w:val="22"/>
          <w:szCs w:val="22"/>
        </w:rPr>
        <w:t>CPF xxxxxxxxxx</w:t>
      </w:r>
      <w:r w:rsidR="007D5FD1">
        <w:rPr>
          <w:rFonts w:ascii="Arial" w:eastAsia="Arial" w:hAnsi="Arial" w:cs="Arial"/>
          <w:sz w:val="22"/>
          <w:szCs w:val="22"/>
          <w:lang w:val="pt-BR"/>
        </w:rPr>
        <w:t>)</w:t>
      </w:r>
      <w:r>
        <w:rPr>
          <w:rFonts w:ascii="Arial" w:eastAsia="Arial" w:hAnsi="Arial" w:cs="Arial"/>
          <w:sz w:val="22"/>
          <w:szCs w:val="22"/>
        </w:rPr>
        <w:t>, e-mail: xxxx@</w:t>
      </w:r>
      <w:r w:rsidR="007D5FD1">
        <w:rPr>
          <w:rFonts w:ascii="Arial" w:eastAsia="Arial" w:hAnsi="Arial" w:cs="Arial"/>
          <w:sz w:val="22"/>
          <w:szCs w:val="22"/>
          <w:lang w:val="pt-BR"/>
        </w:rPr>
        <w:t>instituicao@gov.br</w:t>
      </w:r>
      <w:r>
        <w:rPr>
          <w:rFonts w:ascii="Arial" w:eastAsia="Arial" w:hAnsi="Arial" w:cs="Arial"/>
          <w:sz w:val="22"/>
          <w:szCs w:val="22"/>
        </w:rPr>
        <w:t xml:space="preserve"> </w:t>
      </w:r>
      <w:r w:rsidR="007D5FD1">
        <w:rPr>
          <w:rFonts w:ascii="Arial" w:eastAsia="Arial" w:hAnsi="Arial" w:cs="Arial"/>
          <w:sz w:val="22"/>
          <w:szCs w:val="22"/>
          <w:lang w:val="pt-BR"/>
        </w:rPr>
        <w:t>.........</w:t>
      </w:r>
      <w:r>
        <w:rPr>
          <w:rFonts w:ascii="Arial" w:eastAsia="Arial" w:hAnsi="Arial" w:cs="Arial"/>
          <w:sz w:val="22"/>
          <w:szCs w:val="22"/>
        </w:rPr>
        <w:t>, que irão participar das investigações.</w:t>
      </w:r>
    </w:p>
    <w:sectPr w:rsidR="0046688E">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E79E1" w14:textId="77777777" w:rsidR="00A12556" w:rsidRDefault="00A12556" w:rsidP="007D5FD1">
      <w:pPr>
        <w:spacing w:after="0" w:line="240" w:lineRule="auto"/>
      </w:pPr>
      <w:r>
        <w:separator/>
      </w:r>
    </w:p>
  </w:endnote>
  <w:endnote w:type="continuationSeparator" w:id="0">
    <w:p w14:paraId="0E919299" w14:textId="77777777" w:rsidR="00A12556" w:rsidRDefault="00A12556" w:rsidP="007D5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panose1 w:val="020B0502040504020204"/>
    <w:charset w:val="00"/>
    <w:family w:val="swiss"/>
    <w:pitch w:val="variable"/>
    <w:sig w:usb0="E00082FF" w:usb1="400078FF" w:usb2="00000029"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A45B" w:usb2="00000009" w:usb3="00000000" w:csb0="000001D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F049A" w14:textId="77777777" w:rsidR="007D5FD1" w:rsidRDefault="007D5F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38784C" w14:textId="77777777" w:rsidR="007D5FD1" w:rsidRDefault="007D5F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2A9C2" w14:textId="77777777" w:rsidR="007D5FD1" w:rsidRDefault="007D5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C9F74C" w14:textId="77777777" w:rsidR="00A12556" w:rsidRDefault="00A12556" w:rsidP="007D5FD1">
      <w:pPr>
        <w:spacing w:after="0" w:line="240" w:lineRule="auto"/>
      </w:pPr>
      <w:r>
        <w:separator/>
      </w:r>
    </w:p>
  </w:footnote>
  <w:footnote w:type="continuationSeparator" w:id="0">
    <w:p w14:paraId="3E5F0535" w14:textId="77777777" w:rsidR="00A12556" w:rsidRDefault="00A12556" w:rsidP="007D5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39163" w14:textId="77777777" w:rsidR="007D5FD1" w:rsidRDefault="007D5F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5D82B" w14:textId="77777777" w:rsidR="007D5FD1" w:rsidRDefault="007D5F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D7BE6" w14:textId="77777777" w:rsidR="007D5FD1" w:rsidRDefault="007D5F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PersonalInformation/>
  <w:removeDateAndTime/>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688E"/>
    <w:rsid w:val="000E37E9"/>
    <w:rsid w:val="0046688E"/>
    <w:rsid w:val="007D5FD1"/>
    <w:rsid w:val="00A12556"/>
    <w:rsid w:val="00ED2271"/>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1E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Noto Sans" w:eastAsia="Noto Sans" w:hAnsi="Noto Sans" w:cs="Noto Sans"/>
        <w:sz w:val="21"/>
        <w:szCs w:val="21"/>
        <w:lang w:val="en-BR" w:eastAsia="en-US" w:bidi="ar-SA"/>
      </w:rPr>
    </w:rPrDefault>
    <w:pPrDefault>
      <w:pPr>
        <w:spacing w:after="120" w:line="259" w:lineRule="auto"/>
        <w:ind w:firstLine="113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tblStylePr w:type="firstRow">
      <w:tblPr/>
      <w:tcPr>
        <w:tcMar>
          <w:top w:w="0" w:type="dxa"/>
          <w:left w:w="115" w:type="dxa"/>
          <w:bottom w:w="0" w:type="dxa"/>
          <w:right w:w="115" w:type="dxa"/>
        </w:tcMar>
      </w:tcPr>
    </w:tblStylePr>
    <w:tblStylePr w:type="lastRow">
      <w:tblPr/>
      <w:tcPr>
        <w:tcMar>
          <w:top w:w="0" w:type="dxa"/>
          <w:left w:w="115" w:type="dxa"/>
          <w:bottom w:w="0" w:type="dxa"/>
          <w:right w:w="115" w:type="dxa"/>
        </w:tcMar>
      </w:tcPr>
    </w:tblStylePr>
    <w:tblStylePr w:type="firstCol">
      <w:tblPr/>
      <w:tcPr>
        <w:tcMar>
          <w:top w:w="0" w:type="dxa"/>
          <w:left w:w="115" w:type="dxa"/>
          <w:bottom w:w="0" w:type="dxa"/>
          <w:right w:w="115" w:type="dxa"/>
        </w:tcMar>
      </w:tcPr>
    </w:tblStylePr>
    <w:tblStylePr w:type="lastCol">
      <w:tblPr/>
      <w:tcPr>
        <w:tcMar>
          <w:top w:w="0" w:type="dxa"/>
          <w:left w:w="115" w:type="dxa"/>
          <w:bottom w:w="0" w:type="dxa"/>
          <w:right w:w="115" w:type="dxa"/>
        </w:tcMar>
      </w:tcPr>
    </w:tblStylePr>
    <w:tblStylePr w:type="band1Vert">
      <w:tblPr/>
      <w:tcPr>
        <w:tcMar>
          <w:top w:w="0" w:type="dxa"/>
          <w:left w:w="115" w:type="dxa"/>
          <w:bottom w:w="0" w:type="dxa"/>
          <w:right w:w="115" w:type="dxa"/>
        </w:tcMar>
      </w:tcPr>
    </w:tblStylePr>
    <w:tblStylePr w:type="band2Vert">
      <w:tblPr/>
      <w:tcPr>
        <w:tcMar>
          <w:top w:w="0" w:type="dxa"/>
          <w:left w:w="115" w:type="dxa"/>
          <w:bottom w:w="0" w:type="dxa"/>
          <w:right w:w="115" w:type="dxa"/>
        </w:tcMar>
      </w:tcPr>
    </w:tblStylePr>
    <w:tblStylePr w:type="band1Horz">
      <w:tblPr/>
      <w:tcPr>
        <w:tcMar>
          <w:top w:w="0" w:type="dxa"/>
          <w:left w:w="115" w:type="dxa"/>
          <w:bottom w:w="0" w:type="dxa"/>
          <w:right w:w="115" w:type="dxa"/>
        </w:tcMar>
      </w:tcPr>
    </w:tblStylePr>
    <w:tblStylePr w:type="band2Horz">
      <w:tblPr/>
      <w:tcPr>
        <w:tcMar>
          <w:top w:w="0" w:type="dxa"/>
          <w:left w:w="115" w:type="dxa"/>
          <w:bottom w:w="0" w:type="dxa"/>
          <w:right w:w="115" w:type="dxa"/>
        </w:tcMar>
      </w:tcPr>
    </w:tblStylePr>
    <w:tblStylePr w:type="neCell">
      <w:tblPr/>
      <w:tcPr>
        <w:tcMar>
          <w:top w:w="0" w:type="dxa"/>
          <w:left w:w="115" w:type="dxa"/>
          <w:bottom w:w="0" w:type="dxa"/>
          <w:right w:w="115" w:type="dxa"/>
        </w:tcMar>
      </w:tcPr>
    </w:tblStylePr>
    <w:tblStylePr w:type="nwCell">
      <w:tblPr/>
      <w:tcPr>
        <w:tcMar>
          <w:top w:w="0" w:type="dxa"/>
          <w:left w:w="115" w:type="dxa"/>
          <w:bottom w:w="0" w:type="dxa"/>
          <w:right w:w="115" w:type="dxa"/>
        </w:tcMar>
      </w:tcPr>
    </w:tblStylePr>
    <w:tblStylePr w:type="seCell">
      <w:tblPr/>
      <w:tcPr>
        <w:tcMar>
          <w:top w:w="0" w:type="dxa"/>
          <w:left w:w="115" w:type="dxa"/>
          <w:bottom w:w="0" w:type="dxa"/>
          <w:right w:w="115" w:type="dxa"/>
        </w:tcMar>
      </w:tcPr>
    </w:tblStylePr>
    <w:tblStylePr w:type="swCell">
      <w:tblPr/>
      <w:tcPr>
        <w:tcMar>
          <w:top w:w="0" w:type="dxa"/>
          <w:left w:w="115" w:type="dxa"/>
          <w:bottom w:w="0" w:type="dxa"/>
          <w:right w:w="115" w:type="dxa"/>
        </w:tcMar>
      </w:tcPr>
    </w:tblStylePr>
  </w:style>
  <w:style w:type="paragraph" w:styleId="Header">
    <w:name w:val="header"/>
    <w:basedOn w:val="Normal"/>
    <w:link w:val="HeaderChar"/>
    <w:uiPriority w:val="99"/>
    <w:unhideWhenUsed/>
    <w:rsid w:val="007D5F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FD1"/>
  </w:style>
  <w:style w:type="paragraph" w:styleId="Footer">
    <w:name w:val="footer"/>
    <w:basedOn w:val="Normal"/>
    <w:link w:val="FooterChar"/>
    <w:uiPriority w:val="99"/>
    <w:unhideWhenUsed/>
    <w:rsid w:val="007D5F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xxxx@pc.sc.gov.br"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382</Words>
  <Characters>2183</Characters>
  <Application>Microsoft Office Word</Application>
  <DocSecurity>0</DocSecurity>
  <Lines>18</Lines>
  <Paragraphs>5</Paragraphs>
  <ScaleCrop>false</ScaleCrop>
  <Company/>
  <LinksUpToDate>false</LinksUpToDate>
  <CharactersWithSpaces>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2025-09-19T19:00:00Z</dcterms:created>
  <dcterms:modified xsi:type="dcterms:W3CDTF">2025-09-19T19:02:00Z</dcterms:modified>
</cp:coreProperties>
</file>