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357CE" w14:textId="00401A0C" w:rsidR="00910162" w:rsidRPr="00910162" w:rsidRDefault="00910162" w:rsidP="00910162">
      <w:pPr>
        <w:jc w:val="both"/>
        <w:rPr>
          <w:rFonts w:ascii="Times New Roman" w:eastAsia="Times New Roman" w:hAnsi="Times New Roman" w:cs="Times New Roman"/>
          <w:kern w:val="0"/>
          <w:sz w:val="22"/>
          <w:szCs w:val="22"/>
          <w14:ligatures w14:val="none"/>
        </w:rPr>
      </w:pPr>
      <w:r w:rsidRPr="00910162">
        <w:rPr>
          <w:rFonts w:ascii="Arial" w:eastAsia="Times New Roman" w:hAnsi="Arial" w:cs="Arial"/>
          <w:b/>
          <w:bCs/>
          <w:color w:val="000000"/>
          <w:kern w:val="0"/>
          <w:sz w:val="22"/>
          <w:szCs w:val="22"/>
          <w14:ligatures w14:val="none"/>
        </w:rPr>
        <w:t xml:space="preserve">Ofício nº. </w:t>
      </w:r>
      <w:proofErr w:type="spellStart"/>
      <w:r>
        <w:rPr>
          <w:rFonts w:ascii="Arial" w:eastAsia="Times New Roman" w:hAnsi="Arial" w:cs="Arial"/>
          <w:b/>
          <w:bCs/>
          <w:color w:val="000000"/>
          <w:kern w:val="0"/>
          <w:sz w:val="22"/>
          <w:szCs w:val="22"/>
          <w:lang w:val="pt-BR"/>
          <w14:ligatures w14:val="none"/>
        </w:rPr>
        <w:t>xxxxx</w:t>
      </w:r>
      <w:proofErr w:type="spellEnd"/>
      <w:r w:rsidRPr="00910162">
        <w:rPr>
          <w:rFonts w:ascii="Arial" w:eastAsia="Times New Roman" w:hAnsi="Arial" w:cs="Arial"/>
          <w:b/>
          <w:bCs/>
          <w:color w:val="000000"/>
          <w:kern w:val="0"/>
          <w:sz w:val="22"/>
          <w:szCs w:val="22"/>
          <w14:ligatures w14:val="none"/>
        </w:rPr>
        <w:t>/2025</w:t>
      </w:r>
    </w:p>
    <w:p w14:paraId="0ABC5B06" w14:textId="288ABACC" w:rsidR="00910162" w:rsidRPr="00910162" w:rsidRDefault="00910162" w:rsidP="00910162">
      <w:pPr>
        <w:jc w:val="right"/>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2"/>
          <w:szCs w:val="22"/>
          <w:lang w:val="pt-BR"/>
          <w14:ligatures w14:val="none"/>
        </w:rPr>
        <w:t>Cidade</w:t>
      </w:r>
      <w:r w:rsidRPr="00910162">
        <w:rPr>
          <w:rFonts w:ascii="Arial" w:eastAsia="Times New Roman" w:hAnsi="Arial" w:cs="Arial"/>
          <w:color w:val="000000"/>
          <w:kern w:val="0"/>
          <w:sz w:val="22"/>
          <w:szCs w:val="22"/>
          <w14:ligatures w14:val="none"/>
        </w:rPr>
        <w:t xml:space="preserve">/SC, </w:t>
      </w:r>
      <w:proofErr w:type="spellStart"/>
      <w:r>
        <w:rPr>
          <w:rFonts w:ascii="Arial" w:eastAsia="Times New Roman" w:hAnsi="Arial" w:cs="Arial"/>
          <w:color w:val="000000"/>
          <w:kern w:val="0"/>
          <w:sz w:val="22"/>
          <w:szCs w:val="22"/>
          <w:lang w:val="pt-BR"/>
          <w14:ligatures w14:val="none"/>
        </w:rPr>
        <w:t>xx</w:t>
      </w:r>
      <w:proofErr w:type="spellEnd"/>
      <w:r w:rsidRPr="00910162">
        <w:rPr>
          <w:rFonts w:ascii="Arial" w:eastAsia="Times New Roman" w:hAnsi="Arial" w:cs="Arial"/>
          <w:color w:val="000000"/>
          <w:kern w:val="0"/>
          <w:sz w:val="22"/>
          <w:szCs w:val="22"/>
          <w14:ligatures w14:val="none"/>
        </w:rPr>
        <w:t xml:space="preserve"> de </w:t>
      </w:r>
      <w:r>
        <w:rPr>
          <w:rFonts w:ascii="Arial" w:eastAsia="Times New Roman" w:hAnsi="Arial" w:cs="Arial"/>
          <w:color w:val="000000"/>
          <w:kern w:val="0"/>
          <w:sz w:val="22"/>
          <w:szCs w:val="22"/>
          <w:lang w:val="pt-BR"/>
          <w14:ligatures w14:val="none"/>
        </w:rPr>
        <w:t>setembro</w:t>
      </w:r>
      <w:r w:rsidRPr="00910162">
        <w:rPr>
          <w:rFonts w:ascii="Arial" w:eastAsia="Times New Roman" w:hAnsi="Arial" w:cs="Arial"/>
          <w:color w:val="000000"/>
          <w:kern w:val="0"/>
          <w:sz w:val="22"/>
          <w:szCs w:val="22"/>
          <w14:ligatures w14:val="none"/>
        </w:rPr>
        <w:t xml:space="preserve"> de 2025.</w:t>
      </w:r>
    </w:p>
    <w:p w14:paraId="76FC98D8" w14:textId="77777777" w:rsidR="00910162" w:rsidRPr="00910162" w:rsidRDefault="00910162" w:rsidP="00910162">
      <w:pPr>
        <w:rPr>
          <w:rFonts w:ascii="Times New Roman" w:eastAsia="Times New Roman" w:hAnsi="Times New Roman" w:cs="Times New Roman"/>
          <w:kern w:val="0"/>
          <w:sz w:val="22"/>
          <w:szCs w:val="22"/>
          <w14:ligatures w14:val="none"/>
        </w:rPr>
      </w:pPr>
    </w:p>
    <w:p w14:paraId="7F0E503A" w14:textId="77777777" w:rsidR="00910162" w:rsidRDefault="00910162" w:rsidP="00910162">
      <w:pPr>
        <w:rPr>
          <w:rFonts w:ascii="Arial" w:eastAsia="Times New Roman" w:hAnsi="Arial" w:cs="Arial"/>
          <w:b/>
          <w:bCs/>
          <w:color w:val="000000"/>
          <w:kern w:val="0"/>
          <w:sz w:val="22"/>
          <w:szCs w:val="22"/>
          <w14:ligatures w14:val="none"/>
        </w:rPr>
      </w:pPr>
    </w:p>
    <w:p w14:paraId="538081FD" w14:textId="3633DF67" w:rsidR="00910162" w:rsidRPr="00910162" w:rsidRDefault="00910162" w:rsidP="00910162">
      <w:pPr>
        <w:rPr>
          <w:rFonts w:ascii="Times New Roman" w:eastAsia="Times New Roman" w:hAnsi="Times New Roman" w:cs="Times New Roman"/>
          <w:kern w:val="0"/>
          <w:sz w:val="22"/>
          <w:szCs w:val="22"/>
          <w14:ligatures w14:val="none"/>
        </w:rPr>
      </w:pPr>
      <w:r w:rsidRPr="00910162">
        <w:rPr>
          <w:rFonts w:ascii="Arial" w:eastAsia="Times New Roman" w:hAnsi="Arial" w:cs="Arial"/>
          <w:b/>
          <w:bCs/>
          <w:color w:val="000000"/>
          <w:kern w:val="0"/>
          <w:sz w:val="22"/>
          <w:szCs w:val="22"/>
          <w14:ligatures w14:val="none"/>
        </w:rPr>
        <w:t>Ao Sr.(a) Responsável</w:t>
      </w:r>
    </w:p>
    <w:p w14:paraId="0407B9EE" w14:textId="77777777" w:rsidR="00910162" w:rsidRPr="00910162" w:rsidRDefault="00910162" w:rsidP="00910162">
      <w:pPr>
        <w:rPr>
          <w:rFonts w:ascii="Times New Roman" w:eastAsia="Times New Roman" w:hAnsi="Times New Roman" w:cs="Times New Roman"/>
          <w:kern w:val="0"/>
          <w:sz w:val="22"/>
          <w:szCs w:val="22"/>
          <w14:ligatures w14:val="none"/>
        </w:rPr>
      </w:pPr>
      <w:r w:rsidRPr="00910162">
        <w:rPr>
          <w:rFonts w:ascii="Arial" w:eastAsia="Times New Roman" w:hAnsi="Arial" w:cs="Arial"/>
          <w:b/>
          <w:bCs/>
          <w:color w:val="000000"/>
          <w:kern w:val="0"/>
          <w:sz w:val="22"/>
          <w:szCs w:val="22"/>
          <w14:ligatures w14:val="none"/>
        </w:rPr>
        <w:t>Unifique Telecomunicações S.A.</w:t>
      </w:r>
    </w:p>
    <w:p w14:paraId="37748BF8" w14:textId="77777777" w:rsidR="00910162" w:rsidRPr="00910162" w:rsidRDefault="00910162" w:rsidP="00910162">
      <w:pPr>
        <w:spacing w:after="240"/>
        <w:rPr>
          <w:rFonts w:ascii="Times New Roman" w:eastAsia="Times New Roman" w:hAnsi="Times New Roman" w:cs="Times New Roman"/>
          <w:kern w:val="0"/>
          <w:sz w:val="22"/>
          <w:szCs w:val="22"/>
          <w14:ligatures w14:val="none"/>
        </w:rPr>
      </w:pPr>
      <w:r w:rsidRPr="00910162">
        <w:rPr>
          <w:rFonts w:ascii="Times New Roman" w:eastAsia="Times New Roman" w:hAnsi="Times New Roman" w:cs="Times New Roman"/>
          <w:kern w:val="0"/>
          <w:sz w:val="22"/>
          <w:szCs w:val="22"/>
          <w14:ligatures w14:val="none"/>
        </w:rPr>
        <w:br/>
      </w:r>
    </w:p>
    <w:p w14:paraId="0D2A7EE4" w14:textId="77777777" w:rsidR="00910162" w:rsidRPr="00910162" w:rsidRDefault="00910162" w:rsidP="00910162">
      <w:pPr>
        <w:spacing w:after="200"/>
        <w:rPr>
          <w:rFonts w:ascii="Times New Roman" w:eastAsia="Times New Roman" w:hAnsi="Times New Roman" w:cs="Times New Roman"/>
          <w:kern w:val="0"/>
          <w:sz w:val="22"/>
          <w:szCs w:val="22"/>
          <w14:ligatures w14:val="none"/>
        </w:rPr>
      </w:pPr>
      <w:r w:rsidRPr="00910162">
        <w:rPr>
          <w:rFonts w:ascii="Arial" w:eastAsia="Times New Roman" w:hAnsi="Arial" w:cs="Arial"/>
          <w:b/>
          <w:bCs/>
          <w:color w:val="000000"/>
          <w:kern w:val="0"/>
          <w:sz w:val="22"/>
          <w:szCs w:val="22"/>
          <w14:ligatures w14:val="none"/>
        </w:rPr>
        <w:t>Assunto: Requisição de dados cadastrais</w:t>
      </w:r>
    </w:p>
    <w:p w14:paraId="3252A37B" w14:textId="77777777" w:rsidR="00910162" w:rsidRPr="00910162" w:rsidRDefault="00910162" w:rsidP="00910162">
      <w:pPr>
        <w:rPr>
          <w:rFonts w:ascii="Times New Roman" w:eastAsia="Times New Roman" w:hAnsi="Times New Roman" w:cs="Times New Roman"/>
          <w:kern w:val="0"/>
          <w:sz w:val="22"/>
          <w:szCs w:val="22"/>
          <w14:ligatures w14:val="none"/>
        </w:rPr>
      </w:pPr>
    </w:p>
    <w:p w14:paraId="5F69309C" w14:textId="77777777" w:rsidR="001421AA" w:rsidRPr="001421AA" w:rsidRDefault="001421AA" w:rsidP="001421AA">
      <w:pPr>
        <w:rPr>
          <w:rFonts w:ascii="Times New Roman" w:eastAsia="Times New Roman" w:hAnsi="Times New Roman" w:cs="Times New Roman"/>
          <w:kern w:val="0"/>
          <w14:ligatures w14:val="none"/>
        </w:rPr>
      </w:pPr>
      <w:r w:rsidRPr="001421AA">
        <w:rPr>
          <w:rFonts w:ascii="Arial" w:eastAsia="Times New Roman" w:hAnsi="Arial" w:cs="Arial"/>
          <w:b/>
          <w:bCs/>
          <w:color w:val="000000"/>
          <w:kern w:val="0"/>
          <w:sz w:val="22"/>
          <w:szCs w:val="22"/>
          <w14:ligatures w14:val="none"/>
        </w:rPr>
        <w:t>Ao Sr. representante</w:t>
      </w:r>
    </w:p>
    <w:p w14:paraId="617AC1A9" w14:textId="77777777" w:rsidR="001421AA" w:rsidRPr="001421AA" w:rsidRDefault="001421AA" w:rsidP="001421AA">
      <w:pPr>
        <w:rPr>
          <w:rFonts w:ascii="Times New Roman" w:eastAsia="Times New Roman" w:hAnsi="Times New Roman" w:cs="Times New Roman"/>
          <w:kern w:val="0"/>
          <w14:ligatures w14:val="none"/>
        </w:rPr>
      </w:pPr>
      <w:r w:rsidRPr="001421AA">
        <w:rPr>
          <w:rFonts w:ascii="Arial" w:eastAsia="Times New Roman" w:hAnsi="Arial" w:cs="Arial"/>
          <w:b/>
          <w:bCs/>
          <w:color w:val="000000"/>
          <w:kern w:val="0"/>
          <w:sz w:val="22"/>
          <w:szCs w:val="22"/>
          <w14:ligatures w14:val="none"/>
        </w:rPr>
        <w:t>CLARO S.A.</w:t>
      </w:r>
    </w:p>
    <w:p w14:paraId="3D646D4D" w14:textId="77777777" w:rsidR="001421AA" w:rsidRPr="001421AA" w:rsidRDefault="001421AA" w:rsidP="001421AA">
      <w:pPr>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Setor de ofícios</w:t>
      </w:r>
    </w:p>
    <w:p w14:paraId="50C1F4F2" w14:textId="77777777" w:rsidR="001421AA" w:rsidRPr="001421AA" w:rsidRDefault="001421AA" w:rsidP="001421AA">
      <w:pPr>
        <w:spacing w:after="240"/>
        <w:rPr>
          <w:rFonts w:ascii="Times New Roman" w:eastAsia="Times New Roman" w:hAnsi="Times New Roman" w:cs="Times New Roman"/>
          <w:kern w:val="0"/>
          <w14:ligatures w14:val="none"/>
        </w:rPr>
      </w:pPr>
      <w:r w:rsidRPr="001421AA">
        <w:rPr>
          <w:rFonts w:ascii="Times New Roman" w:eastAsia="Times New Roman" w:hAnsi="Times New Roman" w:cs="Times New Roman"/>
          <w:kern w:val="0"/>
          <w14:ligatures w14:val="none"/>
        </w:rPr>
        <w:br/>
      </w:r>
    </w:p>
    <w:p w14:paraId="3BDEB6D0" w14:textId="77777777" w:rsidR="001421AA" w:rsidRPr="001421AA" w:rsidRDefault="001421AA" w:rsidP="001421AA">
      <w:pPr>
        <w:rPr>
          <w:rFonts w:ascii="Times New Roman" w:eastAsia="Times New Roman" w:hAnsi="Times New Roman" w:cs="Times New Roman"/>
          <w:kern w:val="0"/>
          <w14:ligatures w14:val="none"/>
        </w:rPr>
      </w:pPr>
      <w:r w:rsidRPr="001421AA">
        <w:rPr>
          <w:rFonts w:ascii="Arial" w:eastAsia="Times New Roman" w:hAnsi="Arial" w:cs="Arial"/>
          <w:b/>
          <w:bCs/>
          <w:color w:val="000000"/>
          <w:kern w:val="0"/>
          <w:sz w:val="22"/>
          <w:szCs w:val="22"/>
          <w14:ligatures w14:val="none"/>
        </w:rPr>
        <w:t>Assunto: Requisição de dados cadastrais</w:t>
      </w:r>
    </w:p>
    <w:p w14:paraId="6A182DAA" w14:textId="77777777" w:rsidR="001421AA" w:rsidRPr="001421AA" w:rsidRDefault="001421AA" w:rsidP="001421AA">
      <w:pPr>
        <w:rPr>
          <w:rFonts w:ascii="Times New Roman" w:eastAsia="Times New Roman" w:hAnsi="Times New Roman" w:cs="Times New Roman"/>
          <w:kern w:val="0"/>
          <w14:ligatures w14:val="none"/>
        </w:rPr>
      </w:pPr>
      <w:r w:rsidRPr="001421AA">
        <w:rPr>
          <w:rFonts w:ascii="Arial" w:eastAsia="Times New Roman" w:hAnsi="Arial" w:cs="Arial"/>
          <w:b/>
          <w:bCs/>
          <w:color w:val="000000"/>
          <w:kern w:val="0"/>
          <w:sz w:val="22"/>
          <w:szCs w:val="22"/>
          <w14:ligatures w14:val="none"/>
        </w:rPr>
        <w:t>Ref.: ID nº. 24.2066852 e 24.2097446</w:t>
      </w:r>
    </w:p>
    <w:p w14:paraId="3C9CC65F" w14:textId="77777777" w:rsidR="001421AA" w:rsidRPr="001421AA" w:rsidRDefault="001421AA" w:rsidP="001421AA">
      <w:pPr>
        <w:spacing w:after="240"/>
        <w:rPr>
          <w:rFonts w:ascii="Times New Roman" w:eastAsia="Times New Roman" w:hAnsi="Times New Roman" w:cs="Times New Roman"/>
          <w:kern w:val="0"/>
          <w14:ligatures w14:val="none"/>
        </w:rPr>
      </w:pPr>
      <w:r w:rsidRPr="001421AA">
        <w:rPr>
          <w:rFonts w:ascii="Times New Roman" w:eastAsia="Times New Roman" w:hAnsi="Times New Roman" w:cs="Times New Roman"/>
          <w:kern w:val="0"/>
          <w14:ligatures w14:val="none"/>
        </w:rPr>
        <w:br/>
      </w:r>
    </w:p>
    <w:p w14:paraId="65730EC4"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Prezado Senhor,</w:t>
      </w:r>
    </w:p>
    <w:p w14:paraId="0A0A5065" w14:textId="77777777" w:rsidR="001421AA" w:rsidRPr="001421AA" w:rsidRDefault="001421AA" w:rsidP="001421AA">
      <w:pPr>
        <w:spacing w:line="360" w:lineRule="auto"/>
        <w:rPr>
          <w:rFonts w:ascii="Times New Roman" w:eastAsia="Times New Roman" w:hAnsi="Times New Roman" w:cs="Times New Roman"/>
          <w:kern w:val="0"/>
          <w14:ligatures w14:val="none"/>
        </w:rPr>
      </w:pPr>
    </w:p>
    <w:p w14:paraId="48BAE857" w14:textId="3624EC89"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Por meio dos Ofícios </w:t>
      </w:r>
      <w:proofErr w:type="spellStart"/>
      <w:r>
        <w:rPr>
          <w:rFonts w:ascii="Arial" w:eastAsia="Times New Roman" w:hAnsi="Arial" w:cs="Arial"/>
          <w:b/>
          <w:bCs/>
          <w:color w:val="000000"/>
          <w:kern w:val="0"/>
          <w:sz w:val="22"/>
          <w:szCs w:val="22"/>
          <w:lang w:val="pt-BR"/>
          <w14:ligatures w14:val="none"/>
        </w:rPr>
        <w:t>xxxx</w:t>
      </w:r>
      <w:proofErr w:type="spellEnd"/>
      <w:r w:rsidRPr="001421AA">
        <w:rPr>
          <w:rFonts w:ascii="Arial" w:eastAsia="Times New Roman" w:hAnsi="Arial" w:cs="Arial"/>
          <w:b/>
          <w:bCs/>
          <w:color w:val="000000"/>
          <w:kern w:val="0"/>
          <w:sz w:val="22"/>
          <w:szCs w:val="22"/>
          <w14:ligatures w14:val="none"/>
        </w:rPr>
        <w:t>/202</w:t>
      </w:r>
      <w:r>
        <w:rPr>
          <w:rFonts w:ascii="Arial" w:eastAsia="Times New Roman" w:hAnsi="Arial" w:cs="Arial"/>
          <w:b/>
          <w:bCs/>
          <w:color w:val="000000"/>
          <w:kern w:val="0"/>
          <w:sz w:val="22"/>
          <w:szCs w:val="22"/>
          <w:lang w:val="pt-BR"/>
          <w14:ligatures w14:val="none"/>
        </w:rPr>
        <w:t>5</w:t>
      </w:r>
      <w:r w:rsidRPr="001421AA">
        <w:rPr>
          <w:rFonts w:ascii="Arial" w:eastAsia="Times New Roman" w:hAnsi="Arial" w:cs="Arial"/>
          <w:b/>
          <w:bCs/>
          <w:color w:val="000000"/>
          <w:kern w:val="0"/>
          <w:sz w:val="22"/>
          <w:szCs w:val="22"/>
          <w14:ligatures w14:val="none"/>
        </w:rPr>
        <w:t xml:space="preserve"> (ID </w:t>
      </w:r>
      <w:proofErr w:type="spellStart"/>
      <w:r>
        <w:rPr>
          <w:rFonts w:ascii="Arial" w:eastAsia="Times New Roman" w:hAnsi="Arial" w:cs="Arial"/>
          <w:b/>
          <w:bCs/>
          <w:color w:val="000000"/>
          <w:kern w:val="0"/>
          <w:sz w:val="22"/>
          <w:szCs w:val="22"/>
          <w:lang w:val="pt-BR"/>
          <w14:ligatures w14:val="none"/>
        </w:rPr>
        <w:t>xxxxx</w:t>
      </w:r>
      <w:proofErr w:type="spellEnd"/>
      <w:r w:rsidRPr="001421AA">
        <w:rPr>
          <w:rFonts w:ascii="Arial" w:eastAsia="Times New Roman" w:hAnsi="Arial" w:cs="Arial"/>
          <w:b/>
          <w:bCs/>
          <w:color w:val="000000"/>
          <w:kern w:val="0"/>
          <w:sz w:val="22"/>
          <w:szCs w:val="22"/>
          <w14:ligatures w14:val="none"/>
        </w:rPr>
        <w:t>)</w:t>
      </w:r>
      <w:r w:rsidRPr="001421AA">
        <w:rPr>
          <w:rFonts w:ascii="Arial" w:eastAsia="Times New Roman" w:hAnsi="Arial" w:cs="Arial"/>
          <w:color w:val="000000"/>
          <w:kern w:val="0"/>
          <w:sz w:val="22"/>
          <w:szCs w:val="22"/>
          <w14:ligatures w14:val="none"/>
        </w:rPr>
        <w:t xml:space="preserve"> e </w:t>
      </w:r>
      <w:proofErr w:type="spellStart"/>
      <w:r>
        <w:rPr>
          <w:rFonts w:ascii="Arial" w:eastAsia="Times New Roman" w:hAnsi="Arial" w:cs="Arial"/>
          <w:b/>
          <w:bCs/>
          <w:color w:val="000000"/>
          <w:kern w:val="0"/>
          <w:sz w:val="22"/>
          <w:szCs w:val="22"/>
          <w:lang w:val="pt-BR"/>
          <w14:ligatures w14:val="none"/>
        </w:rPr>
        <w:t>xxxx</w:t>
      </w:r>
      <w:proofErr w:type="spellEnd"/>
      <w:r w:rsidRPr="001421AA">
        <w:rPr>
          <w:rFonts w:ascii="Arial" w:eastAsia="Times New Roman" w:hAnsi="Arial" w:cs="Arial"/>
          <w:b/>
          <w:bCs/>
          <w:color w:val="000000"/>
          <w:kern w:val="0"/>
          <w:sz w:val="22"/>
          <w:szCs w:val="22"/>
          <w14:ligatures w14:val="none"/>
        </w:rPr>
        <w:t>/202</w:t>
      </w:r>
      <w:r>
        <w:rPr>
          <w:rFonts w:ascii="Arial" w:eastAsia="Times New Roman" w:hAnsi="Arial" w:cs="Arial"/>
          <w:b/>
          <w:bCs/>
          <w:color w:val="000000"/>
          <w:kern w:val="0"/>
          <w:sz w:val="22"/>
          <w:szCs w:val="22"/>
          <w:lang w:val="pt-BR"/>
          <w14:ligatures w14:val="none"/>
        </w:rPr>
        <w:t>5</w:t>
      </w:r>
      <w:r w:rsidRPr="001421AA">
        <w:rPr>
          <w:rFonts w:ascii="Arial" w:eastAsia="Times New Roman" w:hAnsi="Arial" w:cs="Arial"/>
          <w:b/>
          <w:bCs/>
          <w:color w:val="000000"/>
          <w:kern w:val="0"/>
          <w:sz w:val="22"/>
          <w:szCs w:val="22"/>
          <w14:ligatures w14:val="none"/>
        </w:rPr>
        <w:t xml:space="preserve"> (ID </w:t>
      </w:r>
      <w:proofErr w:type="spellStart"/>
      <w:r>
        <w:rPr>
          <w:rFonts w:ascii="Arial" w:eastAsia="Times New Roman" w:hAnsi="Arial" w:cs="Arial"/>
          <w:b/>
          <w:bCs/>
          <w:color w:val="000000"/>
          <w:kern w:val="0"/>
          <w:sz w:val="22"/>
          <w:szCs w:val="22"/>
          <w:lang w:val="pt-BR"/>
          <w14:ligatures w14:val="none"/>
        </w:rPr>
        <w:t>xxxxxx</w:t>
      </w:r>
      <w:proofErr w:type="spellEnd"/>
      <w:r w:rsidRPr="001421AA">
        <w:rPr>
          <w:rFonts w:ascii="Arial" w:eastAsia="Times New Roman" w:hAnsi="Arial" w:cs="Arial"/>
          <w:b/>
          <w:bCs/>
          <w:color w:val="000000"/>
          <w:kern w:val="0"/>
          <w:sz w:val="22"/>
          <w:szCs w:val="22"/>
          <w14:ligatures w14:val="none"/>
        </w:rPr>
        <w:t>)</w:t>
      </w:r>
      <w:r w:rsidRPr="001421AA">
        <w:rPr>
          <w:rFonts w:ascii="Arial" w:eastAsia="Times New Roman" w:hAnsi="Arial" w:cs="Arial"/>
          <w:color w:val="000000"/>
          <w:kern w:val="0"/>
          <w:sz w:val="22"/>
          <w:szCs w:val="22"/>
          <w14:ligatures w14:val="none"/>
        </w:rPr>
        <w:t xml:space="preserve">, foram requisitados os dados cadastrais dos usuários que utilizaram determinados IPs nos dias e horários especificados. Em resposta, o provedor de conexão condicionou o fornecimento desses dados ao envio da porta lógica de origem. </w:t>
      </w:r>
      <w:r w:rsidRPr="001421AA">
        <w:rPr>
          <w:rFonts w:ascii="Arial" w:eastAsia="Times New Roman" w:hAnsi="Arial" w:cs="Arial"/>
          <w:b/>
          <w:bCs/>
          <w:color w:val="000000"/>
          <w:kern w:val="0"/>
          <w:sz w:val="22"/>
          <w:szCs w:val="22"/>
          <w14:ligatures w14:val="none"/>
        </w:rPr>
        <w:t>Contudo, foi previamente informado que não seria possível fornecer tal informação, uma vez que a aplicação não coleta nem dispõe desse dado (porta lógica)</w:t>
      </w:r>
      <w:r w:rsidRPr="001421AA">
        <w:rPr>
          <w:rFonts w:ascii="Arial" w:eastAsia="Times New Roman" w:hAnsi="Arial" w:cs="Arial"/>
          <w:color w:val="000000"/>
          <w:kern w:val="0"/>
          <w:sz w:val="22"/>
          <w:szCs w:val="22"/>
          <w14:ligatures w14:val="none"/>
        </w:rPr>
        <w:t>.</w:t>
      </w:r>
      <w:r w:rsidRPr="001421AA">
        <w:rPr>
          <w:rFonts w:ascii="Arial" w:eastAsia="Times New Roman" w:hAnsi="Arial" w:cs="Arial"/>
          <w:b/>
          <w:bCs/>
          <w:color w:val="000000"/>
          <w:kern w:val="0"/>
          <w:sz w:val="22"/>
          <w:szCs w:val="22"/>
          <w14:ligatures w14:val="none"/>
        </w:rPr>
        <w:t> </w:t>
      </w:r>
    </w:p>
    <w:p w14:paraId="45702D8B"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Sabe-se do esgotamento da versão 4 do IP </w:t>
      </w:r>
      <w:r w:rsidRPr="001421AA">
        <w:rPr>
          <w:rFonts w:ascii="Arial" w:eastAsia="Times New Roman" w:hAnsi="Arial" w:cs="Arial"/>
          <w:i/>
          <w:iCs/>
          <w:color w:val="000000"/>
          <w:kern w:val="0"/>
          <w:sz w:val="22"/>
          <w:szCs w:val="22"/>
          <w14:ligatures w14:val="none"/>
        </w:rPr>
        <w:t>(IPv4)</w:t>
      </w:r>
      <w:r w:rsidRPr="001421AA">
        <w:rPr>
          <w:rFonts w:ascii="Arial" w:eastAsia="Times New Roman" w:hAnsi="Arial" w:cs="Arial"/>
          <w:color w:val="000000"/>
          <w:kern w:val="0"/>
          <w:sz w:val="22"/>
          <w:szCs w:val="22"/>
          <w14:ligatures w14:val="none"/>
        </w:rPr>
        <w:t xml:space="preserve"> e que o compartilhamento do IPv4 </w:t>
      </w:r>
      <w:r w:rsidRPr="001421AA">
        <w:rPr>
          <w:rFonts w:ascii="Arial" w:eastAsia="Times New Roman" w:hAnsi="Arial" w:cs="Arial"/>
          <w:i/>
          <w:iCs/>
          <w:color w:val="000000"/>
          <w:kern w:val="0"/>
          <w:sz w:val="22"/>
          <w:szCs w:val="22"/>
          <w14:ligatures w14:val="none"/>
        </w:rPr>
        <w:t>(com a técnica CGNAT - Carrier Grade Network Address Translation)</w:t>
      </w:r>
      <w:r w:rsidRPr="001421AA">
        <w:rPr>
          <w:rFonts w:ascii="Arial" w:eastAsia="Times New Roman" w:hAnsi="Arial" w:cs="Arial"/>
          <w:color w:val="000000"/>
          <w:kern w:val="0"/>
          <w:sz w:val="22"/>
          <w:szCs w:val="22"/>
          <w14:ligatures w14:val="none"/>
        </w:rPr>
        <w:t xml:space="preserve"> deveria ser uma </w:t>
      </w:r>
      <w:r w:rsidRPr="001421AA">
        <w:rPr>
          <w:rFonts w:ascii="Arial" w:eastAsia="Times New Roman" w:hAnsi="Arial" w:cs="Arial"/>
          <w:i/>
          <w:iCs/>
          <w:color w:val="000000"/>
          <w:kern w:val="0"/>
          <w:sz w:val="22"/>
          <w:szCs w:val="22"/>
          <w14:ligatures w14:val="none"/>
        </w:rPr>
        <w:t>solução temporária</w:t>
      </w:r>
      <w:r w:rsidRPr="001421AA">
        <w:rPr>
          <w:rFonts w:ascii="Arial" w:eastAsia="Times New Roman" w:hAnsi="Arial" w:cs="Arial"/>
          <w:color w:val="000000"/>
          <w:kern w:val="0"/>
          <w:sz w:val="22"/>
          <w:szCs w:val="22"/>
          <w14:ligatures w14:val="none"/>
        </w:rPr>
        <w:t xml:space="preserve"> adotada pelos provedores de conexão na migração e implementação do IPv6. </w:t>
      </w:r>
    </w:p>
    <w:p w14:paraId="7B900276"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Entretanto, a citada situação técnica </w:t>
      </w:r>
      <w:r w:rsidRPr="001421AA">
        <w:rPr>
          <w:rFonts w:ascii="Arial" w:eastAsia="Times New Roman" w:hAnsi="Arial" w:cs="Arial"/>
          <w:b/>
          <w:bCs/>
          <w:color w:val="000000"/>
          <w:kern w:val="0"/>
          <w:sz w:val="22"/>
          <w:szCs w:val="22"/>
          <w14:ligatures w14:val="none"/>
        </w:rPr>
        <w:t>NÃO</w:t>
      </w:r>
      <w:r w:rsidRPr="001421AA">
        <w:rPr>
          <w:rFonts w:ascii="Arial" w:eastAsia="Times New Roman" w:hAnsi="Arial" w:cs="Arial"/>
          <w:color w:val="000000"/>
          <w:kern w:val="0"/>
          <w:sz w:val="22"/>
          <w:szCs w:val="22"/>
          <w14:ligatures w14:val="none"/>
        </w:rPr>
        <w:t xml:space="preserve"> pode criar embaraços ao cumprimento da lei, muito menos transmitir sua responsabilidade como provedor de conexão aos provedores de aplicações. Isto porque para cada cliente que inicia protocolos de conexão TCP/IP, independentemente se IPv4 ou IPv6, quem faz a atribuição </w:t>
      </w:r>
      <w:r w:rsidRPr="001421AA">
        <w:rPr>
          <w:rFonts w:ascii="Arial" w:eastAsia="Times New Roman" w:hAnsi="Arial" w:cs="Arial"/>
          <w:i/>
          <w:iCs/>
          <w:color w:val="000000"/>
          <w:kern w:val="0"/>
          <w:sz w:val="22"/>
          <w:szCs w:val="22"/>
          <w14:ligatures w14:val="none"/>
        </w:rPr>
        <w:t>(dentro da sua faixa de IPs disponíveis)</w:t>
      </w:r>
      <w:r w:rsidRPr="001421AA">
        <w:rPr>
          <w:rFonts w:ascii="Arial" w:eastAsia="Times New Roman" w:hAnsi="Arial" w:cs="Arial"/>
          <w:color w:val="000000"/>
          <w:kern w:val="0"/>
          <w:sz w:val="22"/>
          <w:szCs w:val="22"/>
          <w14:ligatures w14:val="none"/>
        </w:rPr>
        <w:t xml:space="preserve"> é o provedor de conexão e não o provedor de aplicações.</w:t>
      </w:r>
    </w:p>
    <w:p w14:paraId="5EBB6852"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Ultimamente, alguns provedores de conexão, de forma irrazoável e ilegal, têm se esquivado de suas obrigações legais quanto ao fornecimento de informações cadastrais e atendimento a outras requisições e solicitações. Para tanto, utilizam como justificativa a alegação </w:t>
      </w:r>
      <w:r w:rsidRPr="001421AA">
        <w:rPr>
          <w:rFonts w:ascii="Arial" w:eastAsia="Times New Roman" w:hAnsi="Arial" w:cs="Arial"/>
          <w:color w:val="000000"/>
          <w:kern w:val="0"/>
          <w:sz w:val="22"/>
          <w:szCs w:val="22"/>
          <w14:ligatures w14:val="none"/>
        </w:rPr>
        <w:lastRenderedPageBreak/>
        <w:t>de que, devido à aplicação da técnica CGNAT (Carrier Grade Network Address Translation), não seria possível identificar o cliente sem a disponibilização da porta lógica atribuída no momento da conexão.</w:t>
      </w:r>
    </w:p>
    <w:p w14:paraId="569DEA94"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Outra argumentação utilizada para se eximirem de prestar as informações legais é a de que o fornecimento da lista de todos os clientes atribuídos a um IPv4 sem a respectiva porta lógica implicaria na </w:t>
      </w:r>
      <w:r w:rsidRPr="001421AA">
        <w:rPr>
          <w:rFonts w:ascii="Arial" w:eastAsia="Times New Roman" w:hAnsi="Arial" w:cs="Arial"/>
          <w:i/>
          <w:iCs/>
          <w:color w:val="000000"/>
          <w:kern w:val="0"/>
          <w:sz w:val="22"/>
          <w:szCs w:val="22"/>
          <w14:ligatures w14:val="none"/>
        </w:rPr>
        <w:t>“quebra indevida de sigilo”</w:t>
      </w:r>
      <w:r w:rsidRPr="001421AA">
        <w:rPr>
          <w:rFonts w:ascii="Arial" w:eastAsia="Times New Roman" w:hAnsi="Arial" w:cs="Arial"/>
          <w:color w:val="000000"/>
          <w:kern w:val="0"/>
          <w:sz w:val="22"/>
          <w:szCs w:val="22"/>
          <w14:ligatures w14:val="none"/>
        </w:rPr>
        <w:t xml:space="preserve"> de clientes não abrangidos pela investigação.</w:t>
      </w:r>
    </w:p>
    <w:p w14:paraId="033D12FA" w14:textId="77777777" w:rsidR="001421AA" w:rsidRPr="001421AA" w:rsidRDefault="001421AA" w:rsidP="001421AA">
      <w:pPr>
        <w:spacing w:line="360" w:lineRule="auto"/>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Pois bem, não obstante o fato da obrigatoriedade do provedor de conexão em fornecer a informação requisitada, não se pode permitir que o provedor de conexão se arvore na qualidade de Autoridade Policial, a fim de adentrar nas minúcias e pormenores investigativos.</w:t>
      </w:r>
    </w:p>
    <w:p w14:paraId="590DA0D0" w14:textId="77777777" w:rsidR="001421AA" w:rsidRPr="001421AA" w:rsidRDefault="001421AA" w:rsidP="001421AA">
      <w:pPr>
        <w:spacing w:line="360" w:lineRule="auto"/>
        <w:ind w:firstLine="850"/>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A uma, porque quem define qual pessoa está relacionada ou não com determinada investigação criminal, é a Autoridade Policial.  A duas, porque ao receber uma requisição legal de autoridade competente, não há que se falar em </w:t>
      </w:r>
      <w:r w:rsidRPr="001421AA">
        <w:rPr>
          <w:rFonts w:ascii="Arial" w:eastAsia="Times New Roman" w:hAnsi="Arial" w:cs="Arial"/>
          <w:i/>
          <w:iCs/>
          <w:color w:val="000000"/>
          <w:kern w:val="0"/>
          <w:sz w:val="22"/>
          <w:szCs w:val="22"/>
          <w14:ligatures w14:val="none"/>
        </w:rPr>
        <w:t>“quebra indevida de sigilo”</w:t>
      </w:r>
      <w:r w:rsidRPr="001421AA">
        <w:rPr>
          <w:rFonts w:ascii="Arial" w:eastAsia="Times New Roman" w:hAnsi="Arial" w:cs="Arial"/>
          <w:color w:val="000000"/>
          <w:kern w:val="0"/>
          <w:sz w:val="22"/>
          <w:szCs w:val="22"/>
          <w14:ligatures w14:val="none"/>
        </w:rPr>
        <w:t>, seja por não estar a requisição abarcada por cláusula de reserva de jurisdição, seja porque em eventual abuso na utilização das informações, quem estará incidindo em crime será a autoridade requisitante.</w:t>
      </w:r>
    </w:p>
    <w:p w14:paraId="7ADF3AE8" w14:textId="77777777" w:rsidR="001421AA" w:rsidRPr="001421AA" w:rsidRDefault="001421AA" w:rsidP="001421AA">
      <w:pPr>
        <w:spacing w:line="360" w:lineRule="auto"/>
        <w:ind w:firstLine="850"/>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Destaca-se, ainda, que o Marco Civil da Internet </w:t>
      </w:r>
      <w:r w:rsidRPr="001421AA">
        <w:rPr>
          <w:rFonts w:ascii="Arial" w:eastAsia="Times New Roman" w:hAnsi="Arial" w:cs="Arial"/>
          <w:i/>
          <w:iCs/>
          <w:color w:val="000000"/>
          <w:kern w:val="0"/>
          <w:sz w:val="22"/>
          <w:szCs w:val="22"/>
          <w14:ligatures w14:val="none"/>
        </w:rPr>
        <w:t xml:space="preserve">(Lei 12.965/2014) </w:t>
      </w:r>
      <w:r w:rsidRPr="001421AA">
        <w:rPr>
          <w:rFonts w:ascii="Arial" w:eastAsia="Times New Roman" w:hAnsi="Arial" w:cs="Arial"/>
          <w:color w:val="000000"/>
          <w:kern w:val="0"/>
          <w:sz w:val="22"/>
          <w:szCs w:val="22"/>
          <w14:ligatures w14:val="none"/>
        </w:rPr>
        <w:t xml:space="preserve">não traz de forma expressa a obrigação da guarda e fornecimento da porta lógica de origem pelos provedores de aplicação. Contudo, criou-se um impasse: a impossibilidade técnica de individualizar um </w:t>
      </w:r>
      <w:r w:rsidRPr="001421AA">
        <w:rPr>
          <w:rFonts w:ascii="Arial" w:eastAsia="Times New Roman" w:hAnsi="Arial" w:cs="Arial"/>
          <w:i/>
          <w:iCs/>
          <w:color w:val="000000"/>
          <w:kern w:val="0"/>
          <w:sz w:val="22"/>
          <w:szCs w:val="22"/>
          <w14:ligatures w14:val="none"/>
        </w:rPr>
        <w:t>“IP + Porta Lógica”</w:t>
      </w:r>
      <w:r w:rsidRPr="001421AA">
        <w:rPr>
          <w:rFonts w:ascii="Arial" w:eastAsia="Times New Roman" w:hAnsi="Arial" w:cs="Arial"/>
          <w:color w:val="000000"/>
          <w:kern w:val="0"/>
          <w:sz w:val="22"/>
          <w:szCs w:val="22"/>
          <w14:ligatures w14:val="none"/>
        </w:rPr>
        <w:t xml:space="preserve"> ante a obrigatoriedade de fornecimento dos dados cadastrais quando requisitados pela Autoridade Policial.</w:t>
      </w:r>
    </w:p>
    <w:p w14:paraId="60E3C3F9" w14:textId="77777777" w:rsidR="001421AA" w:rsidRPr="001421AA" w:rsidRDefault="001421AA" w:rsidP="001421AA">
      <w:pPr>
        <w:spacing w:line="360" w:lineRule="auto"/>
        <w:ind w:firstLine="850"/>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A respeito, determina o Marco Civil da Internet </w:t>
      </w:r>
      <w:r w:rsidRPr="001421AA">
        <w:rPr>
          <w:rFonts w:ascii="Arial" w:eastAsia="Times New Roman" w:hAnsi="Arial" w:cs="Arial"/>
          <w:i/>
          <w:iCs/>
          <w:color w:val="000000"/>
          <w:kern w:val="0"/>
          <w:sz w:val="22"/>
          <w:szCs w:val="22"/>
          <w14:ligatures w14:val="none"/>
        </w:rPr>
        <w:t>(art. 10, § 3º)</w:t>
      </w:r>
      <w:r w:rsidRPr="001421AA">
        <w:rPr>
          <w:rFonts w:ascii="Arial" w:eastAsia="Times New Roman" w:hAnsi="Arial" w:cs="Arial"/>
          <w:color w:val="000000"/>
          <w:kern w:val="0"/>
          <w:sz w:val="22"/>
          <w:szCs w:val="22"/>
          <w14:ligatures w14:val="none"/>
        </w:rPr>
        <w:t xml:space="preserve"> o fornecimento de dados cadastrais quando requisitado pela Autoridade Policial. </w:t>
      </w:r>
      <w:r w:rsidRPr="001421AA">
        <w:rPr>
          <w:rFonts w:ascii="Arial" w:eastAsia="Times New Roman" w:hAnsi="Arial" w:cs="Arial"/>
          <w:b/>
          <w:bCs/>
          <w:color w:val="000000"/>
          <w:kern w:val="0"/>
          <w:sz w:val="22"/>
          <w:szCs w:val="22"/>
          <w14:ligatures w14:val="none"/>
        </w:rPr>
        <w:t>Não havendo qualquer restrição ou limitação ao número de dados cadastrais requisitados</w:t>
      </w:r>
      <w:r w:rsidRPr="001421AA">
        <w:rPr>
          <w:rFonts w:ascii="Arial" w:eastAsia="Times New Roman" w:hAnsi="Arial" w:cs="Arial"/>
          <w:color w:val="000000"/>
          <w:kern w:val="0"/>
          <w:sz w:val="22"/>
          <w:szCs w:val="22"/>
          <w14:ligatures w14:val="none"/>
        </w:rPr>
        <w:t>, devendo portanto, este provedor, fornecer os dados requisitados independentemente da identificação de porta lógica.</w:t>
      </w:r>
    </w:p>
    <w:p w14:paraId="1CE224AA" w14:textId="77777777" w:rsidR="001421AA" w:rsidRPr="001421AA" w:rsidRDefault="001421AA" w:rsidP="001421AA">
      <w:pPr>
        <w:spacing w:line="360" w:lineRule="auto"/>
        <w:ind w:firstLine="850"/>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A propósito, não há que se falar também que o fornecimento dos dados cadastrais viola a intimidade e privacidade dos usuários. O acesso pelo Estado-Investigação aos dados cadastrais não torna o dado público e não lhe retira o segredo.</w:t>
      </w:r>
    </w:p>
    <w:p w14:paraId="2AA5553E" w14:textId="77777777" w:rsidR="001421AA" w:rsidRDefault="001421AA" w:rsidP="001421AA">
      <w:pPr>
        <w:spacing w:line="360" w:lineRule="auto"/>
        <w:ind w:firstLine="850"/>
        <w:jc w:val="both"/>
        <w:rPr>
          <w:rFonts w:ascii="Arial" w:eastAsia="Times New Roman" w:hAnsi="Arial" w:cs="Arial"/>
          <w:color w:val="000000"/>
          <w:kern w:val="0"/>
          <w:sz w:val="22"/>
          <w:szCs w:val="22"/>
          <w14:ligatures w14:val="none"/>
        </w:rPr>
      </w:pPr>
      <w:r w:rsidRPr="001421AA">
        <w:rPr>
          <w:rFonts w:ascii="Arial" w:eastAsia="Times New Roman" w:hAnsi="Arial" w:cs="Arial"/>
          <w:color w:val="000000"/>
          <w:kern w:val="0"/>
          <w:sz w:val="22"/>
          <w:szCs w:val="22"/>
          <w14:ligatures w14:val="none"/>
        </w:rPr>
        <w:t>Esse é o recente entendimento do Supremo Tribunal Federal e também do do Superior Tribunal de Justiça: </w:t>
      </w:r>
    </w:p>
    <w:tbl>
      <w:tblPr>
        <w:tblW w:w="0" w:type="auto"/>
        <w:tblCellMar>
          <w:top w:w="15" w:type="dxa"/>
          <w:left w:w="15" w:type="dxa"/>
          <w:bottom w:w="15" w:type="dxa"/>
          <w:right w:w="15" w:type="dxa"/>
        </w:tblCellMar>
        <w:tblLook w:val="04A0" w:firstRow="1" w:lastRow="0" w:firstColumn="1" w:lastColumn="0" w:noHBand="0" w:noVBand="1"/>
      </w:tblPr>
      <w:tblGrid>
        <w:gridCol w:w="1980"/>
        <w:gridCol w:w="7370"/>
      </w:tblGrid>
      <w:tr w:rsidR="001421AA" w:rsidRPr="001421AA" w14:paraId="0472663A" w14:textId="77777777" w:rsidTr="001421AA">
        <w:trPr>
          <w:trHeight w:val="1602"/>
        </w:trPr>
        <w:tc>
          <w:tcPr>
            <w:tcW w:w="1980" w:type="dxa"/>
            <w:shd w:val="clear" w:color="auto" w:fill="B9B9B9"/>
            <w:tcMar>
              <w:top w:w="100" w:type="dxa"/>
              <w:left w:w="100" w:type="dxa"/>
              <w:bottom w:w="100" w:type="dxa"/>
              <w:right w:w="100" w:type="dxa"/>
            </w:tcMar>
            <w:vAlign w:val="center"/>
            <w:hideMark/>
          </w:tcPr>
          <w:p w14:paraId="7FCAE1FC" w14:textId="77777777" w:rsidR="001421AA" w:rsidRPr="001421AA" w:rsidRDefault="001421AA" w:rsidP="00C33005">
            <w:pPr>
              <w:jc w:val="center"/>
              <w:rPr>
                <w:rFonts w:ascii="Arial" w:eastAsia="Times New Roman" w:hAnsi="Arial" w:cs="Arial"/>
                <w:noProof/>
                <w:color w:val="000000"/>
                <w:kern w:val="0"/>
                <w:sz w:val="22"/>
                <w:szCs w:val="22"/>
                <w14:ligatures w14:val="none"/>
              </w:rPr>
            </w:pPr>
            <w:r w:rsidRPr="001421AA">
              <w:rPr>
                <w:rFonts w:ascii="Arial" w:eastAsia="Times New Roman" w:hAnsi="Arial" w:cs="Arial"/>
                <w:noProof/>
                <w:color w:val="000000"/>
                <w:kern w:val="0"/>
                <w:sz w:val="22"/>
                <w:szCs w:val="22"/>
                <w14:ligatures w14:val="none"/>
              </w:rPr>
              <w:drawing>
                <wp:inline distT="0" distB="0" distL="0" distR="0" wp14:anchorId="33C86715" wp14:editId="2A276A52">
                  <wp:extent cx="914400" cy="262255"/>
                  <wp:effectExtent l="0" t="0" r="0" b="4445"/>
                  <wp:docPr id="492020858"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4558" name="Picture 2" descr="A black and white logo&#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14400" cy="262255"/>
                          </a:xfrm>
                          <a:prstGeom prst="rect">
                            <a:avLst/>
                          </a:prstGeom>
                          <a:noFill/>
                          <a:ln>
                            <a:noFill/>
                          </a:ln>
                        </pic:spPr>
                      </pic:pic>
                    </a:graphicData>
                  </a:graphic>
                </wp:inline>
              </w:drawing>
            </w:r>
          </w:p>
        </w:tc>
        <w:tc>
          <w:tcPr>
            <w:tcW w:w="7370" w:type="dxa"/>
            <w:tcMar>
              <w:top w:w="100" w:type="dxa"/>
              <w:left w:w="100" w:type="dxa"/>
              <w:bottom w:w="100" w:type="dxa"/>
              <w:right w:w="100" w:type="dxa"/>
            </w:tcMar>
            <w:vAlign w:val="center"/>
            <w:hideMark/>
          </w:tcPr>
          <w:p w14:paraId="254C8AB7" w14:textId="77777777" w:rsidR="001421AA" w:rsidRPr="001421AA" w:rsidRDefault="001421AA" w:rsidP="00C33005">
            <w:pPr>
              <w:jc w:val="both"/>
              <w:rPr>
                <w:rFonts w:ascii="Segoe UI" w:eastAsia="Times New Roman" w:hAnsi="Segoe UI" w:cs="Segoe UI"/>
                <w:color w:val="000000"/>
                <w:kern w:val="0"/>
                <w:sz w:val="21"/>
                <w:szCs w:val="21"/>
                <w14:ligatures w14:val="none"/>
              </w:rPr>
            </w:pPr>
            <w:r w:rsidRPr="001421AA">
              <w:rPr>
                <w:rFonts w:ascii="Segoe UI" w:eastAsia="Times New Roman" w:hAnsi="Segoe UI" w:cs="Segoe UI"/>
                <w:color w:val="000000"/>
                <w:kern w:val="0"/>
                <w:sz w:val="21"/>
                <w:szCs w:val="21"/>
                <w14:ligatures w14:val="none"/>
              </w:rPr>
              <w:t>É constitucional norma que permite o acesso, por autoridades policiais e pelo Ministério Público, a dados cadastrais de pessoas investigadas independentemente de autorização judicial, excluído do âmbito de incidência da norma a possibilidade de requisição de qualquer outro dado cadastral além daqueles referentes à qualificação pessoal, filiação e endereço (art. 5º, X e LXXIX, da CF) (ADI 4906, Plenário, 11.9.2024)</w:t>
            </w:r>
          </w:p>
        </w:tc>
      </w:tr>
      <w:tr w:rsidR="001421AA" w:rsidRPr="001421AA" w14:paraId="28DEBE5F" w14:textId="77777777" w:rsidTr="001421AA">
        <w:trPr>
          <w:trHeight w:val="1602"/>
        </w:trPr>
        <w:tc>
          <w:tcPr>
            <w:tcW w:w="1980" w:type="dxa"/>
            <w:shd w:val="clear" w:color="auto" w:fill="B9B9B9"/>
            <w:tcMar>
              <w:top w:w="100" w:type="dxa"/>
              <w:left w:w="100" w:type="dxa"/>
              <w:bottom w:w="100" w:type="dxa"/>
              <w:right w:w="100" w:type="dxa"/>
            </w:tcMar>
            <w:vAlign w:val="center"/>
          </w:tcPr>
          <w:p w14:paraId="4B757B46" w14:textId="0EF3F6D7" w:rsidR="001421AA" w:rsidRPr="001421AA" w:rsidRDefault="001421AA" w:rsidP="001421AA">
            <w:pPr>
              <w:jc w:val="center"/>
              <w:rPr>
                <w:rFonts w:ascii="Arial" w:eastAsia="Times New Roman" w:hAnsi="Arial" w:cs="Arial"/>
                <w:noProof/>
                <w:color w:val="000000"/>
                <w:kern w:val="0"/>
                <w:sz w:val="22"/>
                <w:szCs w:val="22"/>
                <w14:ligatures w14:val="none"/>
              </w:rPr>
            </w:pPr>
            <w:r>
              <w:lastRenderedPageBreak/>
              <w:fldChar w:fldCharType="begin"/>
            </w:r>
            <w:r>
              <w:instrText xml:space="preserve"> INCLUDEPICTURE "https://encrypted-tbn0.gstatic.com/images?q=tbn:ANd9GcTpoweBL1M8kSNP-RNPwtfD5IK3vUOSkIZd1g&amp;s" \* MERGEFORMATINET </w:instrText>
            </w:r>
            <w:r>
              <w:fldChar w:fldCharType="separate"/>
            </w:r>
            <w:r>
              <w:rPr>
                <w:noProof/>
              </w:rPr>
              <w:drawing>
                <wp:inline distT="0" distB="0" distL="0" distR="0" wp14:anchorId="694F045B" wp14:editId="7278B0D7">
                  <wp:extent cx="812800" cy="352408"/>
                  <wp:effectExtent l="0" t="0" r="0" b="3810"/>
                  <wp:docPr id="1228614455" name="Picture 4" descr="Início - Carta de Serviços do ST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ício - Carta de Serviços do STJ"/>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33469" cy="361370"/>
                          </a:xfrm>
                          <a:prstGeom prst="rect">
                            <a:avLst/>
                          </a:prstGeom>
                          <a:noFill/>
                          <a:ln>
                            <a:noFill/>
                          </a:ln>
                        </pic:spPr>
                      </pic:pic>
                    </a:graphicData>
                  </a:graphic>
                </wp:inline>
              </w:drawing>
            </w:r>
            <w:r>
              <w:fldChar w:fldCharType="end"/>
            </w:r>
          </w:p>
        </w:tc>
        <w:tc>
          <w:tcPr>
            <w:tcW w:w="7370" w:type="dxa"/>
            <w:tcMar>
              <w:top w:w="100" w:type="dxa"/>
              <w:left w:w="100" w:type="dxa"/>
              <w:bottom w:w="100" w:type="dxa"/>
              <w:right w:w="100" w:type="dxa"/>
            </w:tcMar>
            <w:vAlign w:val="center"/>
          </w:tcPr>
          <w:p w14:paraId="750701D8" w14:textId="22D5A106" w:rsidR="001421AA" w:rsidRPr="001421AA" w:rsidRDefault="001421AA" w:rsidP="001421AA">
            <w:pPr>
              <w:jc w:val="both"/>
              <w:rPr>
                <w:rFonts w:ascii="Segoe UI" w:eastAsia="Times New Roman" w:hAnsi="Segoe UI" w:cs="Segoe UI"/>
                <w:color w:val="000000"/>
                <w:kern w:val="0"/>
                <w:sz w:val="21"/>
                <w:szCs w:val="21"/>
                <w14:ligatures w14:val="none"/>
              </w:rPr>
            </w:pPr>
            <w:r w:rsidRPr="001421AA">
              <w:rPr>
                <w:rFonts w:ascii="Segoe UI" w:eastAsia="Times New Roman" w:hAnsi="Segoe UI" w:cs="Segoe UI"/>
                <w:color w:val="000000"/>
                <w:kern w:val="0"/>
                <w:sz w:val="21"/>
                <w:szCs w:val="21"/>
                <w14:ligatures w14:val="none"/>
              </w:rPr>
              <w:t>7) Os dados cadastrais armazenados nos bancos de dados dos provedores possuem caráter objetivo, assim o acesso direto pelos órgãos de investigação, sem prévia autorização judicial, não viola a garantia constitucional de proteção à intimidade, à vida privada, à honra e à imagem. (Edição nº 223 da "Jurisprudência em Teses")</w:t>
            </w:r>
          </w:p>
        </w:tc>
      </w:tr>
    </w:tbl>
    <w:p w14:paraId="3DBE5434" w14:textId="77777777" w:rsidR="001421AA" w:rsidRPr="001421AA" w:rsidRDefault="001421AA" w:rsidP="001421AA">
      <w:pPr>
        <w:rPr>
          <w:rFonts w:ascii="Times New Roman" w:eastAsia="Times New Roman" w:hAnsi="Times New Roman" w:cs="Times New Roman"/>
          <w:kern w:val="0"/>
          <w14:ligatures w14:val="none"/>
        </w:rPr>
      </w:pPr>
    </w:p>
    <w:p w14:paraId="09C3172F" w14:textId="4A070A13" w:rsidR="001421AA" w:rsidRPr="001421AA" w:rsidRDefault="001421AA" w:rsidP="001421AA">
      <w:pPr>
        <w:spacing w:line="360" w:lineRule="auto"/>
        <w:ind w:firstLine="851"/>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Portanto, as informações cadastrais que o Delegado de Polícia visa não atingem a privacidade do(s) usuário(s) a ponto de se negar a medida, pois o que se pretende, no caso concreto, de forma exclusiva, é a identificação do possível autor. </w:t>
      </w:r>
    </w:p>
    <w:p w14:paraId="1C5D11E9" w14:textId="77777777" w:rsidR="001421AA" w:rsidRPr="001421AA" w:rsidRDefault="001421AA" w:rsidP="001421AA">
      <w:pPr>
        <w:spacing w:line="360" w:lineRule="auto"/>
        <w:ind w:firstLine="851"/>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Repisa-se, esta Autoridade Policial tem ciência que diversos usuários compartilham o mesmo protocolo de internet e, portanto, irá adotar os métodos e técnicas investigativas necessárias e aptas à individualização do investigado, ficando isento o provedor de eventual responsabilização pela utilização das informações requisitadas. </w:t>
      </w:r>
      <w:r w:rsidRPr="001421AA">
        <w:rPr>
          <w:rFonts w:ascii="Arial" w:eastAsia="Times New Roman" w:hAnsi="Arial" w:cs="Arial"/>
          <w:b/>
          <w:bCs/>
          <w:color w:val="000000"/>
          <w:kern w:val="0"/>
          <w:sz w:val="22"/>
          <w:szCs w:val="22"/>
          <w14:ligatures w14:val="none"/>
        </w:rPr>
        <w:t>Aliás, nesse caso, todos os acessos foram efetuados pelo mesmo alvo, o que facilitará eventual análise. </w:t>
      </w:r>
    </w:p>
    <w:p w14:paraId="3984D516" w14:textId="77777777" w:rsidR="001421AA" w:rsidRPr="001421AA" w:rsidRDefault="001421AA" w:rsidP="001421AA">
      <w:pPr>
        <w:spacing w:line="360" w:lineRule="auto"/>
        <w:ind w:firstLine="851"/>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 xml:space="preserve">Sendo assim, ciente de vossa colaboração, como sempre tem ocorrido, esclarece-se que </w:t>
      </w:r>
      <w:r w:rsidRPr="001421AA">
        <w:rPr>
          <w:rFonts w:ascii="Arial" w:eastAsia="Times New Roman" w:hAnsi="Arial" w:cs="Arial"/>
          <w:i/>
          <w:iCs/>
          <w:color w:val="000000"/>
          <w:kern w:val="0"/>
          <w:sz w:val="22"/>
          <w:szCs w:val="22"/>
          <w14:ligatures w14:val="none"/>
        </w:rPr>
        <w:t>o não atendimento de pleitos desta natureza, além de ser irrazoável técnica e legalmente, acabará por auxiliar na perpetuação de práticas criminosas por meio da rede mundial de computadores</w:t>
      </w:r>
      <w:r w:rsidRPr="001421AA">
        <w:rPr>
          <w:rFonts w:ascii="Arial" w:eastAsia="Times New Roman" w:hAnsi="Arial" w:cs="Arial"/>
          <w:color w:val="000000"/>
          <w:kern w:val="0"/>
          <w:sz w:val="22"/>
          <w:szCs w:val="22"/>
          <w14:ligatures w14:val="none"/>
        </w:rPr>
        <w:t>.</w:t>
      </w:r>
    </w:p>
    <w:p w14:paraId="37EF84BC" w14:textId="77777777" w:rsidR="001421AA" w:rsidRDefault="001421AA" w:rsidP="001421AA">
      <w:pPr>
        <w:spacing w:line="360" w:lineRule="auto"/>
        <w:ind w:firstLine="851"/>
        <w:jc w:val="both"/>
        <w:rPr>
          <w:rFonts w:ascii="Arial" w:eastAsia="Times New Roman" w:hAnsi="Arial" w:cs="Arial"/>
          <w:color w:val="000000"/>
          <w:kern w:val="0"/>
          <w:sz w:val="22"/>
          <w:szCs w:val="22"/>
          <w14:ligatures w14:val="none"/>
        </w:rPr>
      </w:pPr>
      <w:r w:rsidRPr="001421AA">
        <w:rPr>
          <w:rFonts w:ascii="Arial" w:eastAsia="Times New Roman" w:hAnsi="Arial" w:cs="Arial"/>
          <w:color w:val="000000"/>
          <w:kern w:val="0"/>
          <w:sz w:val="22"/>
          <w:szCs w:val="22"/>
          <w14:ligatures w14:val="none"/>
        </w:rPr>
        <w:t xml:space="preserve">Desse modo, </w:t>
      </w:r>
      <w:r w:rsidRPr="001421AA">
        <w:rPr>
          <w:rFonts w:ascii="Arial" w:eastAsia="Times New Roman" w:hAnsi="Arial" w:cs="Arial"/>
          <w:b/>
          <w:bCs/>
          <w:color w:val="000000"/>
          <w:kern w:val="0"/>
          <w:sz w:val="22"/>
          <w:szCs w:val="22"/>
          <w14:ligatures w14:val="none"/>
        </w:rPr>
        <w:t>reitera-se, pela segunda vez,</w:t>
      </w:r>
      <w:r w:rsidRPr="001421AA">
        <w:rPr>
          <w:rFonts w:ascii="Arial" w:eastAsia="Times New Roman" w:hAnsi="Arial" w:cs="Arial"/>
          <w:color w:val="000000"/>
          <w:kern w:val="0"/>
          <w:sz w:val="22"/>
          <w:szCs w:val="22"/>
          <w14:ligatures w14:val="none"/>
        </w:rPr>
        <w:t xml:space="preserve"> a requisição do fornecimento dos dados cadastrais de todos os usuários que utilizaram os IPs </w:t>
      </w:r>
      <w:r w:rsidRPr="001421AA">
        <w:rPr>
          <w:rFonts w:ascii="Arial" w:eastAsia="Times New Roman" w:hAnsi="Arial" w:cs="Arial"/>
          <w:i/>
          <w:iCs/>
          <w:color w:val="000000"/>
          <w:kern w:val="0"/>
          <w:sz w:val="22"/>
          <w:szCs w:val="22"/>
          <w14:ligatures w14:val="none"/>
        </w:rPr>
        <w:t>(Internet Protocol)</w:t>
      </w:r>
      <w:r w:rsidRPr="001421AA">
        <w:rPr>
          <w:rFonts w:ascii="Arial" w:eastAsia="Times New Roman" w:hAnsi="Arial" w:cs="Arial"/>
          <w:color w:val="000000"/>
          <w:kern w:val="0"/>
          <w:sz w:val="22"/>
          <w:szCs w:val="22"/>
          <w14:ligatures w14:val="none"/>
        </w:rPr>
        <w:t xml:space="preserve"> nos dias e horários indicados tabela a seguir. O prazo para o atendimento desta solicitação é de, no </w:t>
      </w:r>
      <w:r w:rsidRPr="001421AA">
        <w:rPr>
          <w:rFonts w:ascii="Arial" w:eastAsia="Times New Roman" w:hAnsi="Arial" w:cs="Arial"/>
          <w:b/>
          <w:bCs/>
          <w:color w:val="000000"/>
          <w:kern w:val="0"/>
          <w:sz w:val="22"/>
          <w:szCs w:val="22"/>
          <w14:ligatures w14:val="none"/>
        </w:rPr>
        <w:t>máximo, 5 (cinco) dias</w:t>
      </w:r>
      <w:r w:rsidRPr="001421AA">
        <w:rPr>
          <w:rFonts w:ascii="Arial" w:eastAsia="Times New Roman" w:hAnsi="Arial" w:cs="Arial"/>
          <w:color w:val="000000"/>
          <w:kern w:val="0"/>
          <w:sz w:val="22"/>
          <w:szCs w:val="22"/>
          <w14:ligatures w14:val="none"/>
        </w:rPr>
        <w:t>, sob pena de configuração do crime de desobediência, previsto no art. 330 do Código Penal.</w:t>
      </w:r>
    </w:p>
    <w:p w14:paraId="0802CB06" w14:textId="77777777" w:rsidR="001421AA" w:rsidRPr="001421AA" w:rsidRDefault="001421AA" w:rsidP="001421AA">
      <w:pPr>
        <w:spacing w:line="360" w:lineRule="auto"/>
        <w:ind w:firstLine="851"/>
        <w:jc w:val="both"/>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088"/>
        <w:gridCol w:w="3431"/>
      </w:tblGrid>
      <w:tr w:rsidR="001421AA" w:rsidRPr="001421AA" w14:paraId="50678028" w14:textId="77777777" w:rsidTr="001421AA">
        <w:trPr>
          <w:trHeight w:val="410"/>
          <w:jc w:val="center"/>
        </w:trPr>
        <w:tc>
          <w:tcPr>
            <w:tcW w:w="0" w:type="auto"/>
            <w:tcBorders>
              <w:top w:val="single" w:sz="8" w:space="0" w:color="999999"/>
              <w:left w:val="single" w:sz="8" w:space="0" w:color="999999"/>
              <w:bottom w:val="single" w:sz="6" w:space="0" w:color="999999"/>
              <w:right w:val="single" w:sz="8" w:space="0" w:color="999999"/>
            </w:tcBorders>
            <w:shd w:val="clear" w:color="auto" w:fill="F3F3F3"/>
            <w:tcMar>
              <w:top w:w="62" w:type="dxa"/>
              <w:left w:w="62" w:type="dxa"/>
              <w:bottom w:w="62" w:type="dxa"/>
              <w:right w:w="62" w:type="dxa"/>
            </w:tcMar>
            <w:hideMark/>
          </w:tcPr>
          <w:p w14:paraId="7AC3EEAB" w14:textId="77777777" w:rsidR="001421AA" w:rsidRPr="001421AA" w:rsidRDefault="001421AA" w:rsidP="001421AA">
            <w:pPr>
              <w:jc w:val="center"/>
              <w:rPr>
                <w:rFonts w:ascii="Times New Roman" w:eastAsia="Times New Roman" w:hAnsi="Times New Roman" w:cs="Times New Roman"/>
                <w:kern w:val="0"/>
                <w14:ligatures w14:val="none"/>
              </w:rPr>
            </w:pPr>
            <w:r w:rsidRPr="001421AA">
              <w:rPr>
                <w:rFonts w:ascii="Open Sans" w:eastAsia="Times New Roman" w:hAnsi="Open Sans" w:cs="Open Sans"/>
                <w:b/>
                <w:bCs/>
                <w:color w:val="000000"/>
                <w:kern w:val="0"/>
                <w:sz w:val="18"/>
                <w:szCs w:val="18"/>
                <w14:ligatures w14:val="none"/>
              </w:rPr>
              <w:t>Data / Hora (GMT-3)</w:t>
            </w:r>
          </w:p>
        </w:tc>
        <w:tc>
          <w:tcPr>
            <w:tcW w:w="3431" w:type="dxa"/>
            <w:tcBorders>
              <w:top w:val="single" w:sz="8" w:space="0" w:color="999999"/>
              <w:left w:val="single" w:sz="8" w:space="0" w:color="999999"/>
              <w:bottom w:val="single" w:sz="6" w:space="0" w:color="999999"/>
              <w:right w:val="single" w:sz="8" w:space="0" w:color="999999"/>
            </w:tcBorders>
            <w:shd w:val="clear" w:color="auto" w:fill="F3F3F3"/>
            <w:tcMar>
              <w:top w:w="62" w:type="dxa"/>
              <w:left w:w="62" w:type="dxa"/>
              <w:bottom w:w="62" w:type="dxa"/>
              <w:right w:w="62" w:type="dxa"/>
            </w:tcMar>
            <w:hideMark/>
          </w:tcPr>
          <w:p w14:paraId="49A8162C" w14:textId="373D6BE6" w:rsidR="001421AA" w:rsidRPr="001421AA" w:rsidRDefault="001421AA" w:rsidP="001421AA">
            <w:pPr>
              <w:jc w:val="center"/>
              <w:rPr>
                <w:rFonts w:ascii="Times New Roman" w:eastAsia="Times New Roman" w:hAnsi="Times New Roman" w:cs="Times New Roman"/>
                <w:kern w:val="0"/>
                <w:lang w:val="pt-BR"/>
                <w14:ligatures w14:val="none"/>
              </w:rPr>
            </w:pPr>
            <w:r w:rsidRPr="001421AA">
              <w:rPr>
                <w:rFonts w:ascii="Open Sans" w:eastAsia="Times New Roman" w:hAnsi="Open Sans" w:cs="Open Sans"/>
                <w:b/>
                <w:bCs/>
                <w:color w:val="000000"/>
                <w:kern w:val="0"/>
                <w:sz w:val="18"/>
                <w:szCs w:val="18"/>
                <w14:ligatures w14:val="none"/>
              </w:rPr>
              <w:t xml:space="preserve">Endereço de IP </w:t>
            </w:r>
            <w:r>
              <w:rPr>
                <w:rFonts w:ascii="Open Sans" w:eastAsia="Times New Roman" w:hAnsi="Open Sans" w:cs="Open Sans"/>
                <w:b/>
                <w:bCs/>
                <w:color w:val="000000"/>
                <w:kern w:val="0"/>
                <w:sz w:val="18"/>
                <w:szCs w:val="18"/>
                <w:lang w:val="pt-BR"/>
                <w14:ligatures w14:val="none"/>
              </w:rPr>
              <w:t xml:space="preserve"> </w:t>
            </w:r>
          </w:p>
        </w:tc>
      </w:tr>
      <w:tr w:rsidR="001421AA" w:rsidRPr="001421AA" w14:paraId="15748EED" w14:textId="77777777" w:rsidTr="001421AA">
        <w:trPr>
          <w:trHeight w:val="200"/>
          <w:jc w:val="center"/>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bottom"/>
            <w:hideMark/>
          </w:tcPr>
          <w:p w14:paraId="2DAC6722" w14:textId="77777777" w:rsidR="001421AA" w:rsidRPr="001421AA" w:rsidRDefault="001421AA" w:rsidP="001421AA">
            <w:pPr>
              <w:jc w:val="center"/>
              <w:rPr>
                <w:rFonts w:ascii="Times New Roman" w:eastAsia="Times New Roman" w:hAnsi="Times New Roman" w:cs="Times New Roman"/>
                <w:kern w:val="0"/>
                <w14:ligatures w14:val="none"/>
              </w:rPr>
            </w:pPr>
            <w:r w:rsidRPr="001421AA">
              <w:rPr>
                <w:rFonts w:ascii="Open Sans" w:eastAsia="Times New Roman" w:hAnsi="Open Sans" w:cs="Open Sans"/>
                <w:color w:val="000000"/>
                <w:kern w:val="0"/>
                <w:sz w:val="20"/>
                <w:szCs w:val="20"/>
                <w14:ligatures w14:val="none"/>
              </w:rPr>
              <w:t>31-Jan-2024 23:03:49 </w:t>
            </w:r>
          </w:p>
        </w:tc>
        <w:tc>
          <w:tcPr>
            <w:tcW w:w="3431" w:type="dxa"/>
            <w:vMerge w:val="restart"/>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center"/>
            <w:hideMark/>
          </w:tcPr>
          <w:p w14:paraId="49FD4CB5" w14:textId="06FC38D7" w:rsidR="001421AA" w:rsidRPr="001421AA" w:rsidRDefault="001421AA" w:rsidP="001421AA">
            <w:pPr>
              <w:jc w:val="center"/>
              <w:rPr>
                <w:rFonts w:ascii="Times New Roman" w:eastAsia="Times New Roman" w:hAnsi="Times New Roman" w:cs="Times New Roman"/>
                <w:kern w:val="0"/>
                <w:lang w:val="pt-BR"/>
                <w14:ligatures w14:val="none"/>
              </w:rPr>
            </w:pPr>
            <w:proofErr w:type="spellStart"/>
            <w:r>
              <w:rPr>
                <w:rFonts w:ascii="Open Sans" w:eastAsia="Times New Roman" w:hAnsi="Open Sans" w:cs="Open Sans"/>
                <w:color w:val="000000"/>
                <w:kern w:val="0"/>
                <w:sz w:val="20"/>
                <w:szCs w:val="20"/>
                <w:lang w:val="pt-BR"/>
                <w14:ligatures w14:val="none"/>
              </w:rPr>
              <w:t>xxxxxxxxxx</w:t>
            </w:r>
            <w:proofErr w:type="spellEnd"/>
          </w:p>
        </w:tc>
      </w:tr>
      <w:tr w:rsidR="001421AA" w:rsidRPr="001421AA" w14:paraId="1D130586" w14:textId="77777777" w:rsidTr="001421AA">
        <w:trPr>
          <w:trHeight w:val="200"/>
          <w:jc w:val="center"/>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bottom"/>
            <w:hideMark/>
          </w:tcPr>
          <w:p w14:paraId="339BE567" w14:textId="77777777" w:rsidR="001421AA" w:rsidRPr="001421AA" w:rsidRDefault="001421AA" w:rsidP="001421AA">
            <w:pPr>
              <w:jc w:val="center"/>
              <w:rPr>
                <w:rFonts w:ascii="Times New Roman" w:eastAsia="Times New Roman" w:hAnsi="Times New Roman" w:cs="Times New Roman"/>
                <w:kern w:val="0"/>
                <w14:ligatures w14:val="none"/>
              </w:rPr>
            </w:pPr>
            <w:r w:rsidRPr="001421AA">
              <w:rPr>
                <w:rFonts w:ascii="Open Sans" w:eastAsia="Times New Roman" w:hAnsi="Open Sans" w:cs="Open Sans"/>
                <w:color w:val="000000"/>
                <w:kern w:val="0"/>
                <w:sz w:val="20"/>
                <w:szCs w:val="20"/>
                <w14:ligatures w14:val="none"/>
              </w:rPr>
              <w:t>01-jun.-2024 13:47:13</w:t>
            </w:r>
          </w:p>
        </w:tc>
        <w:tc>
          <w:tcPr>
            <w:tcW w:w="3431" w:type="dxa"/>
            <w:vMerge/>
            <w:tcBorders>
              <w:top w:val="single" w:sz="6" w:space="0" w:color="999999"/>
              <w:left w:val="single" w:sz="6" w:space="0" w:color="999999"/>
              <w:bottom w:val="single" w:sz="6" w:space="0" w:color="999999"/>
              <w:right w:val="single" w:sz="6" w:space="0" w:color="999999"/>
            </w:tcBorders>
            <w:vAlign w:val="center"/>
            <w:hideMark/>
          </w:tcPr>
          <w:p w14:paraId="7EBC68F2" w14:textId="77777777" w:rsidR="001421AA" w:rsidRPr="001421AA" w:rsidRDefault="001421AA" w:rsidP="001421AA">
            <w:pPr>
              <w:rPr>
                <w:rFonts w:ascii="Times New Roman" w:eastAsia="Times New Roman" w:hAnsi="Times New Roman" w:cs="Times New Roman"/>
                <w:kern w:val="0"/>
                <w14:ligatures w14:val="none"/>
              </w:rPr>
            </w:pPr>
          </w:p>
        </w:tc>
      </w:tr>
      <w:tr w:rsidR="001421AA" w:rsidRPr="001421AA" w14:paraId="79C8C061" w14:textId="77777777" w:rsidTr="001421AA">
        <w:trPr>
          <w:trHeight w:val="200"/>
          <w:jc w:val="center"/>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bottom"/>
            <w:hideMark/>
          </w:tcPr>
          <w:p w14:paraId="7DC7B806" w14:textId="77777777" w:rsidR="001421AA" w:rsidRPr="001421AA" w:rsidRDefault="001421AA" w:rsidP="001421AA">
            <w:pPr>
              <w:jc w:val="center"/>
              <w:rPr>
                <w:rFonts w:ascii="Times New Roman" w:eastAsia="Times New Roman" w:hAnsi="Times New Roman" w:cs="Times New Roman"/>
                <w:kern w:val="0"/>
                <w14:ligatures w14:val="none"/>
              </w:rPr>
            </w:pPr>
            <w:r w:rsidRPr="001421AA">
              <w:rPr>
                <w:rFonts w:ascii="Open Sans" w:eastAsia="Times New Roman" w:hAnsi="Open Sans" w:cs="Open Sans"/>
                <w:color w:val="000000"/>
                <w:kern w:val="0"/>
                <w:sz w:val="20"/>
                <w:szCs w:val="20"/>
                <w14:ligatures w14:val="none"/>
              </w:rPr>
              <w:t>20-Out-2024 14:27:06</w:t>
            </w:r>
          </w:p>
        </w:tc>
        <w:tc>
          <w:tcPr>
            <w:tcW w:w="3431" w:type="dxa"/>
            <w:vMerge/>
            <w:tcBorders>
              <w:top w:val="single" w:sz="6" w:space="0" w:color="999999"/>
              <w:left w:val="single" w:sz="6" w:space="0" w:color="999999"/>
              <w:bottom w:val="single" w:sz="6" w:space="0" w:color="999999"/>
              <w:right w:val="single" w:sz="6" w:space="0" w:color="999999"/>
            </w:tcBorders>
            <w:vAlign w:val="center"/>
            <w:hideMark/>
          </w:tcPr>
          <w:p w14:paraId="71EBAFEB" w14:textId="77777777" w:rsidR="001421AA" w:rsidRPr="001421AA" w:rsidRDefault="001421AA" w:rsidP="001421AA">
            <w:pPr>
              <w:rPr>
                <w:rFonts w:ascii="Times New Roman" w:eastAsia="Times New Roman" w:hAnsi="Times New Roman" w:cs="Times New Roman"/>
                <w:kern w:val="0"/>
                <w14:ligatures w14:val="none"/>
              </w:rPr>
            </w:pPr>
          </w:p>
        </w:tc>
      </w:tr>
      <w:tr w:rsidR="001421AA" w:rsidRPr="001421AA" w14:paraId="1E43B6A9" w14:textId="77777777" w:rsidTr="001421AA">
        <w:trPr>
          <w:trHeight w:val="200"/>
          <w:jc w:val="center"/>
        </w:trPr>
        <w:tc>
          <w:tcPr>
            <w:tcW w:w="0" w:type="auto"/>
            <w:tcBorders>
              <w:top w:val="single" w:sz="6" w:space="0" w:color="999999"/>
              <w:left w:val="single" w:sz="6" w:space="0" w:color="999999"/>
              <w:bottom w:val="single" w:sz="6" w:space="0" w:color="999999"/>
              <w:right w:val="single" w:sz="6" w:space="0" w:color="999999"/>
            </w:tcBorders>
            <w:tcMar>
              <w:top w:w="0" w:type="dxa"/>
              <w:left w:w="40" w:type="dxa"/>
              <w:bottom w:w="0" w:type="dxa"/>
              <w:right w:w="40" w:type="dxa"/>
            </w:tcMar>
            <w:vAlign w:val="bottom"/>
            <w:hideMark/>
          </w:tcPr>
          <w:p w14:paraId="25894CBD" w14:textId="77777777" w:rsidR="001421AA" w:rsidRPr="001421AA" w:rsidRDefault="001421AA" w:rsidP="001421AA">
            <w:pPr>
              <w:jc w:val="center"/>
              <w:rPr>
                <w:rFonts w:ascii="Times New Roman" w:eastAsia="Times New Roman" w:hAnsi="Times New Roman" w:cs="Times New Roman"/>
                <w:kern w:val="0"/>
                <w14:ligatures w14:val="none"/>
              </w:rPr>
            </w:pPr>
            <w:r w:rsidRPr="001421AA">
              <w:rPr>
                <w:rFonts w:ascii="Open Sans" w:eastAsia="Times New Roman" w:hAnsi="Open Sans" w:cs="Open Sans"/>
                <w:color w:val="000000"/>
                <w:kern w:val="0"/>
                <w:sz w:val="20"/>
                <w:szCs w:val="20"/>
                <w14:ligatures w14:val="none"/>
              </w:rPr>
              <w:t>26-Out-2024 15:04:45</w:t>
            </w:r>
          </w:p>
        </w:tc>
        <w:tc>
          <w:tcPr>
            <w:tcW w:w="3431" w:type="dxa"/>
            <w:vMerge/>
            <w:tcBorders>
              <w:top w:val="single" w:sz="6" w:space="0" w:color="999999"/>
              <w:left w:val="single" w:sz="6" w:space="0" w:color="999999"/>
              <w:bottom w:val="single" w:sz="6" w:space="0" w:color="999999"/>
              <w:right w:val="single" w:sz="6" w:space="0" w:color="999999"/>
            </w:tcBorders>
            <w:vAlign w:val="center"/>
            <w:hideMark/>
          </w:tcPr>
          <w:p w14:paraId="1F51C01C" w14:textId="77777777" w:rsidR="001421AA" w:rsidRPr="001421AA" w:rsidRDefault="001421AA" w:rsidP="001421AA">
            <w:pPr>
              <w:rPr>
                <w:rFonts w:ascii="Times New Roman" w:eastAsia="Times New Roman" w:hAnsi="Times New Roman" w:cs="Times New Roman"/>
                <w:kern w:val="0"/>
                <w14:ligatures w14:val="none"/>
              </w:rPr>
            </w:pPr>
          </w:p>
        </w:tc>
      </w:tr>
    </w:tbl>
    <w:p w14:paraId="26C3259F" w14:textId="77777777" w:rsidR="001421AA" w:rsidRPr="001421AA" w:rsidRDefault="001421AA" w:rsidP="001421AA">
      <w:pPr>
        <w:rPr>
          <w:rFonts w:ascii="Times New Roman" w:eastAsia="Times New Roman" w:hAnsi="Times New Roman" w:cs="Times New Roman"/>
          <w:kern w:val="0"/>
          <w14:ligatures w14:val="none"/>
        </w:rPr>
      </w:pPr>
    </w:p>
    <w:p w14:paraId="27870F64" w14:textId="77777777" w:rsidR="001421AA" w:rsidRPr="001421AA" w:rsidRDefault="001421AA" w:rsidP="001421AA">
      <w:pPr>
        <w:spacing w:before="240" w:after="120"/>
        <w:ind w:firstLine="855"/>
        <w:jc w:val="both"/>
        <w:rPr>
          <w:rFonts w:ascii="Times New Roman" w:eastAsia="Times New Roman" w:hAnsi="Times New Roman" w:cs="Times New Roman"/>
          <w:kern w:val="0"/>
          <w14:ligatures w14:val="none"/>
        </w:rPr>
      </w:pPr>
      <w:r w:rsidRPr="001421AA">
        <w:rPr>
          <w:rFonts w:ascii="Arial" w:eastAsia="Times New Roman" w:hAnsi="Arial" w:cs="Arial"/>
          <w:color w:val="000000"/>
          <w:kern w:val="0"/>
          <w:sz w:val="22"/>
          <w:szCs w:val="22"/>
          <w14:ligatures w14:val="none"/>
        </w:rPr>
        <w:t>Atenciosamente,</w:t>
      </w:r>
    </w:p>
    <w:p w14:paraId="036645E0" w14:textId="77777777" w:rsidR="001421AA" w:rsidRPr="001421AA" w:rsidRDefault="001421AA" w:rsidP="001421AA">
      <w:pPr>
        <w:rPr>
          <w:rFonts w:ascii="Times New Roman" w:eastAsia="Times New Roman" w:hAnsi="Times New Roman" w:cs="Times New Roman"/>
          <w:kern w:val="0"/>
          <w14:ligatures w14:val="none"/>
        </w:rPr>
      </w:pPr>
    </w:p>
    <w:p w14:paraId="5F7B4EC8" w14:textId="5D7C5520" w:rsidR="00910162" w:rsidRPr="001421AA" w:rsidRDefault="00910162" w:rsidP="001421AA">
      <w:pPr>
        <w:spacing w:after="120" w:line="360" w:lineRule="auto"/>
        <w:ind w:firstLine="1134"/>
        <w:jc w:val="both"/>
        <w:rPr>
          <w:rFonts w:ascii="Times New Roman" w:eastAsia="Times New Roman" w:hAnsi="Times New Roman" w:cs="Times New Roman"/>
          <w:kern w:val="0"/>
          <w:sz w:val="22"/>
          <w:szCs w:val="22"/>
          <w:lang w:val="pt-BR"/>
          <w14:ligatures w14:val="none"/>
        </w:rPr>
      </w:pPr>
      <w:r>
        <w:rPr>
          <w:rFonts w:ascii="Arial" w:eastAsia="Times New Roman" w:hAnsi="Arial" w:cs="Arial"/>
          <w:color w:val="000000"/>
          <w:kern w:val="0"/>
          <w:sz w:val="22"/>
          <w:szCs w:val="22"/>
          <w:lang w:val="pt-BR"/>
          <w14:ligatures w14:val="none"/>
        </w:rPr>
        <w:t xml:space="preserve"> </w:t>
      </w:r>
    </w:p>
    <w:p w14:paraId="24663730" w14:textId="53A4A008" w:rsidR="00910162" w:rsidRPr="00910162" w:rsidRDefault="00910162" w:rsidP="00910162">
      <w:pPr>
        <w:jc w:val="center"/>
        <w:rPr>
          <w:rFonts w:ascii="Arial" w:eastAsia="Times New Roman" w:hAnsi="Arial" w:cs="Arial"/>
          <w:b/>
          <w:bCs/>
          <w:kern w:val="0"/>
          <w:sz w:val="22"/>
          <w:szCs w:val="22"/>
          <w:lang w:val="pt-BR"/>
          <w14:ligatures w14:val="none"/>
        </w:rPr>
      </w:pPr>
      <w:r w:rsidRPr="00910162">
        <w:rPr>
          <w:rFonts w:ascii="Arial" w:eastAsia="Times New Roman" w:hAnsi="Arial" w:cs="Arial"/>
          <w:b/>
          <w:bCs/>
          <w:kern w:val="0"/>
          <w:sz w:val="22"/>
          <w:szCs w:val="22"/>
          <w:lang w:val="pt-BR"/>
          <w14:ligatures w14:val="none"/>
        </w:rPr>
        <w:t>Nome</w:t>
      </w:r>
    </w:p>
    <w:p w14:paraId="39FBBE36" w14:textId="308B833A" w:rsidR="00910162" w:rsidRPr="001421AA" w:rsidRDefault="00910162" w:rsidP="001421AA">
      <w:pPr>
        <w:jc w:val="center"/>
        <w:rPr>
          <w:rFonts w:ascii="Arial" w:eastAsia="Times New Roman" w:hAnsi="Arial" w:cs="Arial"/>
          <w:b/>
          <w:bCs/>
          <w:kern w:val="0"/>
          <w:sz w:val="22"/>
          <w:szCs w:val="22"/>
          <w:lang w:val="pt-BR"/>
          <w14:ligatures w14:val="none"/>
        </w:rPr>
      </w:pPr>
      <w:r w:rsidRPr="00910162">
        <w:rPr>
          <w:rFonts w:ascii="Arial" w:eastAsia="Times New Roman" w:hAnsi="Arial" w:cs="Arial"/>
          <w:b/>
          <w:bCs/>
          <w:kern w:val="0"/>
          <w:sz w:val="22"/>
          <w:szCs w:val="22"/>
          <w:lang w:val="pt-BR"/>
          <w14:ligatures w14:val="none"/>
        </w:rPr>
        <w:t>Cargo</w:t>
      </w:r>
    </w:p>
    <w:sectPr w:rsidR="00910162" w:rsidRPr="001421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A45B" w:usb2="00000009" w:usb3="00000000" w:csb0="000001D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62"/>
    <w:rsid w:val="001421AA"/>
    <w:rsid w:val="0091016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6F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016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30771">
      <w:bodyDiv w:val="1"/>
      <w:marLeft w:val="0"/>
      <w:marRight w:val="0"/>
      <w:marTop w:val="0"/>
      <w:marBottom w:val="0"/>
      <w:divBdr>
        <w:top w:val="none" w:sz="0" w:space="0" w:color="auto"/>
        <w:left w:val="none" w:sz="0" w:space="0" w:color="auto"/>
        <w:bottom w:val="none" w:sz="0" w:space="0" w:color="auto"/>
        <w:right w:val="none" w:sz="0" w:space="0" w:color="auto"/>
      </w:divBdr>
    </w:div>
    <w:div w:id="1737819803">
      <w:bodyDiv w:val="1"/>
      <w:marLeft w:val="0"/>
      <w:marRight w:val="0"/>
      <w:marTop w:val="0"/>
      <w:marBottom w:val="0"/>
      <w:divBdr>
        <w:top w:val="none" w:sz="0" w:space="0" w:color="auto"/>
        <w:left w:val="none" w:sz="0" w:space="0" w:color="auto"/>
        <w:bottom w:val="none" w:sz="0" w:space="0" w:color="auto"/>
        <w:right w:val="none" w:sz="0" w:space="0" w:color="auto"/>
      </w:divBdr>
      <w:divsChild>
        <w:div w:id="678123529">
          <w:marLeft w:val="78"/>
          <w:marRight w:val="0"/>
          <w:marTop w:val="0"/>
          <w:marBottom w:val="0"/>
          <w:divBdr>
            <w:top w:val="none" w:sz="0" w:space="0" w:color="auto"/>
            <w:left w:val="none" w:sz="0" w:space="0" w:color="auto"/>
            <w:bottom w:val="none" w:sz="0" w:space="0" w:color="auto"/>
            <w:right w:val="none" w:sz="0" w:space="0" w:color="auto"/>
          </w:divBdr>
        </w:div>
        <w:div w:id="1667778135">
          <w:marLeft w:val="7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5395</Characters>
  <Application>Microsoft Office Word</Application>
  <DocSecurity>0</DocSecurity>
  <Lines>44</Lines>
  <Paragraphs>12</Paragraphs>
  <ScaleCrop>false</ScaleCrop>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2025-09-19T19:22:00Z</dcterms:created>
  <dcterms:modified xsi:type="dcterms:W3CDTF">2025-09-19T19:36:00Z</dcterms:modified>
</cp:coreProperties>
</file>