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07E" w:rsidRDefault="00DC6471">
      <w:pPr>
        <w:spacing w:after="240" w:line="276" w:lineRule="auto"/>
        <w:ind w:firstLine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Desempenho ou fluxo? Decomposição da variação do Ideb entre 2005</w:t>
      </w:r>
      <w:r w:rsidR="002E29A4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:rsidR="00A7007E" w:rsidRDefault="00DC6471">
      <w:pPr>
        <w:spacing w:after="60" w:line="276" w:lineRule="auto"/>
        <w:ind w:firstLine="0"/>
        <w:jc w:val="center"/>
      </w:pPr>
      <w:r>
        <w:rPr>
          <w:rFonts w:ascii="Times New Roman" w:hAnsi="Times New Roman" w:cs="Times New Roman"/>
          <w:szCs w:val="24"/>
        </w:rPr>
        <w:t>Luiz Vicente Fonseca Ribeiro¹, Wagner Silveira Rezende², Arthur Augusto de Oliveira Rocha³</w:t>
      </w:r>
    </w:p>
    <w:p w:rsidR="00A7007E" w:rsidRPr="002E29A4" w:rsidRDefault="00DC6471">
      <w:pPr>
        <w:spacing w:after="0"/>
        <w:ind w:firstLine="0"/>
        <w:jc w:val="center"/>
        <w:rPr>
          <w:lang w:val="en-US"/>
        </w:rPr>
      </w:pPr>
      <w:r w:rsidRPr="002E29A4">
        <w:rPr>
          <w:rFonts w:ascii="Times New Roman" w:hAnsi="Times New Roman" w:cs="Times New Roman"/>
          <w:sz w:val="20"/>
          <w:szCs w:val="20"/>
          <w:lang w:val="en-US"/>
        </w:rPr>
        <w:t>¹ CAEd/UFJF, lribeiro@caed.ufjf.br</w:t>
      </w:r>
    </w:p>
    <w:p w:rsidR="00A7007E" w:rsidRPr="002E29A4" w:rsidRDefault="00DC6471">
      <w:pPr>
        <w:spacing w:after="0"/>
        <w:ind w:firstLine="0"/>
        <w:jc w:val="center"/>
        <w:rPr>
          <w:lang w:val="en-US"/>
        </w:rPr>
      </w:pPr>
      <w:r w:rsidRPr="002E29A4">
        <w:rPr>
          <w:rFonts w:ascii="Times New Roman" w:hAnsi="Times New Roman" w:cs="Times New Roman"/>
          <w:sz w:val="20"/>
          <w:szCs w:val="20"/>
          <w:lang w:val="en-US"/>
        </w:rPr>
        <w:t>² CAEd/UFJF, wagner@caedufjf.net</w:t>
      </w:r>
    </w:p>
    <w:p w:rsidR="00A7007E" w:rsidRPr="002E29A4" w:rsidRDefault="00DC6471">
      <w:pPr>
        <w:spacing w:after="0"/>
        <w:ind w:firstLine="0"/>
        <w:jc w:val="center"/>
        <w:rPr>
          <w:lang w:val="en-US"/>
        </w:rPr>
      </w:pPr>
      <w:r w:rsidRPr="002E29A4">
        <w:rPr>
          <w:rFonts w:ascii="Times New Roman" w:hAnsi="Times New Roman" w:cs="Times New Roman"/>
          <w:sz w:val="20"/>
          <w:szCs w:val="20"/>
          <w:lang w:val="en-US"/>
        </w:rPr>
        <w:t>³ CAEd/UFJF, arthur.rocha@fundacaocaed.org.br</w:t>
      </w:r>
    </w:p>
    <w:p w:rsidR="00A7007E" w:rsidRPr="002E29A4" w:rsidRDefault="00A7007E">
      <w:pPr>
        <w:spacing w:after="120"/>
        <w:ind w:firstLine="0"/>
        <w:rPr>
          <w:lang w:val="en-US"/>
        </w:rPr>
      </w:pPr>
    </w:p>
    <w:p w:rsidR="00A7007E" w:rsidRDefault="00DC6471">
      <w:pPr>
        <w:keepNext/>
        <w:spacing w:before="170" w:after="90" w:line="360" w:lineRule="auto"/>
        <w:ind w:firstLine="0"/>
        <w:jc w:val="left"/>
      </w:pPr>
      <w:r>
        <w:rPr>
          <w:rFonts w:ascii="Times New Roman" w:hAnsi="Times New Roman" w:cs="Times New Roman"/>
          <w:b/>
          <w:bCs/>
          <w:szCs w:val="24"/>
        </w:rPr>
        <w:t>Resumo</w:t>
      </w:r>
    </w:p>
    <w:p w:rsidR="00A7007E" w:rsidRDefault="00DC6471" w:rsidP="002E29A4">
      <w:pPr>
        <w:spacing w:after="120"/>
        <w:ind w:firstLine="0"/>
      </w:pPr>
      <w:r>
        <w:rPr>
          <w:rFonts w:ascii="Times New Roman" w:hAnsi="Times New Roman" w:cs="Times New Roman"/>
          <w:szCs w:val="24"/>
        </w:rPr>
        <w:t>O Ideb é o produto da nota média padronizada da escala do Saeb pelo indicador de rendimento. Sua variação entre edições é decomposta em contribuições de desempenho e de fluxo pelo valor de Shapley, que reparte o termo de interação em partes iguais e é a única solução simétrica e invariante à inversão do tempo. Mostra-se que atribuições alternativas deslocam a resposta em até doze pontos percentuais na série longa, sem alterar a conclusão substantiva. Entre 2019 e 2025, o fluxo responde por 94% do crescimento do índice nos anos finais da rede pública e por 96% no ensino médio estadual; com o rendimento congelado em 2019, o Ideb dessas etapas estaria estagnado. Entre as 27 unidades da federação, a contribuição do fluxo é fortemente decrescente no rendimento inicial, enquanto a do desempenho não o é no período recente, e a decomposição da variância do índice mostra que toda a redução da dispersão entre estados desde 2019 nos anos finais é redução da dispersão de aprovação, com a de proficiência em alta: a convergência do Ideb é convergência de aprovação, não de aprendizagem.</w:t>
      </w:r>
    </w:p>
    <w:p w:rsidR="00A7007E" w:rsidRDefault="00DC6471">
      <w:pPr>
        <w:spacing w:after="120" w:line="276" w:lineRule="auto"/>
        <w:ind w:firstLine="0"/>
      </w:pPr>
      <w:r>
        <w:rPr>
          <w:rFonts w:ascii="Times New Roman" w:hAnsi="Times New Roman" w:cs="Times New Roman"/>
          <w:b/>
          <w:bCs/>
          <w:szCs w:val="24"/>
        </w:rPr>
        <w:t>Palavras-chave:</w:t>
      </w:r>
      <w:r>
        <w:rPr>
          <w:rFonts w:ascii="Times New Roman" w:hAnsi="Times New Roman" w:cs="Times New Roman"/>
          <w:szCs w:val="24"/>
        </w:rPr>
        <w:t xml:space="preserve"> Ideb; Saeb; decomposição; valor de Shapley; convergência.</w:t>
      </w:r>
    </w:p>
    <w:p w:rsidR="00A7007E" w:rsidRDefault="00DC6471">
      <w:pPr>
        <w:keepNext/>
        <w:spacing w:before="170" w:after="90" w:line="360" w:lineRule="auto"/>
        <w:ind w:firstLine="0"/>
        <w:jc w:val="left"/>
      </w:pPr>
      <w:r>
        <w:rPr>
          <w:rFonts w:ascii="Times New Roman" w:hAnsi="Times New Roman" w:cs="Times New Roman"/>
          <w:b/>
          <w:bCs/>
          <w:szCs w:val="24"/>
        </w:rPr>
        <w:t>Introdução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 xml:space="preserve">O Índice de Desenvolvimento da Educação Básica é lido, no debate público e acadêmico, como uma medida escalar da qualidade da educação. Sua definição operacional, porém, é a de um produto: N × </w:t>
      </w:r>
      <w:r w:rsidR="00C666E0">
        <w:rPr>
          <w:rFonts w:ascii="Times New Roman" w:hAnsi="Times New Roman" w:cs="Times New Roman"/>
          <w:szCs w:val="24"/>
        </w:rPr>
        <w:t>P</w:t>
      </w:r>
      <w:r>
        <w:rPr>
          <w:rFonts w:ascii="Times New Roman" w:hAnsi="Times New Roman" w:cs="Times New Roman"/>
          <w:szCs w:val="24"/>
        </w:rPr>
        <w:t xml:space="preserve">, em que N é a média das notas padronizadas de Língua Portuguesa e Matemática, obtida por transformação linear das médias de proficiência do Saeb, e </w:t>
      </w:r>
      <w:r w:rsidR="00C666E0">
        <w:rPr>
          <w:rFonts w:ascii="Times New Roman" w:hAnsi="Times New Roman" w:cs="Times New Roman"/>
          <w:szCs w:val="24"/>
        </w:rPr>
        <w:t>P</w:t>
      </w:r>
      <w:r>
        <w:rPr>
          <w:rFonts w:ascii="Times New Roman" w:hAnsi="Times New Roman" w:cs="Times New Roman"/>
          <w:szCs w:val="24"/>
        </w:rPr>
        <w:t xml:space="preserve"> é o indicador de rendimento, média harmônica das taxas de aprovação dos anos escolares da etapa (FERNANDES, 2008). Adota-se adiante N = 10 × NP, a nota média padronizada divulgada pelo Inep, de modo que Ideb = N × P, com N entre 0 e 10 e P entre 0 e 1.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Os dois fatores têm naturezas distintas. N é transformação linear de uma escala calibrada por Teoria de Resposta ao Item, com limites fixados pela média e pelo desvio padrão das proficiências de 1997; P é uma razão limitada pela unidade, construída a partir de registro administrativo da própria rede avaliada. Soares e Xavier (2013) discutem os pressupostos dessa combinação; Klein (2026) mostra que a dependência dos parâmetros de 1997 torna o índice desigualmente sensível à proficiência entre etapas; Soares e Santos (2025) e Waltenberg (2024) situam sua reformulação na agenda da equidade.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lastRenderedPageBreak/>
        <w:t>Quando o índice é um produto, a pergunta “o Ideb melhorou?” permanece indeterminada enquanto não se responde “por qual dos dois fatores?”. A distinção é decisiva no período recente, marcado por perdas de aprendizagem associadas à pandemia e por políticas de regularização de trajetória escolar, que atuam diretamente sobre o fluxo. Este trabalho toma a decomposição não como fim, mas como instrumento: separadas as duas fontes de variação, tornam-se respondíveis perguntas que a leitura escalar não alcança.</w:t>
      </w:r>
    </w:p>
    <w:p w:rsidR="00A7007E" w:rsidRDefault="00DC6471">
      <w:pPr>
        <w:keepNext/>
        <w:spacing w:before="170" w:after="90" w:line="360" w:lineRule="auto"/>
        <w:ind w:firstLine="0"/>
        <w:jc w:val="left"/>
      </w:pPr>
      <w:r>
        <w:rPr>
          <w:rFonts w:ascii="Times New Roman" w:hAnsi="Times New Roman" w:cs="Times New Roman"/>
          <w:b/>
          <w:bCs/>
          <w:szCs w:val="24"/>
        </w:rPr>
        <w:t>Objetivos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O objetivo geral é decompor a variação do Ideb entre edições nos componentes de desempenho e de fluxo e identificar qual deles responde pelas variações observadas em 2005</w:t>
      </w:r>
      <w:r w:rsidR="00C666E0">
        <w:rPr>
          <w:rFonts w:ascii="Times New Roman" w:hAnsi="Times New Roman" w:cs="Times New Roman"/>
          <w:szCs w:val="24"/>
        </w:rPr>
        <w:t>-</w:t>
      </w:r>
      <w:r>
        <w:rPr>
          <w:rFonts w:ascii="Times New Roman" w:hAnsi="Times New Roman" w:cs="Times New Roman"/>
          <w:szCs w:val="24"/>
        </w:rPr>
        <w:t>2025, 2019</w:t>
      </w:r>
      <w:r w:rsidR="00C666E0">
        <w:rPr>
          <w:rFonts w:ascii="Times New Roman" w:hAnsi="Times New Roman" w:cs="Times New Roman"/>
          <w:szCs w:val="24"/>
        </w:rPr>
        <w:t>-</w:t>
      </w:r>
      <w:r>
        <w:rPr>
          <w:rFonts w:ascii="Times New Roman" w:hAnsi="Times New Roman" w:cs="Times New Roman"/>
          <w:szCs w:val="24"/>
        </w:rPr>
        <w:t>2025 e 2023</w:t>
      </w:r>
      <w:r w:rsidR="00C666E0">
        <w:rPr>
          <w:rFonts w:ascii="Times New Roman" w:hAnsi="Times New Roman" w:cs="Times New Roman"/>
          <w:szCs w:val="24"/>
        </w:rPr>
        <w:t>-</w:t>
      </w:r>
      <w:r>
        <w:rPr>
          <w:rFonts w:ascii="Times New Roman" w:hAnsi="Times New Roman" w:cs="Times New Roman"/>
          <w:szCs w:val="24"/>
        </w:rPr>
        <w:t>2025. Como objetivos específicos: fundamentar a decomposição no valor de Shapley, a partir de uma leitura geométrica na qual o índice é a área de um retângulo no plano N × P; avaliar a robustez das conclusões frente às atribuições alternativas do termo de interação; estimar as contribuições para o Brasil e para as 27 unidades da federação; e examinar, a partir das contribuições estimadas, o contrafactual de rendimento constante e a convergência entre unidades, tanto na relação entre nível inicial e contribuição quanto na decomposição da dispersão do índice.</w:t>
      </w:r>
    </w:p>
    <w:p w:rsidR="00A7007E" w:rsidRDefault="00DC6471">
      <w:pPr>
        <w:keepNext/>
        <w:spacing w:before="170" w:after="90" w:line="360" w:lineRule="auto"/>
        <w:ind w:firstLine="0"/>
        <w:jc w:val="left"/>
      </w:pPr>
      <w:r>
        <w:rPr>
          <w:rFonts w:ascii="Times New Roman" w:hAnsi="Times New Roman" w:cs="Times New Roman"/>
          <w:b/>
          <w:bCs/>
          <w:szCs w:val="24"/>
        </w:rPr>
        <w:t>Metodologia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Foram utilizadas as planilhas oficiais de divulgação do Ideb (INEP, 2026), para Brasil e unidades da federação, nas edições de 2005 a 2025. Adota-se a rede pública nos anos iniciais e finais, etapas em que a oferta é majoritariamente municipal, e a rede estadual no ensino médio, que concentra praticamente toda a oferta pública dessa etapa. A edição de 2021 é tratada como atípica; 2019 é o marco pré-pandemia.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Sendo I = N × P, o índice é a área do retângulo de lados N e P, e a variação entre dois momentos é a diferença entre dois retângulos encaixados: a faixa vertical ΔN × P₀, atribuível ao desempenho, a faixa horizontal N₀ × ΔP, atribuível ao fluxo, e o retângulo do canto, ΔN × ΔP, que só existe porque ambos variaram. O tratamento desse termo comum define a decomposição: atribuí-lo ao desempenho equivale a avaliar o fluxo no nível inicial de N (Laspeyres); atribuí-lo ao fluxo, a avaliá-lo no nível final (Paasche). As duas ordens diferem sempre que ambos os fatores variam.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O valor de Shapley (SHORROCKS, 2013) resolve a arbitrariedade tomando a média das contribuições marginais sobre todas as ordens de atualização. Com dois fatores, isso equivale a repartir o canto pela diagonal: a contribuição do desempenho é ΔN × (P₀ + P₁)</w:t>
      </w:r>
      <w:r w:rsidR="002E29A4">
        <w:rPr>
          <w:rFonts w:ascii="Times New Roman" w:hAnsi="Times New Roman" w:cs="Times New Roman"/>
          <w:szCs w:val="24"/>
        </w:rPr>
        <w:t xml:space="preserve"> ÷ </w:t>
      </w:r>
      <w:r>
        <w:rPr>
          <w:rFonts w:ascii="Times New Roman" w:hAnsi="Times New Roman" w:cs="Times New Roman"/>
          <w:szCs w:val="24"/>
        </w:rPr>
        <w:t xml:space="preserve">2 </w:t>
      </w:r>
      <w:r>
        <w:rPr>
          <w:rFonts w:ascii="Times New Roman" w:hAnsi="Times New Roman" w:cs="Times New Roman"/>
          <w:szCs w:val="24"/>
        </w:rPr>
        <w:lastRenderedPageBreak/>
        <w:t>e a do fluxo é ΔP × (N₀ + N₁)</w:t>
      </w:r>
      <w:r w:rsidR="002E29A4">
        <w:rPr>
          <w:rFonts w:ascii="Times New Roman" w:hAnsi="Times New Roman" w:cs="Times New Roman"/>
          <w:szCs w:val="24"/>
        </w:rPr>
        <w:t xml:space="preserve"> ÷ </w:t>
      </w:r>
      <w:r>
        <w:rPr>
          <w:rFonts w:ascii="Times New Roman" w:hAnsi="Times New Roman" w:cs="Times New Roman"/>
          <w:szCs w:val="24"/>
        </w:rPr>
        <w:t xml:space="preserve">2 </w:t>
      </w:r>
      <w:r w:rsidR="002E29A4">
        <w:rPr>
          <w:rFonts w:ascii="Times New Roman" w:hAnsi="Times New Roman" w:cs="Times New Roman"/>
          <w:szCs w:val="24"/>
        </w:rPr>
        <w:t xml:space="preserve">– </w:t>
      </w:r>
      <w:r>
        <w:rPr>
          <w:rFonts w:ascii="Times New Roman" w:hAnsi="Times New Roman" w:cs="Times New Roman"/>
          <w:szCs w:val="24"/>
        </w:rPr>
        <w:t>a única solução simétrica, aditiva sem resíduo e invariante à inversão do sentido do tempo, coincidente com o modelo de decomposição completa de Sun (1998) e próxima da decomposição logarítmica de índices (ANG, 2004). As contribuições são expressas em pontos do próprio Ideb, comparáveis entre etapas, unidades e períodos. A robustez é avaliada reportando, ao lado da solução de Shapley, a amplitude entre as atribuições de Laspeyres e de Paasche.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Três extensões exploram a estrutura multiplicativa. O contrafactual de rendimento constante, N₁ × P₀, responde qual seria o índice final se apenas o desempenho tivesse variado. A convergência entre unidades é examinada por duas vias: pela correlação de Spearman entre o nível inicial de cada fator e a contribuição que ele deu, cujo sinal negativo indica que as unidades de nível mais baixo avançaram mais por aquele componente; e pela decomposição da dispersão do índice em cada edição, pois, sendo ln I = ln N + ln P, tem-se Var(ln I) = Var(ln N) + Var(ln P) + 2 Cov(ln N, ln P), identidade que reparte a desigualdade do Ideb entre as unidades em uma parcela de desempenho, uma de fluxo e uma de associação entre ambos.</w:t>
      </w:r>
    </w:p>
    <w:p w:rsidR="00A7007E" w:rsidRDefault="00DC6471">
      <w:pPr>
        <w:keepNext/>
        <w:spacing w:before="170" w:after="90" w:line="360" w:lineRule="auto"/>
        <w:ind w:firstLine="0"/>
        <w:jc w:val="left"/>
      </w:pPr>
      <w:r>
        <w:rPr>
          <w:rFonts w:ascii="Times New Roman" w:hAnsi="Times New Roman" w:cs="Times New Roman"/>
          <w:b/>
          <w:bCs/>
          <w:szCs w:val="24"/>
        </w:rPr>
        <w:t>Resultados e Discussão</w:t>
      </w:r>
    </w:p>
    <w:p w:rsidR="00A7007E" w:rsidRPr="00F21C6F" w:rsidRDefault="00DC6471" w:rsidP="00E2232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 Tabela 1 apresenta a decomposição para as três etapas e os três períodos, com a amplitude entre as atribuições extremas. Nos anos iniciais, dos 2,53 pontos ganhos entre 2005 e 2025, 1,64 correspondem ao desempenho e 0,89 ao fluxo. Na série longa, a escolha do método importa: a participação do fluxo nos anos iniciais varia de 29% a 41% conforme o termo comum seja dado ao desempenho ou ao fluxo, e a solução de Shapley, 35%, coincide com a logarítmica. No período recente as atribuições convergem, porque um dos fatores quase não se moveu: entre 2019 e 2025, dos 0,39 ponto ganhos nos anos finais, 0,36 vieram do fluxo, e no ensino médio 0,42 de 0,44. O contrafactual torna a leitura imediata: com o rendimento congelado em 2019, o Ideb de 2025 dos anos finais seria 4,65, contra 4,63 em 2019, e o do ensino médio 3,89, contra 3,87 </w:t>
      </w:r>
      <w:r w:rsidR="00F21C6F">
        <w:rPr>
          <w:rFonts w:ascii="Times New Roman" w:hAnsi="Times New Roman" w:cs="Times New Roman"/>
          <w:szCs w:val="24"/>
        </w:rPr>
        <w:t xml:space="preserve">– </w:t>
      </w:r>
      <w:r>
        <w:rPr>
          <w:rFonts w:ascii="Times New Roman" w:hAnsi="Times New Roman" w:cs="Times New Roman"/>
          <w:szCs w:val="24"/>
        </w:rPr>
        <w:t>seis anos de estagnação.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O biênio 2023</w:t>
      </w:r>
      <w:r w:rsidR="00F21C6F">
        <w:rPr>
          <w:rFonts w:ascii="Times New Roman" w:hAnsi="Times New Roman" w:cs="Times New Roman"/>
          <w:szCs w:val="24"/>
        </w:rPr>
        <w:t>-</w:t>
      </w:r>
      <w:r>
        <w:rPr>
          <w:rFonts w:ascii="Times New Roman" w:hAnsi="Times New Roman" w:cs="Times New Roman"/>
          <w:szCs w:val="24"/>
        </w:rPr>
        <w:t>2025 desloca o eixo do movimento nos anos iniciais, em que 0,30 de 0,38 ponto provêm do desempenho, resultado coerente com a prioridade conferida à alfabetização; nas duas etapas seguintes a divisão é equilibrada.</w:t>
      </w:r>
    </w:p>
    <w:p w:rsidR="00A7007E" w:rsidRDefault="00DC6471">
      <w:pPr>
        <w:keepNext/>
        <w:spacing w:before="110" w:after="60"/>
        <w:ind w:firstLine="0"/>
        <w:jc w:val="center"/>
      </w:pPr>
      <w:r>
        <w:rPr>
          <w:rFonts w:ascii="Times New Roman" w:hAnsi="Times New Roman" w:cs="Times New Roman"/>
          <w:b/>
          <w:bCs/>
          <w:sz w:val="17"/>
          <w:szCs w:val="17"/>
        </w:rPr>
        <w:t>Tabela 1 – Decomposição da variação do Ideb, Brasil, em pontos do índice</w:t>
      </w:r>
    </w:p>
    <w:tbl>
      <w:tblPr>
        <w:tblW w:w="5000" w:type="pct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203"/>
        <w:gridCol w:w="1093"/>
        <w:gridCol w:w="1367"/>
        <w:gridCol w:w="963"/>
        <w:gridCol w:w="1334"/>
        <w:gridCol w:w="874"/>
        <w:gridCol w:w="1093"/>
        <w:gridCol w:w="1258"/>
      </w:tblGrid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Etapa</w:t>
            </w:r>
          </w:p>
        </w:tc>
        <w:tc>
          <w:tcPr>
            <w:tcW w:w="59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Período</w:t>
            </w:r>
          </w:p>
        </w:tc>
        <w:tc>
          <w:tcPr>
            <w:tcW w:w="74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Ideb</w:t>
            </w:r>
          </w:p>
        </w:tc>
        <w:tc>
          <w:tcPr>
            <w:tcW w:w="52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Variação</w:t>
            </w:r>
          </w:p>
        </w:tc>
        <w:tc>
          <w:tcPr>
            <w:tcW w:w="72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Desempenho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Fluxo</w:t>
            </w:r>
          </w:p>
        </w:tc>
        <w:tc>
          <w:tcPr>
            <w:tcW w:w="59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Fluxo (%) Shapley</w:t>
            </w:r>
          </w:p>
        </w:tc>
        <w:tc>
          <w:tcPr>
            <w:tcW w:w="68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Fluxo (%) Lasp.–Paasche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Anos iniciais</w:t>
            </w:r>
          </w:p>
        </w:tc>
        <w:tc>
          <w:tcPr>
            <w:tcW w:w="59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2005–2025</w:t>
            </w:r>
          </w:p>
        </w:tc>
        <w:tc>
          <w:tcPr>
            <w:tcW w:w="744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3,57 → 6,10</w:t>
            </w:r>
          </w:p>
        </w:tc>
        <w:tc>
          <w:tcPr>
            <w:tcW w:w="524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+2,53</w:t>
            </w:r>
          </w:p>
        </w:tc>
        <w:tc>
          <w:tcPr>
            <w:tcW w:w="726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+1,64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+0,89</w:t>
            </w:r>
          </w:p>
        </w:tc>
        <w:tc>
          <w:tcPr>
            <w:tcW w:w="59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35</w:t>
            </w:r>
          </w:p>
        </w:tc>
        <w:tc>
          <w:tcPr>
            <w:tcW w:w="68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29–41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2019–2025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5,68 → 6,10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+0,42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+0,20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+0,22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53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52–54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2023–2025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5,72 → 6,10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+0,38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+0,30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+0,07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19–20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Anos finais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2005–2025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3,23 → 5,01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+1,79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+0,82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+0,97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54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49–60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2019–2025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4,63 → 5,01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+0,39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+0,02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+0,36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94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94–94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2023–2025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4,75 → 5,01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+0,26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+0,13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+0,13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49–51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Ensino médio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2005–2025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3,04 → 4,31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+1,27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+0,41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+0,85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67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64–71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2019–2025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3,87 → 4,31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+0,44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+0,02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+0,42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6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96–96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65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A7007E">
            <w:pPr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2023–2025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4,07 → 4,31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+0,23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+0,10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+0,13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56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56–57</w:t>
            </w:r>
          </w:p>
        </w:tc>
      </w:tr>
    </w:tbl>
    <w:p w:rsidR="00A7007E" w:rsidRPr="002E29A4" w:rsidRDefault="00DC6471" w:rsidP="002E29A4">
      <w:pPr>
        <w:spacing w:after="120"/>
        <w:ind w:firstLine="0"/>
        <w:rPr>
          <w:sz w:val="16"/>
          <w:szCs w:val="16"/>
        </w:rPr>
      </w:pPr>
      <w:r w:rsidRPr="002E29A4">
        <w:rPr>
          <w:rFonts w:ascii="Times New Roman" w:hAnsi="Times New Roman" w:cs="Times New Roman"/>
          <w:sz w:val="16"/>
          <w:szCs w:val="16"/>
        </w:rPr>
        <w:lastRenderedPageBreak/>
        <w:t>Fonte: elaboração própria a partir de Inep (2026). Rede pública nos anos iniciais e finais, rede estadual no ensino médio. Última coluna: participação do fluxo quando o termo comum é atribuído integralmente ao desempenho (Laspeyres) ou ao fluxo (Paasche).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A Tabela 2 replica a decomposição nas 27 unidades da federação. As medianas confirmam o padrão nacional: entre 2019 e 2025, o desempenho contribui com 0,05 ponto nos anos finais e 0,02 no ensino médio, contra 0,38 e 0,43 do fluxo, e em 11 e 12 unidades, respectivamente, a proficiência recuou e o índice subiu. A contribuição do fluxo é fortemente decrescente no rendimento inicial em todas as etapas e períodos (correlações entre −0,58 e −0,96): quem partiu de aprovação mais baixa ganhou mais por aprovação, convergência quase automática, pois P é limitado pela unidade. A do desempenho converge apenas na série longa; no período recente a correlação desaparece nos anos finais (−0,08) e inverte o sinal no último biênio do ensino médio (+0,50): avançaram mais em proficiência as unidades que já estavam à frente.</w:t>
      </w:r>
    </w:p>
    <w:p w:rsidR="00A7007E" w:rsidRPr="002E29A4" w:rsidRDefault="00DC6471">
      <w:pPr>
        <w:keepNext/>
        <w:spacing w:before="110" w:after="60"/>
        <w:ind w:firstLine="0"/>
        <w:jc w:val="center"/>
        <w:rPr>
          <w:sz w:val="18"/>
          <w:szCs w:val="18"/>
        </w:rPr>
      </w:pPr>
      <w:r w:rsidRPr="002E29A4">
        <w:rPr>
          <w:rFonts w:ascii="Times New Roman" w:hAnsi="Times New Roman" w:cs="Times New Roman"/>
          <w:b/>
          <w:bCs/>
          <w:sz w:val="18"/>
          <w:szCs w:val="18"/>
        </w:rPr>
        <w:t>Tabela 2 – Contribuições medianas e convergência nas 27 unidades da federação</w:t>
      </w:r>
    </w:p>
    <w:tbl>
      <w:tblPr>
        <w:tblW w:w="5000" w:type="pct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379"/>
        <w:gridCol w:w="1168"/>
        <w:gridCol w:w="1437"/>
        <w:gridCol w:w="994"/>
        <w:gridCol w:w="1460"/>
        <w:gridCol w:w="1345"/>
        <w:gridCol w:w="1402"/>
      </w:tblGrid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Etapa</w:t>
            </w:r>
          </w:p>
        </w:tc>
        <w:tc>
          <w:tcPr>
            <w:tcW w:w="6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Período</w:t>
            </w:r>
          </w:p>
        </w:tc>
        <w:tc>
          <w:tcPr>
            <w:tcW w:w="78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Desempenho</w:t>
            </w:r>
          </w:p>
        </w:tc>
        <w:tc>
          <w:tcPr>
            <w:tcW w:w="54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Fluxo</w:t>
            </w:r>
          </w:p>
        </w:tc>
        <w:tc>
          <w:tcPr>
            <w:tcW w:w="79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 w:rsidP="002E29A4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UFs c</w:t>
            </w:r>
            <w:r w:rsid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desemp. &lt; 0</w:t>
            </w:r>
          </w:p>
        </w:tc>
        <w:tc>
          <w:tcPr>
            <w:tcW w:w="73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ρ(P₀, fluxo)</w:t>
            </w:r>
          </w:p>
        </w:tc>
        <w:tc>
          <w:tcPr>
            <w:tcW w:w="76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ρ(N₀, desemp.)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Anos iniciais</w:t>
            </w:r>
          </w:p>
        </w:tc>
        <w:tc>
          <w:tcPr>
            <w:tcW w:w="636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2005–2025</w:t>
            </w:r>
          </w:p>
        </w:tc>
        <w:tc>
          <w:tcPr>
            <w:tcW w:w="782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+1,71</w:t>
            </w:r>
          </w:p>
        </w:tc>
        <w:tc>
          <w:tcPr>
            <w:tcW w:w="54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+0,91</w:t>
            </w:r>
          </w:p>
        </w:tc>
        <w:tc>
          <w:tcPr>
            <w:tcW w:w="79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32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−0,96</w:t>
            </w:r>
          </w:p>
        </w:tc>
        <w:tc>
          <w:tcPr>
            <w:tcW w:w="76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−0,50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2019–2025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+0,24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+0,24</w:t>
            </w:r>
          </w:p>
        </w:tc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−0,85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−0,59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2023–2025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+0,33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+0,08</w:t>
            </w:r>
          </w:p>
        </w:tc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−0,86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−0,55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Anos finais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2005–2025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+0,74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+1,07</w:t>
            </w:r>
          </w:p>
        </w:tc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−0,84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−0,55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2019–2025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+0,38</w:t>
            </w:r>
          </w:p>
        </w:tc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−0,82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−0,08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2023–2025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+0,10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+0,11</w:t>
            </w:r>
          </w:p>
        </w:tc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−0,84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+0,20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Ensino médio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2005–2025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+0,46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+0,89</w:t>
            </w:r>
          </w:p>
        </w:tc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−0,62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−0,68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2019–2025</w:t>
            </w:r>
          </w:p>
        </w:tc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+0,02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+0,43</w:t>
            </w:r>
          </w:p>
        </w:tc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−0,70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−0,36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751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A7007E">
            <w:pPr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2023–2025</w:t>
            </w:r>
          </w:p>
        </w:tc>
        <w:tc>
          <w:tcPr>
            <w:tcW w:w="782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+0,09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732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−0,58</w:t>
            </w:r>
          </w:p>
        </w:tc>
        <w:tc>
          <w:tcPr>
            <w:tcW w:w="76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+0,50</w:t>
            </w:r>
          </w:p>
        </w:tc>
      </w:tr>
    </w:tbl>
    <w:p w:rsidR="00A7007E" w:rsidRPr="002E29A4" w:rsidRDefault="00DC6471" w:rsidP="002E29A4">
      <w:pPr>
        <w:spacing w:after="120"/>
        <w:ind w:firstLine="0"/>
        <w:rPr>
          <w:sz w:val="22"/>
        </w:rPr>
      </w:pPr>
      <w:r w:rsidRPr="002E29A4">
        <w:rPr>
          <w:rFonts w:ascii="Times New Roman" w:hAnsi="Times New Roman" w:cs="Times New Roman"/>
          <w:sz w:val="16"/>
          <w:szCs w:val="17"/>
        </w:rPr>
        <w:t>Fonte: elaboração própria a partir de Inep (2026). Medianas em pontos do índice; ρ é a correlação de Spearman entre o nível inicial do fator e sua contribuição, n = 27.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 xml:space="preserve">A consequência é direta. A aproximação do Ideb entre estados observada desde 2019 é aproximação de taxas de aprovação, não de aprendizagem </w:t>
      </w:r>
      <w:r w:rsidR="002E29A4">
        <w:rPr>
          <w:rFonts w:ascii="Times New Roman" w:hAnsi="Times New Roman" w:cs="Times New Roman"/>
          <w:szCs w:val="24"/>
        </w:rPr>
        <w:t xml:space="preserve">– </w:t>
      </w:r>
      <w:r>
        <w:rPr>
          <w:rFonts w:ascii="Times New Roman" w:hAnsi="Times New Roman" w:cs="Times New Roman"/>
          <w:szCs w:val="24"/>
        </w:rPr>
        <w:t>e, no ensino médio, a aprendizagem passou a divergir. A decomposição encadeada situa o resultado no tempo: em 2019</w:t>
      </w:r>
      <w:r w:rsidR="00F21C6F">
        <w:rPr>
          <w:rFonts w:ascii="Times New Roman" w:hAnsi="Times New Roman" w:cs="Times New Roman"/>
          <w:szCs w:val="24"/>
        </w:rPr>
        <w:t>-</w:t>
      </w:r>
      <w:r>
        <w:rPr>
          <w:rFonts w:ascii="Times New Roman" w:hAnsi="Times New Roman" w:cs="Times New Roman"/>
          <w:szCs w:val="24"/>
        </w:rPr>
        <w:t>2021 o desempenho contribuiu negativamente em todas as 27 unidades nos anos iniciais e em 23 e 21 nas demais etapas, com o fluxo compensando a perda.</w:t>
      </w:r>
    </w:p>
    <w:p w:rsidR="00A7007E" w:rsidRPr="002E29A4" w:rsidRDefault="00DC6471">
      <w:pPr>
        <w:keepNext/>
        <w:spacing w:before="110" w:after="60"/>
        <w:ind w:firstLine="0"/>
        <w:jc w:val="center"/>
        <w:rPr>
          <w:sz w:val="28"/>
        </w:rPr>
      </w:pPr>
      <w:r w:rsidRPr="002E29A4">
        <w:rPr>
          <w:rFonts w:ascii="Times New Roman" w:hAnsi="Times New Roman" w:cs="Times New Roman"/>
          <w:b/>
          <w:bCs/>
          <w:sz w:val="18"/>
          <w:szCs w:val="17"/>
        </w:rPr>
        <w:t>Tabela 3 – Decomposição da variância do logaritmo do Ideb entre as 27 unidades da federação (× 1.000)</w:t>
      </w:r>
    </w:p>
    <w:tbl>
      <w:tblPr>
        <w:tblW w:w="5000" w:type="pct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13"/>
        <w:gridCol w:w="865"/>
        <w:gridCol w:w="1459"/>
        <w:gridCol w:w="1459"/>
        <w:gridCol w:w="1459"/>
        <w:gridCol w:w="1350"/>
        <w:gridCol w:w="1080"/>
      </w:tblGrid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Etapa</w:t>
            </w:r>
          </w:p>
        </w:tc>
        <w:tc>
          <w:tcPr>
            <w:tcW w:w="4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79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Var(ln Ideb)</w:t>
            </w:r>
          </w:p>
        </w:tc>
        <w:tc>
          <w:tcPr>
            <w:tcW w:w="79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Desempenho Var(ln N)</w:t>
            </w:r>
          </w:p>
        </w:tc>
        <w:tc>
          <w:tcPr>
            <w:tcW w:w="79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Fluxo Var(ln P)</w:t>
            </w:r>
          </w:p>
        </w:tc>
        <w:tc>
          <w:tcPr>
            <w:tcW w:w="73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 Cov(ln N, ln P)</w:t>
            </w:r>
          </w:p>
        </w:tc>
        <w:tc>
          <w:tcPr>
            <w:tcW w:w="58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Desemp. (%)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Anos iniciais</w:t>
            </w:r>
          </w:p>
        </w:tc>
        <w:tc>
          <w:tcPr>
            <w:tcW w:w="47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  <w:tc>
          <w:tcPr>
            <w:tcW w:w="794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11,3</w:t>
            </w:r>
          </w:p>
        </w:tc>
        <w:tc>
          <w:tcPr>
            <w:tcW w:w="794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6,7</w:t>
            </w:r>
          </w:p>
        </w:tc>
        <w:tc>
          <w:tcPr>
            <w:tcW w:w="794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1,0</w:t>
            </w:r>
          </w:p>
        </w:tc>
        <w:tc>
          <w:tcPr>
            <w:tcW w:w="73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3,6</w:t>
            </w:r>
          </w:p>
        </w:tc>
        <w:tc>
          <w:tcPr>
            <w:tcW w:w="588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59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8,4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5,8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0,5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2,1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69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5,4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4,1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0,2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1,0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76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Anos finais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11,8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3,7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4,1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9,9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3,5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2,5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3,9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35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7,6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4,3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0,9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2,4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56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Ensino médio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13,1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5,5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4,0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3,5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42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A7007E">
            <w:pPr>
              <w:keepNext/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2023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10,8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3,2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5,0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2,5</w:t>
            </w:r>
          </w:p>
        </w:tc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007E" w:rsidRPr="002E29A4" w:rsidRDefault="00DC6471">
            <w:pPr>
              <w:keepNext/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</w:tr>
      <w:tr w:rsidR="00A7007E" w:rsidRPr="002E29A4" w:rsidTr="002E29A4">
        <w:trPr>
          <w:cantSplit/>
          <w:jc w:val="center"/>
        </w:trPr>
        <w:tc>
          <w:tcPr>
            <w:tcW w:w="824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A7007E">
            <w:pPr>
              <w:spacing w:before="10" w:after="10"/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10,0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5,0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2,1</w:t>
            </w:r>
          </w:p>
        </w:tc>
        <w:tc>
          <w:tcPr>
            <w:tcW w:w="73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2,8</w:t>
            </w:r>
          </w:p>
        </w:tc>
        <w:tc>
          <w:tcPr>
            <w:tcW w:w="588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A7007E" w:rsidRPr="002E29A4" w:rsidRDefault="00DC6471">
            <w:pPr>
              <w:spacing w:before="10" w:after="10"/>
              <w:ind w:firstLine="0"/>
              <w:jc w:val="center"/>
              <w:rPr>
                <w:sz w:val="16"/>
                <w:szCs w:val="16"/>
              </w:rPr>
            </w:pPr>
            <w:r w:rsidRPr="002E29A4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</w:tr>
    </w:tbl>
    <w:p w:rsidR="00A7007E" w:rsidRPr="002E29A4" w:rsidRDefault="00DC6471" w:rsidP="002E29A4">
      <w:pPr>
        <w:spacing w:after="120"/>
        <w:ind w:firstLine="0"/>
        <w:rPr>
          <w:sz w:val="16"/>
          <w:szCs w:val="16"/>
        </w:rPr>
      </w:pPr>
      <w:r w:rsidRPr="002E29A4">
        <w:rPr>
          <w:rFonts w:ascii="Times New Roman" w:hAnsi="Times New Roman" w:cs="Times New Roman"/>
          <w:sz w:val="16"/>
          <w:szCs w:val="16"/>
        </w:rPr>
        <w:t>Fonte: elaboração própria a partir de Inep (2026). Variâncias amostrais, n = 27; as três parcelas somam a variância do índice. Última coluna: parcela do desempenho na variância.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lastRenderedPageBreak/>
        <w:t xml:space="preserve">A Tabela 3 examina a mesma questão pelo lado da dispersão. A variância do logaritmo do Ideb entre as unidades, que em 2005 era de 43,6, 22,4 e 13,1 milésimos nas três etapas, seguiu caindo desde 2019 nos anos iniciais e finais e pouco se moveu no ensino médio; a identidade mostra de onde veio a queda. Nos anos finais, entre 2019 e 2025, a parcela do fluxo recuou de 3,7 para 0,9 e a da covariância de 4,1 para 2,4, enquanto a do desempenho aumentou, de 3,9 para 4,3: toda a redução da desigualdade do índice entre estados é redução da desigualdade de aprovação, e a desigualdade de proficiência é hoje maior que antes da pandemia. O ensino médio repete o padrão de forma aguda no último biênio: a parcela do desempenho passou de 3,2 para 5,0 e a do fluxo caiu de 5,0 para 2,1 </w:t>
      </w:r>
      <w:r w:rsidR="002E29A4">
        <w:rPr>
          <w:rFonts w:ascii="Times New Roman" w:hAnsi="Times New Roman" w:cs="Times New Roman"/>
          <w:szCs w:val="24"/>
        </w:rPr>
        <w:t xml:space="preserve">– </w:t>
      </w:r>
      <w:r>
        <w:rPr>
          <w:rFonts w:ascii="Times New Roman" w:hAnsi="Times New Roman" w:cs="Times New Roman"/>
          <w:szCs w:val="24"/>
        </w:rPr>
        <w:t>a contrapartida, em variância, da correlação positiva da Tabela 2. Nos anos iniciais o fluxo praticamente esgotou sua dispersão (0,2), e a desigualdade que resta no índice é, em três quartos, de aprendizagem.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Dois resultados completam a leitura. O espaço ainda disponível para o fluxo, N × (1 − P), equivale em 2025 a 0,1</w:t>
      </w:r>
      <w:r w:rsidR="00E22321"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 xml:space="preserve"> ponto de Ideb nos anos ini</w:t>
      </w:r>
      <w:bookmarkStart w:id="0" w:name="_GoBack"/>
      <w:bookmarkEnd w:id="0"/>
      <w:r>
        <w:rPr>
          <w:rFonts w:ascii="Times New Roman" w:hAnsi="Times New Roman" w:cs="Times New Roman"/>
          <w:szCs w:val="24"/>
        </w:rPr>
        <w:t>ciais, 0,22 nos anos finais e 0,25 no ensino médio, contra 0,44, 0,76 e 0,81 em 2013: o mecanismo que sustentou o índice e aproximou os estados por duas décadas está próximo do fim de curso. E o peso relativo dos dois fatores é herdado da padronização, não decidido: nos anos finais, com N = (S − 100)</w:t>
      </w:r>
      <w:r w:rsidR="00F21C6F">
        <w:rPr>
          <w:rFonts w:ascii="Times New Roman" w:hAnsi="Times New Roman" w:cs="Times New Roman"/>
          <w:szCs w:val="24"/>
        </w:rPr>
        <w:t xml:space="preserve"> ÷ </w:t>
      </w:r>
      <w:r>
        <w:rPr>
          <w:rFonts w:ascii="Times New Roman" w:hAnsi="Times New Roman" w:cs="Times New Roman"/>
          <w:szCs w:val="24"/>
        </w:rPr>
        <w:t>30 e P = 0,957, um ponto percentual de aprovação equivale a 1,64 ponto na escala do Saeb; sob a padronização proposta por Klein (2026), com limite inferior em 137,5, valeria 1,25 ponto. Qualquer revisão da escala altera silenciosamente o câmbio entre aprendizagem e aprovação.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>Os resultados dialogam com a literatura sobre respostas estratégicas a indicadores de alta visibilidade (CAMPBELL, 1979): o componente que depende de registro administrativo próprio é menos custoso de mover do que o aferido externamente, o que recomenda divulgar as duas trajetórias em separado (SOARES; ALVES; FONSECA, 2021).</w:t>
      </w:r>
    </w:p>
    <w:p w:rsidR="00A7007E" w:rsidRDefault="00DC6471">
      <w:pPr>
        <w:keepNext/>
        <w:spacing w:before="170" w:after="90" w:line="360" w:lineRule="auto"/>
        <w:ind w:firstLine="0"/>
        <w:jc w:val="left"/>
      </w:pPr>
      <w:r>
        <w:rPr>
          <w:rFonts w:ascii="Times New Roman" w:hAnsi="Times New Roman" w:cs="Times New Roman"/>
          <w:b/>
          <w:bCs/>
          <w:szCs w:val="24"/>
        </w:rPr>
        <w:t>Conclusão</w:t>
      </w:r>
    </w:p>
    <w:p w:rsidR="00A7007E" w:rsidRDefault="00DC6471" w:rsidP="00F21C6F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t xml:space="preserve">A pergunta pertinente não é se o Ideb subiu, mas qual fator o moveu. A decomposição de Shapley responde a isso de forma exata, com conclusões robustas à escolha do método. Usada como instrumento, mostra que o crescimento do índice nos anos finais e no ensino médio desde 2019 é quase inteiramente fluxo, que sem a recomposição da aprovação essas etapas estariam estagnadas, e que a convergência do Ideb entre estados é convergência de aprovação </w:t>
      </w:r>
      <w:r w:rsidR="00F21C6F">
        <w:rPr>
          <w:rFonts w:ascii="Times New Roman" w:hAnsi="Times New Roman" w:cs="Times New Roman"/>
          <w:szCs w:val="24"/>
        </w:rPr>
        <w:t xml:space="preserve">– nos </w:t>
      </w:r>
      <w:r>
        <w:rPr>
          <w:rFonts w:ascii="Times New Roman" w:hAnsi="Times New Roman" w:cs="Times New Roman"/>
          <w:szCs w:val="24"/>
        </w:rPr>
        <w:t>anos finais e no ensino médio, a dispersão de proficiência entre estados é hoje maior que em 2019. O biênio 2023</w:t>
      </w:r>
      <w:r w:rsidR="00F21C6F">
        <w:rPr>
          <w:rFonts w:ascii="Times New Roman" w:hAnsi="Times New Roman" w:cs="Times New Roman"/>
          <w:szCs w:val="24"/>
        </w:rPr>
        <w:t>-</w:t>
      </w:r>
      <w:r>
        <w:rPr>
          <w:rFonts w:ascii="Times New Roman" w:hAnsi="Times New Roman" w:cs="Times New Roman"/>
          <w:szCs w:val="24"/>
        </w:rPr>
        <w:t>2025 nos anos iniciais é a exceção que confirma a utilidade do método.</w:t>
      </w:r>
    </w:p>
    <w:p w:rsidR="00A7007E" w:rsidRDefault="00DC6471" w:rsidP="002E29A4">
      <w:pPr>
        <w:spacing w:after="0" w:line="360" w:lineRule="auto"/>
      </w:pPr>
      <w:r>
        <w:rPr>
          <w:rFonts w:ascii="Times New Roman" w:hAnsi="Times New Roman" w:cs="Times New Roman"/>
          <w:szCs w:val="24"/>
        </w:rPr>
        <w:lastRenderedPageBreak/>
        <w:t>Como o fluxo tem teto rígido e já se encontra próximo dele, as próximas edições tenderão a refletir sobretudo a proficiência. Acompanhar cada variação divulgada da decomposição correspondente evita que recomposição de fluxo seja lida como ganho de aprendizagem, ou aproximação entre estados como redução de desigualdade educacional.</w:t>
      </w:r>
    </w:p>
    <w:p w:rsidR="00A7007E" w:rsidRPr="002E29A4" w:rsidRDefault="00DC6471">
      <w:pPr>
        <w:keepNext/>
        <w:spacing w:before="170" w:after="90" w:line="360" w:lineRule="auto"/>
        <w:ind w:firstLine="0"/>
        <w:jc w:val="left"/>
        <w:rPr>
          <w:lang w:val="en-US"/>
        </w:rPr>
      </w:pPr>
      <w:r w:rsidRPr="002E29A4">
        <w:rPr>
          <w:rFonts w:ascii="Times New Roman" w:hAnsi="Times New Roman" w:cs="Times New Roman"/>
          <w:b/>
          <w:bCs/>
          <w:szCs w:val="24"/>
          <w:lang w:val="en-US"/>
        </w:rPr>
        <w:t>Referências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  <w:lang w:val="en-US"/>
        </w:rPr>
      </w:pPr>
      <w:r w:rsidRPr="00F21C6F">
        <w:rPr>
          <w:rFonts w:ascii="Times New Roman" w:hAnsi="Times New Roman" w:cs="Times New Roman"/>
          <w:sz w:val="23"/>
          <w:szCs w:val="23"/>
          <w:lang w:val="en-US"/>
        </w:rPr>
        <w:t xml:space="preserve">ANG, B. W. Decomposition analysis for policymaking in energy: which is the preferred method? </w:t>
      </w:r>
      <w:r w:rsidRPr="00F21C6F">
        <w:rPr>
          <w:rFonts w:ascii="Times New Roman" w:hAnsi="Times New Roman" w:cs="Times New Roman"/>
          <w:b/>
          <w:bCs/>
          <w:sz w:val="23"/>
          <w:szCs w:val="23"/>
          <w:lang w:val="en-US"/>
        </w:rPr>
        <w:t>Energy Policy</w:t>
      </w:r>
      <w:r w:rsidRPr="00F21C6F">
        <w:rPr>
          <w:rFonts w:ascii="Times New Roman" w:hAnsi="Times New Roman" w:cs="Times New Roman"/>
          <w:sz w:val="23"/>
          <w:szCs w:val="23"/>
          <w:lang w:val="en-US"/>
        </w:rPr>
        <w:t>, v. 32, n. 9, p. 1131-1139, 2004.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  <w:lang w:val="en-US"/>
        </w:rPr>
      </w:pPr>
      <w:r w:rsidRPr="00F21C6F">
        <w:rPr>
          <w:rFonts w:ascii="Times New Roman" w:hAnsi="Times New Roman" w:cs="Times New Roman"/>
          <w:sz w:val="23"/>
          <w:szCs w:val="23"/>
          <w:lang w:val="en-US"/>
        </w:rPr>
        <w:t xml:space="preserve">CAMPBELL, D. T. Assessing the impact of planned social change. </w:t>
      </w:r>
      <w:r w:rsidRPr="00F21C6F">
        <w:rPr>
          <w:rFonts w:ascii="Times New Roman" w:hAnsi="Times New Roman" w:cs="Times New Roman"/>
          <w:b/>
          <w:bCs/>
          <w:sz w:val="23"/>
          <w:szCs w:val="23"/>
          <w:lang w:val="en-US"/>
        </w:rPr>
        <w:t>Evaluation and Program Planning</w:t>
      </w:r>
      <w:r w:rsidRPr="00F21C6F">
        <w:rPr>
          <w:rFonts w:ascii="Times New Roman" w:hAnsi="Times New Roman" w:cs="Times New Roman"/>
          <w:sz w:val="23"/>
          <w:szCs w:val="23"/>
          <w:lang w:val="en-US"/>
        </w:rPr>
        <w:t>, v. 2, n. 1, p. 67-90, 1979.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</w:rPr>
      </w:pPr>
      <w:r w:rsidRPr="00F21C6F">
        <w:rPr>
          <w:rFonts w:ascii="Times New Roman" w:hAnsi="Times New Roman" w:cs="Times New Roman"/>
          <w:sz w:val="23"/>
          <w:szCs w:val="23"/>
        </w:rPr>
        <w:t xml:space="preserve">FERNANDES, R. </w:t>
      </w:r>
      <w:r w:rsidRPr="00F21C6F">
        <w:rPr>
          <w:rFonts w:ascii="Times New Roman" w:hAnsi="Times New Roman" w:cs="Times New Roman"/>
          <w:b/>
          <w:bCs/>
          <w:sz w:val="23"/>
          <w:szCs w:val="23"/>
        </w:rPr>
        <w:t>Nota técnica</w:t>
      </w:r>
      <w:r w:rsidRPr="00F21C6F">
        <w:rPr>
          <w:rFonts w:ascii="Times New Roman" w:hAnsi="Times New Roman" w:cs="Times New Roman"/>
          <w:sz w:val="23"/>
          <w:szCs w:val="23"/>
        </w:rPr>
        <w:t xml:space="preserve">: índice de desenvolvimento da educação básica, Ideb. Brasília, DF: Inep, 2008. 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</w:rPr>
      </w:pPr>
      <w:r w:rsidRPr="00F21C6F">
        <w:rPr>
          <w:rFonts w:ascii="Times New Roman" w:hAnsi="Times New Roman" w:cs="Times New Roman"/>
          <w:sz w:val="23"/>
          <w:szCs w:val="23"/>
        </w:rPr>
        <w:t xml:space="preserve">INSTITUTO NACIONAL DE ESTUDOS E PESQUISAS EDUCACIONAIS ANÍSIO TEIXEIRA. </w:t>
      </w:r>
      <w:r w:rsidRPr="00F21C6F">
        <w:rPr>
          <w:rFonts w:ascii="Times New Roman" w:hAnsi="Times New Roman" w:cs="Times New Roman"/>
          <w:b/>
          <w:bCs/>
          <w:sz w:val="23"/>
          <w:szCs w:val="23"/>
        </w:rPr>
        <w:t>Planilhas do Ideb 2025</w:t>
      </w:r>
      <w:r w:rsidRPr="00F21C6F">
        <w:rPr>
          <w:rFonts w:ascii="Times New Roman" w:hAnsi="Times New Roman" w:cs="Times New Roman"/>
          <w:sz w:val="23"/>
          <w:szCs w:val="23"/>
        </w:rPr>
        <w:t>. Brasília, DF: Inep, 2026.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</w:rPr>
      </w:pPr>
      <w:r w:rsidRPr="00F21C6F">
        <w:rPr>
          <w:rFonts w:ascii="Times New Roman" w:hAnsi="Times New Roman" w:cs="Times New Roman"/>
          <w:sz w:val="23"/>
          <w:szCs w:val="23"/>
        </w:rPr>
        <w:t xml:space="preserve">KLEIN, R. Proposta para um novo Ideb. </w:t>
      </w:r>
      <w:r w:rsidRPr="00F21C6F">
        <w:rPr>
          <w:rFonts w:ascii="Times New Roman" w:hAnsi="Times New Roman" w:cs="Times New Roman"/>
          <w:b/>
          <w:bCs/>
          <w:sz w:val="23"/>
          <w:szCs w:val="23"/>
        </w:rPr>
        <w:t>Ensaio: Avaliação e Políticas Públicas em Educação</w:t>
      </w:r>
      <w:r w:rsidRPr="00F21C6F">
        <w:rPr>
          <w:rFonts w:ascii="Times New Roman" w:hAnsi="Times New Roman" w:cs="Times New Roman"/>
          <w:sz w:val="23"/>
          <w:szCs w:val="23"/>
        </w:rPr>
        <w:t>, Rio de Janeiro, v. 34, n. 130, p. 1-17, jan./mar. 2026.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  <w:lang w:val="en-US"/>
        </w:rPr>
      </w:pPr>
      <w:r w:rsidRPr="00F21C6F">
        <w:rPr>
          <w:rFonts w:ascii="Times New Roman" w:hAnsi="Times New Roman" w:cs="Times New Roman"/>
          <w:sz w:val="23"/>
          <w:szCs w:val="23"/>
          <w:lang w:val="en-US"/>
        </w:rPr>
        <w:t xml:space="preserve">SHORROCKS, A. F. Decomposition procedures for distributional analysis: a unified framework based on the Shapley value. </w:t>
      </w:r>
      <w:r w:rsidRPr="00F21C6F">
        <w:rPr>
          <w:rFonts w:ascii="Times New Roman" w:hAnsi="Times New Roman" w:cs="Times New Roman"/>
          <w:b/>
          <w:bCs/>
          <w:sz w:val="23"/>
          <w:szCs w:val="23"/>
          <w:lang w:val="en-US"/>
        </w:rPr>
        <w:t>Journal of Economic Inequality</w:t>
      </w:r>
      <w:r w:rsidRPr="00F21C6F">
        <w:rPr>
          <w:rFonts w:ascii="Times New Roman" w:hAnsi="Times New Roman" w:cs="Times New Roman"/>
          <w:sz w:val="23"/>
          <w:szCs w:val="23"/>
          <w:lang w:val="en-US"/>
        </w:rPr>
        <w:t>, v. 11, n. 1, p. 99-126, 2013.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</w:rPr>
      </w:pPr>
      <w:r w:rsidRPr="00F21C6F">
        <w:rPr>
          <w:rFonts w:ascii="Times New Roman" w:hAnsi="Times New Roman" w:cs="Times New Roman"/>
          <w:sz w:val="23"/>
          <w:szCs w:val="23"/>
          <w:lang w:val="en-US"/>
        </w:rPr>
        <w:t xml:space="preserve">SOARES, D. J. M.; SANTOS, W. dos. </w:t>
      </w:r>
      <w:r w:rsidRPr="00F21C6F">
        <w:rPr>
          <w:rFonts w:ascii="Times New Roman" w:hAnsi="Times New Roman" w:cs="Times New Roman"/>
          <w:sz w:val="23"/>
          <w:szCs w:val="23"/>
        </w:rPr>
        <w:t xml:space="preserve">Ideb e os desafios da educação como direito: propostas para uma (re)formulação. </w:t>
      </w:r>
      <w:r w:rsidRPr="00F21C6F">
        <w:rPr>
          <w:rFonts w:ascii="Times New Roman" w:hAnsi="Times New Roman" w:cs="Times New Roman"/>
          <w:b/>
          <w:bCs/>
          <w:sz w:val="23"/>
          <w:szCs w:val="23"/>
        </w:rPr>
        <w:t>Estudos em Avaliação Educacional</w:t>
      </w:r>
      <w:r w:rsidRPr="00F21C6F">
        <w:rPr>
          <w:rFonts w:ascii="Times New Roman" w:hAnsi="Times New Roman" w:cs="Times New Roman"/>
          <w:sz w:val="23"/>
          <w:szCs w:val="23"/>
        </w:rPr>
        <w:t>, v. 36, e11780, 2025.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</w:rPr>
      </w:pPr>
      <w:r w:rsidRPr="00F21C6F">
        <w:rPr>
          <w:rFonts w:ascii="Times New Roman" w:hAnsi="Times New Roman" w:cs="Times New Roman"/>
          <w:sz w:val="23"/>
          <w:szCs w:val="23"/>
        </w:rPr>
        <w:t xml:space="preserve">SOARES, J. F.; ALVES, M. T. G.; FONSECA, J. A. Trajetórias educacionais como evidência da qualidade da educação básica brasileira. </w:t>
      </w:r>
      <w:r w:rsidRPr="00F21C6F">
        <w:rPr>
          <w:rFonts w:ascii="Times New Roman" w:hAnsi="Times New Roman" w:cs="Times New Roman"/>
          <w:b/>
          <w:bCs/>
          <w:sz w:val="23"/>
          <w:szCs w:val="23"/>
        </w:rPr>
        <w:t>Revista Brasileira de Estudos de População</w:t>
      </w:r>
      <w:r w:rsidRPr="00F21C6F">
        <w:rPr>
          <w:rFonts w:ascii="Times New Roman" w:hAnsi="Times New Roman" w:cs="Times New Roman"/>
          <w:sz w:val="23"/>
          <w:szCs w:val="23"/>
        </w:rPr>
        <w:t>, v. 38, e0167, 2021.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  <w:lang w:val="en-US"/>
        </w:rPr>
      </w:pPr>
      <w:r w:rsidRPr="00F21C6F">
        <w:rPr>
          <w:rFonts w:ascii="Times New Roman" w:hAnsi="Times New Roman" w:cs="Times New Roman"/>
          <w:sz w:val="23"/>
          <w:szCs w:val="23"/>
        </w:rPr>
        <w:t xml:space="preserve">SOARES, J. F.; XAVIER, F. P. Pressupostos educacionais e estatísticos do Ideb. </w:t>
      </w:r>
      <w:r w:rsidRPr="00F21C6F">
        <w:rPr>
          <w:rFonts w:ascii="Times New Roman" w:hAnsi="Times New Roman" w:cs="Times New Roman"/>
          <w:b/>
          <w:bCs/>
          <w:sz w:val="23"/>
          <w:szCs w:val="23"/>
          <w:lang w:val="en-US"/>
        </w:rPr>
        <w:t>Educação &amp; Sociedade</w:t>
      </w:r>
      <w:r w:rsidRPr="00F21C6F">
        <w:rPr>
          <w:rFonts w:ascii="Times New Roman" w:hAnsi="Times New Roman" w:cs="Times New Roman"/>
          <w:sz w:val="23"/>
          <w:szCs w:val="23"/>
          <w:lang w:val="en-US"/>
        </w:rPr>
        <w:t>, Campinas, v. 34, n. 124, p. 903-923, 2013.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</w:rPr>
      </w:pPr>
      <w:r w:rsidRPr="00F21C6F">
        <w:rPr>
          <w:rFonts w:ascii="Times New Roman" w:hAnsi="Times New Roman" w:cs="Times New Roman"/>
          <w:sz w:val="23"/>
          <w:szCs w:val="23"/>
          <w:lang w:val="en-US"/>
        </w:rPr>
        <w:t xml:space="preserve">SUN, J. W. Changes in energy consumption and energy intensity: a complete decomposition model. </w:t>
      </w:r>
      <w:r w:rsidRPr="00F21C6F">
        <w:rPr>
          <w:rFonts w:ascii="Times New Roman" w:hAnsi="Times New Roman" w:cs="Times New Roman"/>
          <w:b/>
          <w:bCs/>
          <w:sz w:val="23"/>
          <w:szCs w:val="23"/>
        </w:rPr>
        <w:t>Energy Economics</w:t>
      </w:r>
      <w:r w:rsidRPr="00F21C6F">
        <w:rPr>
          <w:rFonts w:ascii="Times New Roman" w:hAnsi="Times New Roman" w:cs="Times New Roman"/>
          <w:sz w:val="23"/>
          <w:szCs w:val="23"/>
        </w:rPr>
        <w:t>, v. 20, n. 1, p. 85-100, 1998.</w:t>
      </w:r>
    </w:p>
    <w:p w:rsidR="00A7007E" w:rsidRPr="00F21C6F" w:rsidRDefault="00DC6471" w:rsidP="00C666E0">
      <w:pPr>
        <w:spacing w:after="120"/>
        <w:ind w:firstLine="0"/>
        <w:jc w:val="left"/>
        <w:rPr>
          <w:sz w:val="23"/>
          <w:szCs w:val="23"/>
        </w:rPr>
      </w:pPr>
      <w:r w:rsidRPr="00F21C6F">
        <w:rPr>
          <w:rFonts w:ascii="Times New Roman" w:hAnsi="Times New Roman" w:cs="Times New Roman"/>
          <w:sz w:val="23"/>
          <w:szCs w:val="23"/>
        </w:rPr>
        <w:t xml:space="preserve">WALTENBERG, F. </w:t>
      </w:r>
      <w:r w:rsidRPr="00F21C6F">
        <w:rPr>
          <w:rFonts w:ascii="Times New Roman" w:hAnsi="Times New Roman" w:cs="Times New Roman"/>
          <w:b/>
          <w:bCs/>
          <w:sz w:val="23"/>
          <w:szCs w:val="23"/>
        </w:rPr>
        <w:t>Equidade e o futuro do Ideb em debate</w:t>
      </w:r>
      <w:r w:rsidRPr="00F21C6F">
        <w:rPr>
          <w:rFonts w:ascii="Times New Roman" w:hAnsi="Times New Roman" w:cs="Times New Roman"/>
          <w:sz w:val="23"/>
          <w:szCs w:val="23"/>
        </w:rPr>
        <w:t>. São P</w:t>
      </w:r>
      <w:r w:rsidR="00C666E0" w:rsidRPr="00F21C6F">
        <w:rPr>
          <w:rFonts w:ascii="Times New Roman" w:hAnsi="Times New Roman" w:cs="Times New Roman"/>
          <w:sz w:val="23"/>
          <w:szCs w:val="23"/>
        </w:rPr>
        <w:t>aulo: Instituto Unibanco, 2024.</w:t>
      </w:r>
    </w:p>
    <w:sectPr w:rsidR="00A7007E" w:rsidRPr="00F21C6F">
      <w:headerReference w:type="default" r:id="rId7"/>
      <w:footerReference w:type="default" r:id="rId8"/>
      <w:pgSz w:w="11906" w:h="16838"/>
      <w:pgMar w:top="1701" w:right="1134" w:bottom="1134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68DF" w:rsidRDefault="00BC68DF">
      <w:pPr>
        <w:spacing w:after="0"/>
      </w:pPr>
      <w:r>
        <w:separator/>
      </w:r>
    </w:p>
  </w:endnote>
  <w:endnote w:type="continuationSeparator" w:id="0">
    <w:p w:rsidR="00BC68DF" w:rsidRDefault="00BC68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80" w:type="dxa"/>
      <w:tblLayout w:type="fixed"/>
      <w:tblLook w:val="04A0" w:firstRow="1" w:lastRow="0" w:firstColumn="1" w:lastColumn="0" w:noHBand="0" w:noVBand="1"/>
    </w:tblPr>
    <w:tblGrid>
      <w:gridCol w:w="7621"/>
      <w:gridCol w:w="1559"/>
    </w:tblGrid>
    <w:tr w:rsidR="00A7007E">
      <w:tc>
        <w:tcPr>
          <w:tcW w:w="7621" w:type="dxa"/>
          <w:vAlign w:val="center"/>
        </w:tcPr>
        <w:p w:rsidR="00A7007E" w:rsidRPr="002E29A4" w:rsidRDefault="00DC6471">
          <w:pPr>
            <w:widowControl w:val="0"/>
            <w:tabs>
              <w:tab w:val="left" w:pos="2760"/>
            </w:tabs>
            <w:autoSpaceDE w:val="0"/>
            <w:spacing w:after="0" w:line="200" w:lineRule="exact"/>
            <w:ind w:firstLine="0"/>
            <w:jc w:val="left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2E29A4">
            <w:rPr>
              <w:rFonts w:ascii="Times New Roman" w:hAnsi="Times New Roman" w:cs="Times New Roman"/>
              <w:i/>
              <w:sz w:val="20"/>
              <w:szCs w:val="20"/>
            </w:rPr>
            <w:t>X CONBRATRI 26 a 28 de Outubro de 2026, São Paulo-SP</w:t>
          </w:r>
        </w:p>
      </w:tc>
      <w:tc>
        <w:tcPr>
          <w:tcW w:w="1559" w:type="dxa"/>
          <w:vAlign w:val="center"/>
        </w:tcPr>
        <w:p w:rsidR="00A7007E" w:rsidRPr="002E29A4" w:rsidRDefault="00DC6471">
          <w:pPr>
            <w:pStyle w:val="Cabealho"/>
            <w:spacing w:after="0"/>
            <w:jc w:val="right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2E29A4">
            <w:rPr>
              <w:rFonts w:ascii="Times New Roman" w:hAnsi="Times New Roman" w:cs="Times New Roman"/>
              <w:i/>
              <w:sz w:val="20"/>
              <w:szCs w:val="20"/>
            </w:rPr>
            <w:t xml:space="preserve">Pág. </w:t>
          </w:r>
          <w:r w:rsidRPr="002E29A4">
            <w:rPr>
              <w:rFonts w:ascii="Times New Roman" w:hAnsi="Times New Roman" w:cs="Times New Roman"/>
              <w:i/>
              <w:sz w:val="20"/>
              <w:szCs w:val="20"/>
            </w:rPr>
            <w:fldChar w:fldCharType="begin"/>
          </w:r>
          <w:r w:rsidRPr="002E29A4">
            <w:rPr>
              <w:rFonts w:ascii="Times New Roman" w:hAnsi="Times New Roman" w:cs="Times New Roman"/>
              <w:i/>
              <w:sz w:val="20"/>
              <w:szCs w:val="20"/>
            </w:rPr>
            <w:instrText xml:space="preserve"> PAGE </w:instrText>
          </w:r>
          <w:r w:rsidRPr="002E29A4">
            <w:rPr>
              <w:rFonts w:ascii="Times New Roman" w:hAnsi="Times New Roman" w:cs="Times New Roman"/>
              <w:i/>
              <w:sz w:val="20"/>
              <w:szCs w:val="20"/>
            </w:rPr>
            <w:fldChar w:fldCharType="separate"/>
          </w:r>
          <w:r w:rsidR="00271C55">
            <w:rPr>
              <w:rFonts w:ascii="Times New Roman" w:hAnsi="Times New Roman" w:cs="Times New Roman"/>
              <w:i/>
              <w:noProof/>
              <w:sz w:val="20"/>
              <w:szCs w:val="20"/>
            </w:rPr>
            <w:t>5</w:t>
          </w:r>
          <w:r w:rsidRPr="002E29A4">
            <w:rPr>
              <w:rFonts w:ascii="Times New Roman" w:hAnsi="Times New Roman" w:cs="Times New Roman"/>
              <w:i/>
              <w:sz w:val="20"/>
              <w:szCs w:val="20"/>
            </w:rPr>
            <w:fldChar w:fldCharType="end"/>
          </w:r>
        </w:p>
      </w:tc>
    </w:tr>
  </w:tbl>
  <w:p w:rsidR="00A7007E" w:rsidRDefault="00A7007E">
    <w:pPr>
      <w:widowControl w:val="0"/>
      <w:tabs>
        <w:tab w:val="left" w:pos="2760"/>
      </w:tabs>
      <w:autoSpaceDE w:val="0"/>
      <w:spacing w:after="0" w:line="200" w:lineRule="exact"/>
      <w:ind w:firstLine="0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68DF" w:rsidRDefault="00BC68DF">
      <w:pPr>
        <w:spacing w:after="0"/>
      </w:pPr>
      <w:r>
        <w:separator/>
      </w:r>
    </w:p>
  </w:footnote>
  <w:footnote w:type="continuationSeparator" w:id="0">
    <w:p w:rsidR="00BC68DF" w:rsidRDefault="00BC68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07E" w:rsidRPr="002E29A4" w:rsidRDefault="002E29A4" w:rsidP="002E29A4">
    <w:pPr>
      <w:pStyle w:val="Cabealho"/>
      <w:ind w:firstLine="0"/>
      <w:jc w:val="center"/>
      <w:rPr>
        <w:rFonts w:ascii="Times New Roman" w:hAnsi="Times New Roman" w:cs="Times New Roman"/>
        <w:i/>
      </w:rPr>
    </w:pPr>
    <w:r w:rsidRPr="002E29A4">
      <w:rPr>
        <w:rFonts w:ascii="Times New Roman" w:hAnsi="Times New Roman" w:cs="Times New Roman"/>
        <w:i/>
        <w:noProof/>
        <w:lang w:eastAsia="pt-BR"/>
      </w:rPr>
      <w:t>Decomposição da variação do Ideb entre 2005 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41612"/>
    <w:multiLevelType w:val="multilevel"/>
    <w:tmpl w:val="CC02E8D0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4"/>
  <w:doNotTrackMoves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007E"/>
    <w:rsid w:val="00271C55"/>
    <w:rsid w:val="002E29A4"/>
    <w:rsid w:val="00A7007E"/>
    <w:rsid w:val="00BC68DF"/>
    <w:rsid w:val="00C666E0"/>
    <w:rsid w:val="00DC6471"/>
    <w:rsid w:val="00E22321"/>
    <w:rsid w:val="00F2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E6AEA3"/>
  <w15:docId w15:val="{5171EA4E-9A9F-4674-B46B-B464D6A1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/>
      <w:ind w:firstLine="720"/>
      <w:jc w:val="both"/>
    </w:pPr>
    <w:rPr>
      <w:rFonts w:ascii="Arial" w:eastAsia="Times New Roman" w:hAnsi="Arial" w:cs="Arial"/>
      <w:sz w:val="24"/>
      <w:szCs w:val="22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cs="Times New Roman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cs="Times New Roman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cs="Calibri"/>
      <w:b/>
      <w:bCs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cs="Calibri"/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CabealhoChar">
    <w:name w:val="Cabeçalho Char"/>
    <w:qFormat/>
    <w:rPr>
      <w:rFonts w:ascii="Arial" w:hAnsi="Arial" w:cs="Arial"/>
    </w:rPr>
  </w:style>
  <w:style w:type="character" w:customStyle="1" w:styleId="RodapChar">
    <w:name w:val="Rodapé Char"/>
    <w:qFormat/>
    <w:rPr>
      <w:rFonts w:ascii="Arial" w:hAnsi="Arial" w:cs="Arial"/>
    </w:rPr>
  </w:style>
  <w:style w:type="character" w:customStyle="1" w:styleId="Ttulo1Char">
    <w:name w:val="Título 1 Char"/>
    <w:qFormat/>
    <w:rPr>
      <w:rFonts w:ascii="Arial" w:eastAsia="Times New Roman" w:hAnsi="Arial" w:cs="Times New Roman"/>
      <w:b/>
      <w:bCs/>
      <w:kern w:val="2"/>
      <w:sz w:val="32"/>
      <w:szCs w:val="32"/>
    </w:rPr>
  </w:style>
  <w:style w:type="character" w:customStyle="1" w:styleId="TtuloChar">
    <w:name w:val="Título Char"/>
    <w:qFormat/>
    <w:rPr>
      <w:rFonts w:ascii="Arial" w:hAnsi="Arial" w:cs="Arial"/>
      <w:sz w:val="39"/>
      <w:szCs w:val="39"/>
      <w:vertAlign w:val="subscript"/>
    </w:rPr>
  </w:style>
  <w:style w:type="character" w:customStyle="1" w:styleId="Ttulo2Char">
    <w:name w:val="Título 2 Char"/>
    <w:qFormat/>
    <w:rPr>
      <w:rFonts w:ascii="Arial" w:eastAsia="Times New Roman" w:hAnsi="Arial" w:cs="Times New Roman"/>
      <w:b/>
      <w:bCs/>
      <w:iCs/>
      <w:sz w:val="28"/>
      <w:szCs w:val="28"/>
    </w:rPr>
  </w:style>
  <w:style w:type="character" w:customStyle="1" w:styleId="SubttuloChar">
    <w:name w:val="Subtítulo Char"/>
    <w:qFormat/>
    <w:rPr>
      <w:rFonts w:ascii="Cambria" w:eastAsia="Times New Roman" w:hAnsi="Cambria" w:cs="Times New Roman"/>
      <w:sz w:val="24"/>
      <w:szCs w:val="24"/>
    </w:rPr>
  </w:style>
  <w:style w:type="character" w:customStyle="1" w:styleId="Ttulo3Char">
    <w:name w:val="Título 3 Ch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qFormat/>
    <w:rPr>
      <w:b/>
      <w:bCs/>
      <w:sz w:val="28"/>
      <w:szCs w:val="28"/>
    </w:rPr>
  </w:style>
  <w:style w:type="character" w:customStyle="1" w:styleId="Ttulo5Char">
    <w:name w:val="Título 5 Char"/>
    <w:qFormat/>
    <w:rPr>
      <w:b/>
      <w:bCs/>
      <w:i/>
      <w:iCs/>
      <w:sz w:val="26"/>
      <w:szCs w:val="26"/>
    </w:rPr>
  </w:style>
  <w:style w:type="character" w:customStyle="1" w:styleId="Ttulo6Char">
    <w:name w:val="Título 6 Char"/>
    <w:qFormat/>
    <w:rPr>
      <w:b/>
      <w:bCs/>
    </w:rPr>
  </w:style>
  <w:style w:type="character" w:customStyle="1" w:styleId="Ttulo7Char">
    <w:name w:val="Título 7 Char"/>
    <w:qFormat/>
    <w:rPr>
      <w:sz w:val="24"/>
      <w:szCs w:val="24"/>
    </w:rPr>
  </w:style>
  <w:style w:type="character" w:customStyle="1" w:styleId="Ttulo8Char">
    <w:name w:val="Título 8 Char"/>
    <w:qFormat/>
    <w:rPr>
      <w:i/>
      <w:iCs/>
      <w:sz w:val="24"/>
      <w:szCs w:val="24"/>
    </w:rPr>
  </w:style>
  <w:style w:type="character" w:customStyle="1" w:styleId="Ttulo9Char">
    <w:name w:val="Título 9 Char"/>
    <w:qFormat/>
    <w:rPr>
      <w:rFonts w:ascii="Cambria" w:eastAsia="Times New Roman" w:hAnsi="Cambria" w:cs="Times New Roman"/>
    </w:rPr>
  </w:style>
  <w:style w:type="character" w:customStyle="1" w:styleId="TextodenotaderodapChar">
    <w:name w:val="Texto de nota de rodapé Char"/>
    <w:qFormat/>
    <w:rPr>
      <w:rFonts w:ascii="Arial" w:hAnsi="Arial" w:cs="Arial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MenoPendente">
    <w:name w:val="Menção Pendente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Normal"/>
    <w:qFormat/>
    <w:pPr>
      <w:widowControl w:val="0"/>
      <w:autoSpaceDE w:val="0"/>
      <w:spacing w:after="0" w:line="447" w:lineRule="exact"/>
      <w:ind w:left="2904" w:right="2884"/>
      <w:jc w:val="center"/>
    </w:pPr>
    <w:rPr>
      <w:position w:val="-1"/>
      <w:sz w:val="39"/>
      <w:szCs w:val="39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 w:cs="Times New Roman"/>
      <w:szCs w:val="24"/>
    </w:r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</Pages>
  <Words>2434</Words>
  <Characters>13146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Vicente Fonseca Ribeiro</cp:lastModifiedBy>
  <cp:revision>4</cp:revision>
  <dcterms:created xsi:type="dcterms:W3CDTF">2026-09-08T21:30:00Z</dcterms:created>
  <dcterms:modified xsi:type="dcterms:W3CDTF">2026-09-10T12:42:00Z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2026-07-28T20:52:00Z</dcterms:created>
  <dc:creator>Luiz Vicente Fonseca Ribeiro; Wagner Silveira Rezende; Arthur Augusto de Oliveira Rocha</dc:creator>
  <dc:description>DocumentCreationInfo</dc:description>
  <cp:keywords/>
  <dc:language>en-US</dc:language>
  <cp:lastModifiedBy>Luiz Vicente Fonseca Ribeiro; Wagner Silveira Rezende; Arthur Augusto de Oliveira Rocha</cp:lastModifiedBy>
  <cp:lastPrinted>2013-09-13T15:20:00Z</cp:lastPrinted>
  <dcterms:modified xsi:type="dcterms:W3CDTF">2026-07-28T20:52:00Z</dcterms:modified>
  <cp:revision>2</cp:revision>
  <dc:subject/>
  <dc:title>Desempenho ou fluxo? Decomposição da variação do Ideb entre 2005 e 2025</dc:title>
</cp:coreProperties>
</file>