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Uso da teoria clássica dos testes na eliminação de itens: Características dos coeficientes ponto-bisserial e bisserial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ind w:firstLine="720"/>
        <w:jc w:val="center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Sérgio Silva Santos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Leandro Furtado de Santana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Maria Monteiro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Gomes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Valcir João da Cunha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Farias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Heliton Ribeiro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Tavares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="360" w:lineRule="auto"/>
        <w:ind w:firstLine="720"/>
        <w:jc w:val="center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ind w:firstLine="72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Universidade Federal do Pará,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sergiosilvasantos2612@gmail.com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ind w:firstLine="72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Universidade Federal do Pará,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leafursan@gmail.com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ind w:firstLine="72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Universidade Federal do Pará,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maria.monteirogomes06@gmail.com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ind w:firstLine="72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Universidade Federal do Pará,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valcir@ufpa.br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ind w:firstLine="720"/>
        <w:rPr>
          <w:rFonts w:ascii="Times New Roman" w:cs="Times New Roman" w:eastAsia="Times New Roman" w:hAnsi="Times New Roman"/>
          <w:vertAlign w:val="baseline"/>
        </w:rPr>
        <w:sectPr>
          <w:headerReference r:id="rId11" w:type="default"/>
          <w:footerReference r:id="rId12" w:type="default"/>
          <w:pgSz w:h="16840" w:w="11920" w:orient="portrait"/>
          <w:pgMar w:bottom="280" w:top="1560" w:left="1660" w:right="16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Universidade Federal do Pará,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heliton@ufpa.br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4111"/>
        </w:tabs>
        <w:spacing w:after="0" w:before="6" w:lineRule="auto"/>
        <w:ind w:left="284" w:right="249" w:firstLine="0"/>
        <w:jc w:val="left"/>
        <w:rPr>
          <w:rFonts w:ascii="Times New Roman" w:cs="Times New Roman" w:eastAsia="Times New Roman" w:hAnsi="Times New Roman"/>
          <w:vertAlign w:val="baseline"/>
        </w:rPr>
        <w:sectPr>
          <w:type w:val="continuous"/>
          <w:pgSz w:h="16840" w:w="11920" w:orient="portrait"/>
          <w:pgMar w:bottom="280" w:top="1560" w:left="1660" w:right="1680" w:header="720" w:footer="720"/>
          <w:cols w:equalWidth="0" w:num="2">
            <w:col w:space="717" w:w="3931.5"/>
            <w:col w:space="0" w:w="393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4111"/>
        </w:tabs>
        <w:spacing w:after="0" w:lineRule="auto"/>
        <w:ind w:left="284" w:right="249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4111"/>
        </w:tabs>
        <w:spacing w:after="0" w:lineRule="auto"/>
        <w:ind w:left="284" w:right="249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before="7" w:lineRule="auto"/>
        <w:ind w:firstLine="72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center"/>
        <w:rPr>
          <w:rFonts w:ascii="Times New Roman" w:cs="Times New Roman" w:eastAsia="Times New Roman" w:hAnsi="Times New Roman"/>
          <w:b w:val="0"/>
          <w:bCs w:val="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8080"/>
        </w:tabs>
        <w:ind w:left="426" w:right="358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estudo investiga, por simulação Monte Carlo, o comportamento das correlações ponto-bisserial e bisserial como indicadores de discriminação na Teoria Clássica dos Testes. Foram combinados testes de 25, 50 e 100 itens com amostras de 10.000, 50.000 e 100.000 respondentes, em 15 réplicas por condição. As respostas foram geradas pelo modelo logístico de três parâmetros, com a~U(0,5;3), b~U(-3;3), c~U(0;0,4) e θ~N(0,1). A ponto-bisserial corrigida apresentou forte associação negativa com a extremidade da dificuldade |b|, enquanto a bisserial reduziu essa associação e mostrou maior relação com a discriminação verdadeira a. O padrão manteve-se nas nove condições. Os resultados indicam que pontos de corte uniformes não devem determinar isoladamente a eliminação de itens; dificuldade, conteúdo e outras evidências psicométricas devem ser considerados conjuntamente.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Rule="auto"/>
        <w:ind w:left="567" w:right="783" w:firstLine="426.0000000000001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Rule="auto"/>
        <w:ind w:firstLine="72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Rule="auto"/>
        <w:ind w:firstLine="426"/>
        <w:rPr>
          <w:rFonts w:ascii="Times New Roman" w:cs="Times New Roman" w:eastAsia="Times New Roman" w:hAnsi="Times New Roman"/>
          <w:vertAlign w:val="baseline"/>
        </w:rPr>
        <w:sectPr>
          <w:type w:val="continuous"/>
          <w:pgSz w:h="16840" w:w="11920" w:orient="portrait"/>
          <w:pgMar w:bottom="280" w:top="1560" w:left="1660" w:right="168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Palavras-chave: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Análise de itens; Teoria clássica dos testes; Correlação ponto-bisserial; correlação bisserial; simulação Monte Carlo.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432" w:right="0" w:hanging="43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Teoria Clássica dos Testes (TCT) permanece amplamente utilizada na análise de instrumentos de avaliação por oferecer procedimentos simples para examinar a qualidade dos itens e do teste. Entre os indicadores mais empregados estão a facilidade, representada pela proporção de acertos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 as medidas de discriminação. Para itens dicotômicos, a correlação ponto-bisserial corresponde à correlação de Pearson entre a resposta ao item, codificada como 0 ou 1, e um escore contínuo de referência, em geral o desempenho no teste (TATE, 1954; CROCKER; ALGINA, 1986).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adoção de um ponto de corte fixo para esse coeficiente exige cautela. Como a variância de uma variável dicotômica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(1-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itens com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próximo de 0 ou 1 apresentam pouca variabilidade observada. Assim, um item muito difícil pode ser acertado predominantemente pelos respondentes de maior proficiência e, ainda assim, apresentar correlação moderada; de forma análoga, um item muito fácil pode ser limitado pela pequena quantidade de erros. Portanto, um ponto-bisserial baixo não implica, isoladamente, ausência de capacidade discriminativa.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correlação bisserial procura estimar a associação com uma variável contínua latente que teria sido dicotomizada. Sob a hipótese de normalidade dessa variável, ela pode ser obtida por uma transformação da ponto-bisserial dependente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da densidade normal no ponto de corte (LORD; NOVICK, 1968). Essa correção pode reduzir a penalização associada à baixa variabilidade de itens extremos, mas introduz pressupostos adicionais e pode ampliar instabilidades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aproxima de 0 ou 1.</w:t>
      </w:r>
    </w:p>
    <w:p w:rsidR="00000000" w:rsidDel="00000000" w:rsidP="00000000" w:rsidRDefault="00000000" w:rsidRPr="00000000" w14:paraId="00000018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Neste trabalho, o comportamento dos dois coeficientes é investigado em ambiente controlado de simulação, utilizando o modelo logístico de três parâmetros (3PL). Como o parâmetro verdadeiro de discriminação a é conhecido na geração dos dados, torna-se possível comparar o comportamento dos coeficientes clássicos com a discriminação geradora e com a dificuldade dos itens em diferentes comprimentos de teste e tamanhos amostrais (HARRIS, 1989; SAMEJIMA, 1973).</w:t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432" w:right="0" w:hanging="43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Foi realizado um estudo de simulação Monte Carlo com delineamento fatorial 3×3, combinando três comprimentos de teste (I = 25, 50 e 100 itens) e três tamanhos amostrais (N = 10.000, 50.000 e 100.000 respondentes). Para cada uma das nove condições foram executadas 15 réplicas independentes, totalizando 135 simulações. Como cada réplica produz uma estatística para cada item, o conjunto final contém 7.875 registros em nível de item. A semente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pseudoaleatória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foi fixada em 123.</w:t>
      </w:r>
    </w:p>
    <w:p w:rsidR="00000000" w:rsidDel="00000000" w:rsidP="00000000" w:rsidRDefault="00000000" w:rsidRPr="00000000" w14:paraId="0000001B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cada réplica, as proficiências foram geradas por θⱼ~N(0,1). Os parâmetros dos itens foram sorteados independentemente segundo aᵢ~U(0,5;3), bᵢ~U(-3;3) e cᵢ~U(0;0,4), correspondendo, respectivamente, à discriminação, dificuldade e pseudoacerto. A probabilidade de acerto foi definida pelo modelo logístico de três parâmetros, com constante de escala D = 1,7:</w:t>
      </w:r>
    </w:p>
    <w:p w:rsidR="00000000" w:rsidDel="00000000" w:rsidP="00000000" w:rsidRDefault="00000000" w:rsidRPr="00000000" w14:paraId="0000001C">
      <w:pPr>
        <w:spacing w:line="360" w:lineRule="auto"/>
        <w:ind w:firstLine="72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P(Uᵢⱼ = 1 | θⱼ) = cᵢ + (1 − cᵢ) / {1 + exp[−1,7aᵢ(θⱼ − bᵢ)]}.</w:t>
      </w:r>
    </w:p>
    <w:p w:rsidR="00000000" w:rsidDel="00000000" w:rsidP="00000000" w:rsidRDefault="00000000" w:rsidRPr="00000000" w14:paraId="0000001D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respostas Uᵢⱼ foram então geradas como variáveis de Bernoulli com essas probabilidades. Para cada item calculou-se a proporção observada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acertos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 índice principal da TCT foi a correlação ponto-bisserial corrigida, isto é, a correlação entre a resposta ao item e o escore do respondente nos demais itens do teste. A retirada do próprio item do escore de referência evita a associação mecânica decorrente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correlacioná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-lo com um total que o contém.</w:t>
      </w:r>
    </w:p>
    <w:p w:rsidR="00000000" w:rsidDel="00000000" w:rsidP="00000000" w:rsidRDefault="00000000" w:rsidRPr="00000000" w14:paraId="0000001E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correlação bisserial corrigida foi obtida por r_b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r_pb</w:t>
      </w:r>
      <w:sdt>
        <w:sdtPr>
          <w:id w:val="-209662986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·√[p(1−p)]/φ[Φ⁻¹(p)], em que φ é a densidade da normal padrão e Φ⁻¹ é sua função quantil. Coeficientes não são definidos quando p = 0 ou p = 1; nenhuma dessas situações ocorreu nas 135 simulações finais. Em cada réplica foram calculadas as medianas dos coeficientes e as correlações de Spearman entre cada índice e o parâmetro verdadeiro a. Para avaliar a sensibilidade à dificuldade, calculou-se também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ρ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(|b|, coeficiente), em que |b| expressa o afastamento da dificuldade em relação ao centro da escala. Para cada condição, apresentam-se a média e o desvio-padrão dessas estatísticas ao longo das 15 réplicas.</w:t>
      </w:r>
    </w:p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432" w:right="0" w:hanging="43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Resultados e Di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padrão observado foi consistente nas nove condições experimentais. As medianas da ponto-bisserial corrigida ficaram entre 0,290 e 0,331, enquanto as medianas da bisserial corrigida variaram de 0,513 a 0,592. A diferença de magnitude, contudo, não deve ser interpretada isoladamente, pois a bisserial é obtida por transformação da ponto-bisserial. A comparação de maior interesse é a relação de cada coeficiente com os parâmetros utilizados para gerar os itens.</w:t>
      </w:r>
    </w:p>
    <w:p w:rsidR="00000000" w:rsidDel="00000000" w:rsidP="00000000" w:rsidRDefault="00000000" w:rsidRPr="00000000" w14:paraId="00000021">
      <w:pPr>
        <w:keepNext w:val="1"/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Tabela 1: Associação de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Spearman por condição experimental — média (DP) das 15 réplicas</w:t>
      </w:r>
    </w:p>
    <w:sdt>
      <w:sdtPr>
        <w:lock w:val="contentLocked"/>
        <w:id w:val="-424231058"/>
        <w:tag w:val="goog_rdk_1"/>
      </w:sdtPr>
      <w:sdtContent>
        <w:tbl>
          <w:tblPr>
            <w:tblStyle w:val="Table1"/>
            <w:tblW w:w="9006.666666666668" w:type="dxa"/>
            <w:jc w:val="left"/>
            <w:tblLayout w:type="fixed"/>
            <w:tblLook w:val="0600"/>
          </w:tblPr>
          <w:tblGrid>
            <w:gridCol w:w="900"/>
            <w:gridCol w:w="1251.666666666667"/>
            <w:gridCol w:w="1713.75"/>
            <w:gridCol w:w="1713.75"/>
            <w:gridCol w:w="1713.75"/>
            <w:gridCol w:w="1713.75"/>
            <w:tblGridChange w:id="0">
              <w:tblGrid>
                <w:gridCol w:w="900"/>
                <w:gridCol w:w="1251.666666666667"/>
                <w:gridCol w:w="1713.75"/>
                <w:gridCol w:w="1713.75"/>
                <w:gridCol w:w="1713.75"/>
                <w:gridCol w:w="1713.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I</w:t>
                </w:r>
              </w:p>
            </w:tc>
            <w:tc>
              <w:tcPr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N</w:t>
                </w:r>
              </w:p>
            </w:tc>
            <w:tc>
              <w:tcPr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p(a, rpb)</w:t>
                </w:r>
              </w:p>
            </w:tc>
            <w:tc>
              <w:tcPr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p(a, rb)</w:t>
                </w:r>
              </w:p>
            </w:tc>
            <w:tc>
              <w:tcPr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p(|b|, rpb)</w:t>
                </w:r>
              </w:p>
            </w:tc>
            <w:tc>
              <w:tcPr>
                <w:shd w:fill="9fc5e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p(|b|, rb)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0,127(0,215)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0,323(0,186)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-0,795(0,079)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-0,275(0,219)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0,119(0,182)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0,384(0,168)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-0,789(0,097)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-0,257(0,240)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0,159(0,138)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0,432(0,194)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-0,849(0,062)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-0,266(0,276)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1"/>
                  <w:widowControl w:val="0"/>
                  <w:spacing w:after="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0,161(0,145)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0,377(0,164)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-0,806(0,063)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-0,284(0,185)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1"/>
                  <w:widowControl w:val="0"/>
                  <w:spacing w:after="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0,086(0,119)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0,327(0,153)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-0,835(0,047)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-0,231(0,220)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1"/>
                  <w:widowControl w:val="0"/>
                  <w:spacing w:after="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0,143(0,127)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0,389(0,167)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-0,820(0,058)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-0,300(0,149)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1"/>
                  <w:widowControl w:val="0"/>
                  <w:spacing w:after="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0,104(0,111)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0,349(0,104)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-0,828(0,053)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-0,294(0,134)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1"/>
                  <w:widowControl w:val="0"/>
                  <w:spacing w:after="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50.000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0,126(0,067)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0,370(0,082)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-0,838(0,027)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-0,337(0,125)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1"/>
                  <w:widowControl w:val="0"/>
                  <w:spacing w:after="0" w:lineRule="auto"/>
                  <w:ind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100.000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0,146(0,095)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0,351(0,071)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-0,830(0,048)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1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-0,328(0,159)</w:t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Fonte: Elaboração própria. rpb = ponto-bisserial corrigida; rb = bisserial corrigida.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associação com a discriminação verdadeira a foi sistematicamente maior para a bisserial. Nas nove condições, ρ(a,rpb) variou de 0,086 a 0,161, ao passo que ρ(a,rb) variou de 0,323 a 0,432. Isso não significa que a bisserial estime diretamente o parâmetro a do 3PL: os coeficientes clássicos também dependem da distribuição de proficiência, da dificuldade, do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pseudoacerto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do escore de referência. O resultado indica apenas maior associação ordinal com a discriminação geradora nas condições simuladas.</w:t>
      </w:r>
    </w:p>
    <w:p w:rsidR="00000000" w:rsidDel="00000000" w:rsidP="00000000" w:rsidRDefault="00000000" w:rsidRPr="00000000" w14:paraId="00000060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24425" cy="2644275"/>
            <wp:effectExtent b="0" l="0" r="0" t="0"/>
            <wp:docPr id="103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3436" l="0" r="0" t="472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64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1: Associação média dos coeficientes corrigidos com o parâmetro de discriminação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sdt>
        <w:sdtPr>
          <w:id w:val="638754258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A diferença mais expressiva ocorreu em relação à dificuldade. Para a ponto-bisserial corrigida, ρ(|b|,rpb) permaneceu entre −0,789 e −0,849; para a bisserial, a associação variou entre −0,231 e −0,337. Portanto, à medida que a dificuldade se afasta do centro da escala, a ponto-bisserial tende a diminuir muito mais intensamente. Esse padrão permaneceu estável para todos os tamanhos de teste e de amostra, mostrando que o efeito não desapareceu com o aumento de N.</w:t>
          </w:r>
        </w:sdtContent>
      </w:sdt>
    </w:p>
    <w:p w:rsidR="00000000" w:rsidDel="00000000" w:rsidP="00000000" w:rsidRDefault="00000000" w:rsidRPr="00000000" w14:paraId="00000063">
      <w:pPr>
        <w:keepNext w:val="1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24425" cy="2616907"/>
            <wp:effectExtent b="0" l="0" r="0" t="0"/>
            <wp:docPr id="10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3730" l="0" r="0" t="5249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616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Figura 2: Associação média dos coeficientes corrigidos com a extremidade da dificuldade |b|.</w:t>
      </w:r>
    </w:p>
    <w:p w:rsidR="00000000" w:rsidDel="00000000" w:rsidP="00000000" w:rsidRDefault="00000000" w:rsidRPr="00000000" w14:paraId="00000065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resultado é relevante para o uso de pontos de corte uniformes. Um valor reduzido de ponto-bisserial pode refletir não apenas baixa discriminação, mas também a localização do item em uma região extrema da escala. A transformação bisserial reduz essa dependência, porém não constitui uma melhoria universal: sua interpretação pressupõe uma variável contínua latente aproximadamente normal, enquanto os dados foram gerados pelo modelo logístico 3PL, que inclui a assíntota inferior c. Valores muito extremos de p também podem tornar a transformação instável.</w:t>
      </w:r>
    </w:p>
    <w:p w:rsidR="00000000" w:rsidDel="00000000" w:rsidP="00000000" w:rsidRDefault="00000000" w:rsidRPr="00000000" w14:paraId="00000066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aumento de N de 10.000 para 100.000 produziu mudanças pequenas nas estatísticas centrais em comparação com a separação observada entre os coeficientes. O comprimento do teste também modificou algumas estimativas, mas não alterou o padrão geral. Assim, a ponto-bisserial permanece útil como medida da associação observada entre o item e o desempenho no restante do teste, devendo ser interpretada em conjunto com a dificuldade; a bisserial funciona como medida complementar, com pressupostos adicionais.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limitações, a simulação assume unidimensionalidade, proficiência normal padrão e distribuições uniformes para a, b e c. Não foram considerados funcionamento diferencial do item, omissões, velocidade de resposta, erros de gabarito ou estruturas multidimensionais. Também não foi realizada comparação direta com a função de informação do item ao longo da escala de proficiência.</w:t>
      </w:r>
    </w:p>
    <w:p w:rsidR="00000000" w:rsidDel="00000000" w:rsidP="00000000" w:rsidRDefault="00000000" w:rsidRPr="00000000" w14:paraId="00000068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432" w:right="0" w:hanging="43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Conclusões e 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simulações confirmaram que a correlação ponto-bisserial corrigida é fortemente sensível à extremidade da dificuldade do item. Em todas as nove condições, sua associação com |b| foi muito mais negativa que a observada para a bisserial, enquanto a bisserial apresentou maior associação com a discriminação verdadeira a. O padrão persistiu com 25, 50 e 100 itens e com amostras de 10.000 a 100.000 respondentes. A bisserial reduz a penalização associada às dificuldades extremas, mas depende de pressupostos adicionais e não deve ser interpretada como substituta automática do ponto-bisserial.</w:t>
      </w:r>
    </w:p>
    <w:p w:rsidR="00000000" w:rsidDel="00000000" w:rsidP="00000000" w:rsidRDefault="00000000" w:rsidRPr="00000000" w14:paraId="0000006A">
      <w:pPr>
        <w:spacing w:line="36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Conclui-se que a revisão ou exclusão de um item não deve ser determinada por um ponto de corte aplicado isoladamente a qualquer desses coeficientes. A decisão deve considerar conjuntamente proporção de acertos, ponto-bisserial corrigida, bisserial, conteúdo, matriz de referência e, quando disponíveis, evidências da Teoria de Resposta ao Item. Os coeficientes devem atuar como sinalizadores para investigação, e não como regras automáticas de eliminação.</w:t>
      </w:r>
    </w:p>
    <w:p w:rsidR="00000000" w:rsidDel="00000000" w:rsidP="00000000" w:rsidRDefault="00000000" w:rsidRPr="00000000" w14:paraId="0000006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432" w:right="0" w:hanging="432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CROCKER, L.; ALGINA, J. Introduction to classical and modern test theory. New York: Holt, Rinehart and Winston, 1986.</w:t>
      </w:r>
    </w:p>
    <w:p w:rsidR="00000000" w:rsidDel="00000000" w:rsidP="00000000" w:rsidRDefault="00000000" w:rsidRPr="00000000" w14:paraId="0000006D">
      <w:pPr>
        <w:ind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HARRIS, D. Comparison of 1-, 2-, and 3-parameter IRT models. Educational Measurement: Issues and Practice, v. 8, n. 1, p. 35–41, 1989. DOI: 10.1111/j.1745-3992.1989.tb00313.x.</w:t>
      </w:r>
    </w:p>
    <w:p w:rsidR="00000000" w:rsidDel="00000000" w:rsidP="00000000" w:rsidRDefault="00000000" w:rsidRPr="00000000" w14:paraId="0000006E">
      <w:pPr>
        <w:ind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LORD, F. M.; NOVICK, M. R. Statistical theories of mental test scores. Reading, MA: Addison-Wesley, 1968.</w:t>
      </w:r>
    </w:p>
    <w:p w:rsidR="00000000" w:rsidDel="00000000" w:rsidP="00000000" w:rsidRDefault="00000000" w:rsidRPr="00000000" w14:paraId="0000006F">
      <w:pPr>
        <w:ind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SAMEJIMA, F. A comment on Birnbaum's three-parameter logistic model in the latent trait theory. Psychometrika, v. 38, p. 221–233, 1973. DOI: 10.1007/BF02291115.</w:t>
      </w:r>
    </w:p>
    <w:p w:rsidR="00000000" w:rsidDel="00000000" w:rsidP="00000000" w:rsidRDefault="00000000" w:rsidRPr="00000000" w14:paraId="00000070">
      <w:pPr>
        <w:ind w:firstLine="0"/>
        <w:rPr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TATE, R. F. Correlation between a discrete and a continuous variable: point-biserial correlation. The Annals of Mathematical Statistics, v. 25, n. 3, p. 603–607, 1954. DOI: 10.1214/aoms/1177728730.</w:t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type w:val="nextPage"/>
      <w:pgSz w:h="16840" w:w="11920" w:orient="portrait"/>
      <w:pgMar w:bottom="1133.8582677165355" w:top="1700.7874015748032" w:left="1700.7874015748032" w:right="1133.8582677165355" w:header="760" w:footer="5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40" w:lineRule="auto"/>
      <w:ind w:left="0" w:right="0" w:firstLine="72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  <w:rtl w:val="0"/>
      </w:rPr>
      <w:t xml:space="preserve"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195.0" w:type="dxa"/>
      <w:jc w:val="left"/>
      <w:tblInd w:w="-108.0" w:type="dxa"/>
      <w:tblLayout w:type="fixed"/>
      <w:tblLook w:val="0000"/>
    </w:tblPr>
    <w:tblGrid>
      <w:gridCol w:w="5685"/>
      <w:gridCol w:w="3510"/>
      <w:tblGridChange w:id="0">
        <w:tblGrid>
          <w:gridCol w:w="5685"/>
          <w:gridCol w:w="3510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75">
          <w:pPr>
            <w:widowControl w:val="0"/>
            <w:tabs>
              <w:tab w:val="left" w:leader="none" w:pos="2760"/>
            </w:tabs>
            <w:spacing w:after="0" w:lineRule="auto"/>
            <w:ind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X CONBRATRI 26 a 28 de Outubro de 2026, São Paulo-SP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72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widowControl w:val="0"/>
      <w:tabs>
        <w:tab w:val="left" w:leader="none" w:pos="2760"/>
      </w:tabs>
      <w:spacing w:after="0" w:lineRule="auto"/>
      <w:ind w:firstLine="0"/>
      <w:rPr>
        <w:rFonts w:ascii="Times New Roman" w:cs="Times New Roman" w:eastAsia="Times New Roman" w:hAnsi="Times New Roman"/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40" w:lineRule="auto"/>
      <w:ind w:left="0" w:right="0" w:firstLine="72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114300" distR="114300">
          <wp:extent cx="1104900" cy="527050"/>
          <wp:effectExtent b="0" l="0" r="0" t="0"/>
          <wp:docPr id="103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27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widowControl w:val="0"/>
      <w:spacing w:after="0" w:lineRule="auto"/>
      <w:ind w:right="-28" w:firstLine="720"/>
      <w:jc w:val="center"/>
      <w:rPr>
        <w:i w:val="0"/>
        <w:iCs w:val="0"/>
        <w:sz w:val="19"/>
        <w:szCs w:val="19"/>
        <w:vertAlign w:val="baseline"/>
      </w:rPr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911860</wp:posOffset>
              </wp:positionH>
              <wp:positionV relativeFrom="page">
                <wp:posOffset>784860</wp:posOffset>
              </wp:positionV>
              <wp:extent cx="5735955" cy="5080"/>
              <wp:effectExtent b="0" l="0" r="0" t="0"/>
              <wp:wrapNone/>
              <wp:docPr id="103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478000" y="3775225"/>
                        <a:ext cx="5735955" cy="5080"/>
                        <a:chOff x="2478000" y="3775225"/>
                        <a:chExt cx="5736000" cy="9550"/>
                      </a:xfrm>
                    </wpg:grpSpPr>
                    <wpg:grpSp>
                      <wpg:cNvGrpSpPr/>
                      <wpg:grpSpPr>
                        <a:xfrm>
                          <a:off x="2478023" y="3777460"/>
                          <a:ext cx="5735955" cy="5080"/>
                          <a:chOff x="2478000" y="3775225"/>
                          <a:chExt cx="5736000" cy="95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478000" y="3775225"/>
                            <a:ext cx="5736000" cy="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478023" y="3777460"/>
                            <a:ext cx="5735955" cy="5080"/>
                            <a:chOff x="2478000" y="3775225"/>
                            <a:chExt cx="5733450" cy="95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478000" y="3775225"/>
                              <a:ext cx="573345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78023" y="3777460"/>
                              <a:ext cx="5733415" cy="2540"/>
                              <a:chOff x="1436" y="1161"/>
                              <a:chExt cx="9029" cy="4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436" y="1161"/>
                                <a:ext cx="9025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440" y="1165"/>
                                <a:ext cx="9025" cy="0"/>
                              </a:xfrm>
                              <a:custGeom>
                                <a:rect b="b" l="l" r="r" t="t"/>
                                <a:pathLst>
                                  <a:path extrusionOk="0" h="120000" w="9025">
                                    <a:moveTo>
                                      <a:pt x="0" y="0"/>
                                    </a:moveTo>
                                    <a:lnTo>
                                      <a:pt x="9025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1440" y="1165"/>
                                <a:ext cx="9025" cy="0"/>
                              </a:xfrm>
                              <a:custGeom>
                                <a:rect b="b" l="l" r="r" t="t"/>
                                <a:pathLst>
                                  <a:path extrusionOk="0" h="120000" w="9025">
                                    <a:moveTo>
                                      <a:pt x="9025" y="0"/>
                                    </a:move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911860</wp:posOffset>
              </wp:positionH>
              <wp:positionV relativeFrom="page">
                <wp:posOffset>784860</wp:posOffset>
              </wp:positionV>
              <wp:extent cx="5735955" cy="5080"/>
              <wp:effectExtent b="0" l="0" r="0" t="0"/>
              <wp:wrapNone/>
              <wp:docPr id="103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5955" cy="50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i w:val="1"/>
        <w:iCs w:val="1"/>
        <w:sz w:val="19"/>
        <w:szCs w:val="19"/>
        <w:rtl w:val="0"/>
      </w:rPr>
      <w:t xml:space="preserve">Uso da teoria clássica dos testes na eliminação de itens: Características dos coeficientes ponto-bisserial e bisserial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20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,Sessão">
    <w:name w:val="Título 1,Sessão"/>
    <w:basedOn w:val="Normal"/>
    <w:next w:val="Normal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Times New Roman" w:eastAsia="Times New Roman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pt-BR" w:val="pt-BR"/>
    </w:rPr>
  </w:style>
  <w:style w:type="paragraph" w:styleId="Título2,Subsessão">
    <w:name w:val="Título 2,Subsessão"/>
    <w:basedOn w:val="Normal"/>
    <w:next w:val="Normal"/>
    <w:autoRedefine w:val="0"/>
    <w:hidden w:val="0"/>
    <w:qFormat w:val="0"/>
    <w:pPr>
      <w:keepNext w:val="1"/>
      <w:numPr>
        <w:ilvl w:val="1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1"/>
    </w:pPr>
    <w:rPr>
      <w:rFonts w:ascii="Arial" w:cs="Times New Roman" w:eastAsia="Times New Roman" w:hAnsi="Arial"/>
      <w:b w:val="1"/>
      <w:bCs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paragraph" w:styleId="Título3,Subsubsessão">
    <w:name w:val="Título 3,Subsubsessão"/>
    <w:basedOn w:val="Normal"/>
    <w:next w:val="Normal"/>
    <w:autoRedefine w:val="0"/>
    <w:hidden w:val="0"/>
    <w:qFormat w:val="0"/>
    <w:pPr>
      <w:keepNext w:val="1"/>
      <w:numPr>
        <w:ilvl w:val="2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numPr>
        <w:ilvl w:val="3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3"/>
    </w:pPr>
    <w:rPr>
      <w:rFonts w:ascii="Calibri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numPr>
        <w:ilvl w:val="4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4"/>
    </w:pPr>
    <w:rPr>
      <w:rFonts w:ascii="Calibri" w:hAnsi="Calibri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numPr>
        <w:ilvl w:val="5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5"/>
    </w:pPr>
    <w:rPr>
      <w:rFonts w:ascii="Calibri" w:hAnsi="Calibri"/>
      <w:b w:val="1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numPr>
        <w:ilvl w:val="6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6"/>
    </w:pPr>
    <w:rPr>
      <w:rFonts w:ascii="Calibri" w:hAnsi="Calibri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numPr>
        <w:ilvl w:val="7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7"/>
    </w:pPr>
    <w:rPr>
      <w:rFonts w:ascii="Calibri" w:hAnsi="Calibri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numPr>
        <w:ilvl w:val="8"/>
        <w:numId w:val="1"/>
      </w:numPr>
      <w:suppressAutoHyphens w:val="1"/>
      <w:spacing w:after="60" w:before="240" w:line="1" w:lineRule="atLeast"/>
      <w:ind w:leftChars="-1" w:rightChars="0" w:firstLine="720" w:firstLineChars="-1"/>
      <w:jc w:val="both"/>
      <w:textDirection w:val="btLr"/>
      <w:textAlignment w:val="top"/>
      <w:outlineLvl w:val="8"/>
    </w:pPr>
    <w:rPr>
      <w:rFonts w:ascii="Cambria" w:cs="Times New Roman" w:eastAsia="Times New Roman" w:hAnsi="Cambria"/>
      <w:w w:val="100"/>
      <w:position w:val="-1"/>
      <w:sz w:val="22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after="20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/>
    </w:rPr>
  </w:style>
  <w:style w:type="paragraph" w:styleId="Rodapé">
    <w:name w:val="Rodapé"/>
    <w:basedOn w:val="Normal"/>
    <w:next w:val="Rodapé"/>
    <w:autoRedefine w:val="0"/>
    <w:hidden w:val="0"/>
    <w:qFormat w:val="1"/>
    <w:pPr>
      <w:tabs>
        <w:tab w:val="center" w:leader="none" w:pos="4252"/>
        <w:tab w:val="right" w:leader="none" w:pos="8504"/>
      </w:tabs>
      <w:suppressAutoHyphens w:val="1"/>
      <w:spacing w:after="20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pt-BR" w:val="pt-BR"/>
    </w:rPr>
  </w:style>
  <w:style w:type="character" w:styleId="RodapéChar">
    <w:name w:val="Rodapé Char"/>
    <w:next w:val="RodapéChar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/>
    </w:rPr>
  </w:style>
  <w:style w:type="character" w:styleId="Título1Char,SessãoChar">
    <w:name w:val="Título 1 Char,Sessão Char"/>
    <w:next w:val="Título1Char,SessãoChar"/>
    <w:autoRedefine w:val="0"/>
    <w:hidden w:val="0"/>
    <w:qFormat w:val="0"/>
    <w:rPr>
      <w:rFonts w:ascii="Arial" w:cs="Times New Roman" w:eastAsia="Times New Roman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0" w:line="447" w:lineRule="atLeast"/>
      <w:ind w:left="2904" w:right="2884" w:leftChars="-1" w:rightChars="0" w:firstLine="720" w:firstLineChars="-1"/>
      <w:jc w:val="center"/>
      <w:textDirection w:val="btLr"/>
      <w:textAlignment w:val="top"/>
      <w:outlineLvl w:val="0"/>
    </w:pPr>
    <w:rPr>
      <w:rFonts w:ascii="Arial" w:cs="Arial" w:hAnsi="Arial"/>
      <w:w w:val="100"/>
      <w:position w:val="-1"/>
      <w:sz w:val="39"/>
      <w:szCs w:val="39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cs="Arial" w:hAnsi="Arial"/>
      <w:w w:val="100"/>
      <w:position w:val="-1"/>
      <w:sz w:val="39"/>
      <w:szCs w:val="39"/>
      <w:effect w:val="none"/>
      <w:vertAlign w:val="baseline"/>
      <w:cs w:val="0"/>
      <w:em w:val="none"/>
      <w:lang/>
    </w:rPr>
  </w:style>
  <w:style w:type="character" w:styleId="Título2Char,SubsessãoChar">
    <w:name w:val="Título 2 Char,Subsessão Char"/>
    <w:next w:val="Título2Char,SubsessãoChar"/>
    <w:autoRedefine w:val="0"/>
    <w:hidden w:val="0"/>
    <w:qFormat w:val="0"/>
    <w:rPr>
      <w:rFonts w:ascii="Arial" w:cs="Times New Roman" w:eastAsia="Times New Roman" w:hAnsi="Arial"/>
      <w:b w:val="1"/>
      <w:bCs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Subtítulo">
    <w:name w:val="Subtítulo"/>
    <w:basedOn w:val="Normal"/>
    <w:next w:val="Normal"/>
    <w:autoRedefine w:val="0"/>
    <w:hidden w:val="0"/>
    <w:qFormat w:val="0"/>
    <w:pPr>
      <w:suppressAutoHyphens w:val="1"/>
      <w:spacing w:after="60" w:line="1" w:lineRule="atLeast"/>
      <w:ind w:leftChars="-1" w:rightChars="0" w:firstLine="720" w:firstLineChars="-1"/>
      <w:jc w:val="center"/>
      <w:textDirection w:val="btLr"/>
      <w:textAlignment w:val="top"/>
      <w:outlineLvl w:val="1"/>
    </w:pPr>
    <w:rPr>
      <w:rFonts w:ascii="Cambria" w:cs="Times New Roman" w:eastAsia="Times New Roman" w:hAnsi="Cambria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character" w:styleId="SubtítuloChar">
    <w:name w:val="Subtítulo Char"/>
    <w:next w:val="SubtítuloChar"/>
    <w:autoRedefine w:val="0"/>
    <w:hidden w:val="0"/>
    <w:qFormat w:val="0"/>
    <w:rPr>
      <w:rFonts w:ascii="Cambria" w:cs="Times New Roman" w:eastAsia="Times New Roman" w:hAnsi="Cambria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3Char,SubsubsessãoChar">
    <w:name w:val="Título 3 Char,Subsubsessão Char"/>
    <w:next w:val="Título3Char,Subsubsessão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Título4Char">
    <w:name w:val="Título 4 Char"/>
    <w:next w:val="Título4Ch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Título5Char">
    <w:name w:val="Título 5 Char"/>
    <w:next w:val="Título5Char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Título7Char">
    <w:name w:val="Título 7 Char"/>
    <w:next w:val="Título7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8Char">
    <w:name w:val="Título 8 Char"/>
    <w:next w:val="Título8Char"/>
    <w:autoRedefine w:val="0"/>
    <w:hidden w:val="0"/>
    <w:qFormat w:val="0"/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Título9Char">
    <w:name w:val="Título 9 Char"/>
    <w:next w:val="Título9Char"/>
    <w:autoRedefine w:val="0"/>
    <w:hidden w:val="0"/>
    <w:qFormat w:val="0"/>
    <w:rPr>
      <w:rFonts w:ascii="Cambria" w:cs="Times New Roman" w:eastAsia="Times New Roman" w:hAnsi="Cambria"/>
      <w:w w:val="100"/>
      <w:position w:val="-1"/>
      <w:effect w:val="none"/>
      <w:vertAlign w:val="baseline"/>
      <w:cs w:val="0"/>
      <w:em w:val="none"/>
      <w:lang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1"/>
    <w:pPr>
      <w:suppressAutoHyphens w:val="1"/>
      <w:spacing w:after="200"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pt-BR" w:val="pt-BR"/>
    </w:rPr>
  </w:style>
  <w:style w:type="character" w:styleId="TextodenotaderodapéChar">
    <w:name w:val="Texto de nota de rodapé Char"/>
    <w:next w:val="TextodenotaderodapéChar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1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MençãoPendente">
    <w:name w:val="Menção Pendente"/>
    <w:next w:val="MençãoPendente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valcir@ufpa.br" TargetMode="External"/><Relationship Id="rId13" Type="http://schemas.openxmlformats.org/officeDocument/2006/relationships/hyperlink" Target="mailto:heliton@ufpa.br" TargetMode="Externa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riamonteirogomes06@gmail.com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ergiosilvasantos2612@gmail.com" TargetMode="External"/><Relationship Id="rId8" Type="http://schemas.openxmlformats.org/officeDocument/2006/relationships/hyperlink" Target="mailto:leafursa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ojfJ7Ow+IhRC0mWp3iEDu+j/Cg==">CgMxLjAaJQoBMBIgCh4IB0IaCg9UaW1lcyBOZXcgUm9tYW4SB0d1bmdzdWgaHwoBMRIaChgICVIUChJ0YWJsZS53c211MGZnZ2ozNGoaIwoBMhIeChwIB0IYCg9UaW1lcyBOZXcgUm9tYW4SBUNhcmRvOAByITFlc0d0Y2E3Y0Nqem9YS0tZcmJ6VEtyaHJYQUNDV2NReg==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2026-07-28T20:52:00Z</dcterms:created>
  <dc:creator>Leandro Marino</dc:creator>
</cp:coreProperties>
</file>