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65B5" w14:textId="77777777" w:rsidR="005048C2" w:rsidRDefault="005048C2" w:rsidP="00727CFF">
      <w:pPr>
        <w:pStyle w:val="Ttulo"/>
        <w:ind w:left="0" w:right="-67" w:firstLine="0"/>
        <w:rPr>
          <w:rFonts w:ascii="Times New Roman" w:hAnsi="Times New Roman" w:cs="Times New Roman"/>
          <w:sz w:val="28"/>
          <w:szCs w:val="28"/>
        </w:rPr>
      </w:pPr>
    </w:p>
    <w:p w14:paraId="09F7CABE" w14:textId="40D5D53D" w:rsidR="0025001F" w:rsidRDefault="009F0396" w:rsidP="00727CFF">
      <w:pPr>
        <w:pStyle w:val="Ttulo"/>
        <w:ind w:left="0" w:right="-67" w:firstLine="0"/>
        <w:rPr>
          <w:rFonts w:ascii="Times New Roman" w:hAnsi="Times New Roman" w:cs="Times New Roman"/>
          <w:sz w:val="28"/>
          <w:szCs w:val="28"/>
        </w:rPr>
      </w:pPr>
      <w:r w:rsidRPr="009F0396">
        <w:rPr>
          <w:rFonts w:ascii="Times New Roman" w:hAnsi="Times New Roman" w:cs="Times New Roman"/>
          <w:sz w:val="28"/>
          <w:szCs w:val="28"/>
        </w:rPr>
        <w:t>Equalização entre Diferentes Edições de uma Avaliação por meio do Julgamento Comparativo de Itens: uma Proposta Metodológica</w:t>
      </w:r>
    </w:p>
    <w:p w14:paraId="0229836A" w14:textId="77777777" w:rsidR="00920C2D" w:rsidRDefault="00920C2D" w:rsidP="00920C2D"/>
    <w:p w14:paraId="0DA32951" w14:textId="2C7F92B4" w:rsidR="00920C2D" w:rsidRDefault="00133089" w:rsidP="00920C2D">
      <w:pPr>
        <w:autoSpaceDE w:val="0"/>
        <w:autoSpaceDN w:val="0"/>
        <w:adjustRightInd w:val="0"/>
        <w:spacing w:after="0" w:line="360" w:lineRule="auto"/>
        <w:jc w:val="center"/>
        <w:rPr>
          <w:rFonts w:ascii="Times New Roman" w:hAnsi="Times New Roman"/>
          <w:szCs w:val="24"/>
          <w:vertAlign w:val="superscript"/>
        </w:rPr>
      </w:pPr>
      <w:r>
        <w:rPr>
          <w:rFonts w:ascii="Times New Roman" w:hAnsi="Times New Roman"/>
          <w:szCs w:val="24"/>
        </w:rPr>
        <w:t>Leonardo Morais</w:t>
      </w:r>
      <w:r w:rsidR="00920C2D" w:rsidRPr="00086DD3">
        <w:rPr>
          <w:rFonts w:ascii="Times New Roman" w:hAnsi="Times New Roman"/>
          <w:szCs w:val="24"/>
          <w:vertAlign w:val="superscript"/>
        </w:rPr>
        <w:t>1</w:t>
      </w:r>
      <w:r w:rsidR="00920C2D" w:rsidRPr="00086DD3">
        <w:rPr>
          <w:rFonts w:ascii="Times New Roman" w:hAnsi="Times New Roman"/>
          <w:szCs w:val="24"/>
        </w:rPr>
        <w:t xml:space="preserve">, </w:t>
      </w:r>
      <w:r w:rsidR="00D06DD8">
        <w:rPr>
          <w:rFonts w:ascii="Times New Roman" w:hAnsi="Times New Roman"/>
          <w:szCs w:val="24"/>
        </w:rPr>
        <w:t xml:space="preserve">Dalton </w:t>
      </w:r>
      <w:r w:rsidR="009F0AF8">
        <w:rPr>
          <w:rFonts w:ascii="Times New Roman" w:hAnsi="Times New Roman"/>
          <w:szCs w:val="24"/>
        </w:rPr>
        <w:t xml:space="preserve">Francisco de </w:t>
      </w:r>
      <w:r w:rsidR="00D06DD8">
        <w:rPr>
          <w:rFonts w:ascii="Times New Roman" w:hAnsi="Times New Roman"/>
          <w:szCs w:val="24"/>
        </w:rPr>
        <w:t>Andrade</w:t>
      </w:r>
      <w:r w:rsidR="00920C2D" w:rsidRPr="00086DD3">
        <w:rPr>
          <w:rFonts w:ascii="Times New Roman" w:hAnsi="Times New Roman"/>
          <w:szCs w:val="24"/>
          <w:vertAlign w:val="superscript"/>
        </w:rPr>
        <w:t>2</w:t>
      </w:r>
      <w:r w:rsidR="00920C2D" w:rsidRPr="00086DD3">
        <w:rPr>
          <w:rFonts w:ascii="Times New Roman" w:hAnsi="Times New Roman"/>
          <w:szCs w:val="24"/>
        </w:rPr>
        <w:t xml:space="preserve">, </w:t>
      </w:r>
      <w:r w:rsidR="009F0AF8" w:rsidRPr="00DF1D24">
        <w:rPr>
          <w:rFonts w:ascii="Times New Roman" w:hAnsi="Times New Roman"/>
          <w:szCs w:val="24"/>
        </w:rPr>
        <w:t>A</w:t>
      </w:r>
      <w:r w:rsidR="00EF0E9C" w:rsidRPr="00DF1D24">
        <w:rPr>
          <w:rFonts w:ascii="Times New Roman" w:hAnsi="Times New Roman"/>
          <w:szCs w:val="24"/>
        </w:rPr>
        <w:t>driano Ferreti Borga</w:t>
      </w:r>
      <w:r w:rsidR="00DF1D24" w:rsidRPr="00DF1D24">
        <w:rPr>
          <w:rFonts w:ascii="Times New Roman" w:hAnsi="Times New Roman"/>
          <w:szCs w:val="24"/>
        </w:rPr>
        <w:t>t</w:t>
      </w:r>
      <w:r w:rsidR="00EF0E9C" w:rsidRPr="00DF1D24">
        <w:rPr>
          <w:rFonts w:ascii="Times New Roman" w:hAnsi="Times New Roman"/>
          <w:szCs w:val="24"/>
        </w:rPr>
        <w:t>to</w:t>
      </w:r>
      <w:r w:rsidR="00920C2D" w:rsidRPr="00DF1D24">
        <w:rPr>
          <w:rFonts w:ascii="Times New Roman" w:hAnsi="Times New Roman"/>
          <w:szCs w:val="24"/>
          <w:vertAlign w:val="superscript"/>
        </w:rPr>
        <w:t>3</w:t>
      </w:r>
      <w:r w:rsidR="00920C2D" w:rsidRPr="00086DD3">
        <w:rPr>
          <w:rFonts w:ascii="Times New Roman" w:hAnsi="Times New Roman"/>
          <w:szCs w:val="24"/>
        </w:rPr>
        <w:t>,</w:t>
      </w:r>
      <w:r w:rsidR="00920C2D" w:rsidRPr="0074216A">
        <w:rPr>
          <w:rFonts w:ascii="Times New Roman" w:hAnsi="Times New Roman"/>
          <w:szCs w:val="24"/>
        </w:rPr>
        <w:t xml:space="preserve"> </w:t>
      </w:r>
      <w:r w:rsidR="000F12A7" w:rsidRPr="00841E41">
        <w:rPr>
          <w:rFonts w:ascii="Times New Roman" w:hAnsi="Times New Roman"/>
          <w:szCs w:val="24"/>
        </w:rPr>
        <w:t>Cecilia F. Fiorini</w:t>
      </w:r>
      <w:r w:rsidR="000F12A7" w:rsidRPr="00841E41" w:rsidDel="000F12A7">
        <w:rPr>
          <w:rFonts w:ascii="Times New Roman" w:hAnsi="Times New Roman"/>
          <w:szCs w:val="24"/>
        </w:rPr>
        <w:t xml:space="preserve"> </w:t>
      </w:r>
      <w:r w:rsidR="00DF1D24" w:rsidRPr="00841E41">
        <w:rPr>
          <w:rFonts w:ascii="Times New Roman" w:hAnsi="Times New Roman"/>
          <w:szCs w:val="24"/>
          <w:vertAlign w:val="superscript"/>
        </w:rPr>
        <w:t>4</w:t>
      </w:r>
      <w:r w:rsidR="00DF1D24" w:rsidRPr="000F12A7">
        <w:rPr>
          <w:rFonts w:ascii="Times New Roman" w:hAnsi="Times New Roman"/>
          <w:szCs w:val="24"/>
        </w:rPr>
        <w:t xml:space="preserve">, </w:t>
      </w:r>
      <w:r w:rsidR="004602DA" w:rsidRPr="000F12A7">
        <w:rPr>
          <w:rFonts w:ascii="Times New Roman" w:hAnsi="Times New Roman"/>
          <w:szCs w:val="24"/>
        </w:rPr>
        <w:t xml:space="preserve">Juliano </w:t>
      </w:r>
      <w:r w:rsidR="004602DA" w:rsidRPr="004602DA">
        <w:rPr>
          <w:rFonts w:ascii="Times New Roman" w:hAnsi="Times New Roman"/>
          <w:szCs w:val="24"/>
        </w:rPr>
        <w:t>Anderson Pacheco</w:t>
      </w:r>
      <w:r w:rsidR="00941371">
        <w:rPr>
          <w:rFonts w:ascii="Times New Roman" w:hAnsi="Times New Roman"/>
          <w:szCs w:val="24"/>
          <w:vertAlign w:val="superscript"/>
        </w:rPr>
        <w:t>5</w:t>
      </w:r>
    </w:p>
    <w:p w14:paraId="4774B78F" w14:textId="77777777" w:rsidR="00920C2D" w:rsidRPr="005A5E01" w:rsidRDefault="00920C2D" w:rsidP="00920C2D">
      <w:pPr>
        <w:autoSpaceDE w:val="0"/>
        <w:autoSpaceDN w:val="0"/>
        <w:adjustRightInd w:val="0"/>
        <w:spacing w:after="0" w:line="360" w:lineRule="auto"/>
        <w:jc w:val="center"/>
        <w:rPr>
          <w:rFonts w:ascii="Times New Roman" w:hAnsi="Times New Roman"/>
          <w:sz w:val="22"/>
          <w:vertAlign w:val="superscript"/>
        </w:rPr>
      </w:pPr>
    </w:p>
    <w:p w14:paraId="63B2BD18" w14:textId="5B9050F2" w:rsidR="00920C2D" w:rsidRPr="0009420F" w:rsidRDefault="00920C2D" w:rsidP="005A5E01">
      <w:pPr>
        <w:autoSpaceDE w:val="0"/>
        <w:autoSpaceDN w:val="0"/>
        <w:adjustRightInd w:val="0"/>
        <w:spacing w:after="0" w:line="360" w:lineRule="auto"/>
        <w:jc w:val="left"/>
        <w:rPr>
          <w:rFonts w:ascii="Times New Roman" w:hAnsi="Times New Roman"/>
          <w:sz w:val="20"/>
          <w:szCs w:val="20"/>
        </w:rPr>
      </w:pPr>
      <w:r w:rsidRPr="00941371">
        <w:rPr>
          <w:rFonts w:ascii="Times New Roman" w:hAnsi="Times New Roman"/>
          <w:sz w:val="20"/>
          <w:szCs w:val="20"/>
          <w:vertAlign w:val="superscript"/>
        </w:rPr>
        <w:t>1</w:t>
      </w:r>
      <w:r w:rsidRPr="00941371">
        <w:rPr>
          <w:rFonts w:ascii="Times New Roman" w:hAnsi="Times New Roman"/>
          <w:sz w:val="20"/>
          <w:szCs w:val="20"/>
        </w:rPr>
        <w:t xml:space="preserve"> </w:t>
      </w:r>
      <w:r w:rsidR="007B456A" w:rsidRPr="00941371">
        <w:rPr>
          <w:rFonts w:ascii="Times New Roman" w:hAnsi="Times New Roman"/>
          <w:sz w:val="20"/>
          <w:szCs w:val="20"/>
        </w:rPr>
        <w:t>Universidade Federal de Santa Catarina</w:t>
      </w:r>
      <w:r w:rsidR="00476E74" w:rsidRPr="00941371">
        <w:rPr>
          <w:rFonts w:ascii="Times New Roman" w:hAnsi="Times New Roman"/>
          <w:sz w:val="20"/>
          <w:szCs w:val="20"/>
        </w:rPr>
        <w:t xml:space="preserve"> </w:t>
      </w:r>
      <w:r w:rsidR="00665289">
        <w:rPr>
          <w:rFonts w:ascii="Times New Roman" w:hAnsi="Times New Roman"/>
          <w:sz w:val="20"/>
          <w:szCs w:val="20"/>
        </w:rPr>
        <w:t>(</w:t>
      </w:r>
      <w:r w:rsidR="00476E74" w:rsidRPr="00941371">
        <w:rPr>
          <w:rFonts w:ascii="Times New Roman" w:hAnsi="Times New Roman"/>
          <w:sz w:val="20"/>
          <w:szCs w:val="20"/>
        </w:rPr>
        <w:t>UFSC</w:t>
      </w:r>
      <w:r w:rsidR="00665289">
        <w:rPr>
          <w:rFonts w:ascii="Times New Roman" w:hAnsi="Times New Roman"/>
          <w:sz w:val="20"/>
          <w:szCs w:val="20"/>
        </w:rPr>
        <w:t>)</w:t>
      </w:r>
      <w:r w:rsidR="00F92ADC" w:rsidRPr="00941371">
        <w:rPr>
          <w:rFonts w:ascii="Times New Roman" w:hAnsi="Times New Roman"/>
          <w:sz w:val="20"/>
          <w:szCs w:val="20"/>
        </w:rPr>
        <w:t xml:space="preserve"> </w:t>
      </w:r>
      <w:r w:rsidR="00665289">
        <w:rPr>
          <w:rFonts w:ascii="Times New Roman" w:hAnsi="Times New Roman"/>
          <w:sz w:val="20"/>
          <w:szCs w:val="20"/>
        </w:rPr>
        <w:t xml:space="preserve">- </w:t>
      </w:r>
      <w:r w:rsidR="005A5E01" w:rsidRPr="0009420F">
        <w:rPr>
          <w:rFonts w:ascii="Times New Roman" w:hAnsi="Times New Roman"/>
          <w:sz w:val="20"/>
          <w:szCs w:val="20"/>
        </w:rPr>
        <w:t>leonardo.morais@ifsc.edu.br</w:t>
      </w:r>
    </w:p>
    <w:p w14:paraId="5B0D1AE2" w14:textId="13109605" w:rsidR="00920C2D" w:rsidRPr="00941371" w:rsidRDefault="00920C2D" w:rsidP="00920C2D">
      <w:pPr>
        <w:autoSpaceDE w:val="0"/>
        <w:autoSpaceDN w:val="0"/>
        <w:adjustRightInd w:val="0"/>
        <w:spacing w:after="0" w:line="360" w:lineRule="auto"/>
        <w:rPr>
          <w:rFonts w:ascii="Times New Roman" w:hAnsi="Times New Roman"/>
          <w:sz w:val="20"/>
          <w:szCs w:val="20"/>
        </w:rPr>
      </w:pPr>
      <w:r w:rsidRPr="00941371">
        <w:rPr>
          <w:rFonts w:ascii="Times New Roman" w:hAnsi="Times New Roman"/>
          <w:sz w:val="20"/>
          <w:szCs w:val="20"/>
          <w:vertAlign w:val="superscript"/>
        </w:rPr>
        <w:t>2</w:t>
      </w:r>
      <w:r w:rsidRPr="00941371">
        <w:rPr>
          <w:rFonts w:ascii="Times New Roman" w:hAnsi="Times New Roman"/>
          <w:sz w:val="20"/>
          <w:szCs w:val="20"/>
        </w:rPr>
        <w:t xml:space="preserve"> </w:t>
      </w:r>
      <w:r w:rsidR="00EC2304" w:rsidRPr="00941371">
        <w:rPr>
          <w:rFonts w:ascii="Times New Roman" w:hAnsi="Times New Roman"/>
          <w:sz w:val="20"/>
          <w:szCs w:val="20"/>
        </w:rPr>
        <w:t>Universidade Federal de Santa Catarina</w:t>
      </w:r>
      <w:r w:rsidR="00665289">
        <w:rPr>
          <w:rFonts w:ascii="Times New Roman" w:hAnsi="Times New Roman"/>
          <w:sz w:val="20"/>
          <w:szCs w:val="20"/>
        </w:rPr>
        <w:t xml:space="preserve"> (</w:t>
      </w:r>
      <w:r w:rsidR="00EC2304" w:rsidRPr="00941371">
        <w:rPr>
          <w:rFonts w:ascii="Times New Roman" w:hAnsi="Times New Roman"/>
          <w:sz w:val="20"/>
          <w:szCs w:val="20"/>
        </w:rPr>
        <w:t>UFSC</w:t>
      </w:r>
      <w:r w:rsidR="00665289">
        <w:rPr>
          <w:rFonts w:ascii="Times New Roman" w:hAnsi="Times New Roman"/>
          <w:sz w:val="20"/>
          <w:szCs w:val="20"/>
        </w:rPr>
        <w:t>) -</w:t>
      </w:r>
      <w:r w:rsidR="00EC2304" w:rsidRPr="00941371">
        <w:rPr>
          <w:rFonts w:ascii="Times New Roman" w:hAnsi="Times New Roman"/>
          <w:sz w:val="20"/>
          <w:szCs w:val="20"/>
        </w:rPr>
        <w:t xml:space="preserve"> </w:t>
      </w:r>
      <w:r w:rsidR="0022500E" w:rsidRPr="00941371">
        <w:rPr>
          <w:rFonts w:ascii="Times New Roman" w:hAnsi="Times New Roman"/>
          <w:sz w:val="20"/>
          <w:szCs w:val="20"/>
        </w:rPr>
        <w:t>dalton.andrade@ufsc.br</w:t>
      </w:r>
    </w:p>
    <w:p w14:paraId="7CCC476D" w14:textId="5225BA6D" w:rsidR="00F97B00" w:rsidRPr="001D1B03" w:rsidRDefault="00FE4F2B" w:rsidP="00FE4F2B">
      <w:pPr>
        <w:autoSpaceDE w:val="0"/>
        <w:autoSpaceDN w:val="0"/>
        <w:adjustRightInd w:val="0"/>
        <w:spacing w:after="0" w:line="360" w:lineRule="auto"/>
        <w:rPr>
          <w:rFonts w:ascii="Times New Roman" w:hAnsi="Times New Roman"/>
          <w:sz w:val="20"/>
          <w:szCs w:val="20"/>
        </w:rPr>
      </w:pPr>
      <w:r w:rsidRPr="00941371">
        <w:rPr>
          <w:rFonts w:ascii="Times New Roman" w:hAnsi="Times New Roman"/>
          <w:sz w:val="20"/>
          <w:szCs w:val="20"/>
          <w:vertAlign w:val="superscript"/>
        </w:rPr>
        <w:t>3</w:t>
      </w:r>
      <w:r w:rsidR="0057420B" w:rsidRPr="00941371">
        <w:rPr>
          <w:rFonts w:ascii="Times New Roman" w:hAnsi="Times New Roman"/>
          <w:sz w:val="20"/>
          <w:szCs w:val="20"/>
        </w:rPr>
        <w:t xml:space="preserve"> </w:t>
      </w:r>
      <w:r w:rsidR="008D606C" w:rsidRPr="00941371">
        <w:rPr>
          <w:rFonts w:ascii="Times New Roman" w:hAnsi="Times New Roman"/>
          <w:sz w:val="20"/>
          <w:szCs w:val="20"/>
        </w:rPr>
        <w:t xml:space="preserve">Universidade Federal de Santa Catarina </w:t>
      </w:r>
      <w:r w:rsidR="00665289">
        <w:rPr>
          <w:rFonts w:ascii="Times New Roman" w:hAnsi="Times New Roman"/>
          <w:sz w:val="20"/>
          <w:szCs w:val="20"/>
        </w:rPr>
        <w:t>(</w:t>
      </w:r>
      <w:r w:rsidR="008D606C" w:rsidRPr="00941371">
        <w:rPr>
          <w:rFonts w:ascii="Times New Roman" w:hAnsi="Times New Roman"/>
          <w:sz w:val="20"/>
          <w:szCs w:val="20"/>
        </w:rPr>
        <w:t>UFSC</w:t>
      </w:r>
      <w:r w:rsidR="00665289">
        <w:rPr>
          <w:rFonts w:ascii="Times New Roman" w:hAnsi="Times New Roman"/>
          <w:sz w:val="20"/>
          <w:szCs w:val="20"/>
        </w:rPr>
        <w:t>) -</w:t>
      </w:r>
      <w:r w:rsidR="00CB027A" w:rsidRPr="001D1B03">
        <w:rPr>
          <w:rFonts w:ascii="Times New Roman" w:hAnsi="Times New Roman"/>
          <w:sz w:val="20"/>
          <w:szCs w:val="20"/>
        </w:rPr>
        <w:t xml:space="preserve"> </w:t>
      </w:r>
      <w:r w:rsidR="00A7043B" w:rsidRPr="001D1B03">
        <w:rPr>
          <w:rFonts w:ascii="Times New Roman" w:hAnsi="Times New Roman"/>
          <w:sz w:val="20"/>
          <w:szCs w:val="20"/>
        </w:rPr>
        <w:t>adriano.borgatto@ufsc.br</w:t>
      </w:r>
    </w:p>
    <w:p w14:paraId="43DD0CA5" w14:textId="70625B2B" w:rsidR="00FE4F2B" w:rsidRPr="00770A21" w:rsidRDefault="00FE4F2B" w:rsidP="00FE4F2B">
      <w:pPr>
        <w:autoSpaceDE w:val="0"/>
        <w:autoSpaceDN w:val="0"/>
        <w:adjustRightInd w:val="0"/>
        <w:spacing w:after="0" w:line="360" w:lineRule="auto"/>
        <w:rPr>
          <w:rFonts w:ascii="Times New Roman" w:hAnsi="Times New Roman"/>
          <w:sz w:val="20"/>
          <w:szCs w:val="20"/>
        </w:rPr>
      </w:pPr>
      <w:r w:rsidRPr="00770A21">
        <w:rPr>
          <w:rFonts w:ascii="Times New Roman" w:hAnsi="Times New Roman"/>
          <w:sz w:val="20"/>
          <w:szCs w:val="20"/>
          <w:vertAlign w:val="superscript"/>
        </w:rPr>
        <w:t>4</w:t>
      </w:r>
      <w:r w:rsidRPr="00770A21">
        <w:rPr>
          <w:rFonts w:ascii="Times New Roman" w:hAnsi="Times New Roman"/>
          <w:sz w:val="20"/>
          <w:szCs w:val="20"/>
        </w:rPr>
        <w:t xml:space="preserve"> </w:t>
      </w:r>
      <w:r w:rsidR="000F12A7" w:rsidRPr="000F12A7">
        <w:rPr>
          <w:rFonts w:ascii="Times New Roman" w:hAnsi="Times New Roman"/>
          <w:sz w:val="20"/>
          <w:szCs w:val="20"/>
        </w:rPr>
        <w:t xml:space="preserve">Instituto Nacional </w:t>
      </w:r>
      <w:r w:rsidR="000F12A7">
        <w:rPr>
          <w:rFonts w:ascii="Times New Roman" w:hAnsi="Times New Roman"/>
          <w:sz w:val="20"/>
          <w:szCs w:val="20"/>
        </w:rPr>
        <w:t>d</w:t>
      </w:r>
      <w:r w:rsidR="000F12A7" w:rsidRPr="000F12A7">
        <w:rPr>
          <w:rFonts w:ascii="Times New Roman" w:hAnsi="Times New Roman"/>
          <w:sz w:val="20"/>
          <w:szCs w:val="20"/>
        </w:rPr>
        <w:t xml:space="preserve">e Estudos </w:t>
      </w:r>
      <w:r w:rsidR="000F12A7">
        <w:rPr>
          <w:rFonts w:ascii="Times New Roman" w:hAnsi="Times New Roman"/>
          <w:sz w:val="20"/>
          <w:szCs w:val="20"/>
        </w:rPr>
        <w:t>e</w:t>
      </w:r>
      <w:r w:rsidR="000F12A7" w:rsidRPr="000F12A7">
        <w:rPr>
          <w:rFonts w:ascii="Times New Roman" w:hAnsi="Times New Roman"/>
          <w:sz w:val="20"/>
          <w:szCs w:val="20"/>
        </w:rPr>
        <w:t xml:space="preserve"> Pesquisas Educacionais Anísio Teixeira</w:t>
      </w:r>
      <w:r w:rsidR="00665289">
        <w:rPr>
          <w:rFonts w:ascii="Times New Roman" w:hAnsi="Times New Roman"/>
          <w:sz w:val="20"/>
          <w:szCs w:val="20"/>
        </w:rPr>
        <w:t xml:space="preserve"> (</w:t>
      </w:r>
      <w:r w:rsidR="000F12A7">
        <w:rPr>
          <w:rFonts w:ascii="Times New Roman" w:hAnsi="Times New Roman"/>
          <w:sz w:val="20"/>
          <w:szCs w:val="20"/>
        </w:rPr>
        <w:t>INEP</w:t>
      </w:r>
      <w:r w:rsidR="00665289">
        <w:rPr>
          <w:rFonts w:ascii="Times New Roman" w:hAnsi="Times New Roman"/>
          <w:sz w:val="20"/>
          <w:szCs w:val="20"/>
        </w:rPr>
        <w:t>)</w:t>
      </w:r>
      <w:r w:rsidR="0046309E">
        <w:rPr>
          <w:rFonts w:ascii="Times New Roman" w:hAnsi="Times New Roman"/>
          <w:sz w:val="20"/>
          <w:szCs w:val="20"/>
        </w:rPr>
        <w:t xml:space="preserve"> - </w:t>
      </w:r>
      <w:r w:rsidR="000F12A7">
        <w:rPr>
          <w:rFonts w:ascii="Times New Roman" w:hAnsi="Times New Roman"/>
          <w:sz w:val="20"/>
          <w:szCs w:val="20"/>
        </w:rPr>
        <w:t>cecilia.fiorini@inep.gov.br</w:t>
      </w:r>
    </w:p>
    <w:p w14:paraId="20A4A3FD" w14:textId="7334E054" w:rsidR="008D606C" w:rsidRPr="001D1B03" w:rsidRDefault="008D606C" w:rsidP="00683171">
      <w:pPr>
        <w:autoSpaceDE w:val="0"/>
        <w:autoSpaceDN w:val="0"/>
        <w:adjustRightInd w:val="0"/>
        <w:spacing w:after="0" w:line="360" w:lineRule="auto"/>
        <w:jc w:val="left"/>
        <w:rPr>
          <w:rFonts w:ascii="Times New Roman" w:hAnsi="Times New Roman"/>
          <w:sz w:val="20"/>
          <w:szCs w:val="20"/>
        </w:rPr>
      </w:pPr>
      <w:r w:rsidRPr="00941371">
        <w:rPr>
          <w:rFonts w:ascii="Times New Roman" w:hAnsi="Times New Roman"/>
          <w:sz w:val="20"/>
          <w:szCs w:val="20"/>
          <w:vertAlign w:val="superscript"/>
        </w:rPr>
        <w:t>5</w:t>
      </w:r>
      <w:r w:rsidRPr="00941371">
        <w:rPr>
          <w:rFonts w:ascii="Times New Roman" w:hAnsi="Times New Roman"/>
          <w:sz w:val="20"/>
          <w:szCs w:val="20"/>
        </w:rPr>
        <w:t xml:space="preserve"> Universidade Federal de Santa Catarina </w:t>
      </w:r>
      <w:r w:rsidR="0046309E">
        <w:rPr>
          <w:rFonts w:ascii="Times New Roman" w:hAnsi="Times New Roman"/>
          <w:sz w:val="20"/>
          <w:szCs w:val="20"/>
        </w:rPr>
        <w:t>(</w:t>
      </w:r>
      <w:r w:rsidRPr="00941371">
        <w:rPr>
          <w:rFonts w:ascii="Times New Roman" w:hAnsi="Times New Roman"/>
          <w:sz w:val="20"/>
          <w:szCs w:val="20"/>
        </w:rPr>
        <w:t>UFSC</w:t>
      </w:r>
      <w:r w:rsidR="0046309E">
        <w:rPr>
          <w:rFonts w:ascii="Times New Roman" w:hAnsi="Times New Roman"/>
          <w:sz w:val="20"/>
          <w:szCs w:val="20"/>
        </w:rPr>
        <w:t>) -</w:t>
      </w:r>
      <w:r w:rsidRPr="001D1B03">
        <w:rPr>
          <w:rFonts w:ascii="Times New Roman" w:hAnsi="Times New Roman"/>
          <w:sz w:val="20"/>
          <w:szCs w:val="20"/>
        </w:rPr>
        <w:t xml:space="preserve"> </w:t>
      </w:r>
      <w:r w:rsidR="00683171" w:rsidRPr="001D1B03">
        <w:rPr>
          <w:rFonts w:ascii="Times New Roman" w:hAnsi="Times New Roman"/>
          <w:sz w:val="20"/>
          <w:szCs w:val="20"/>
        </w:rPr>
        <w:t>juliano.pacheco@posgrad.ufsc.br</w:t>
      </w:r>
    </w:p>
    <w:p w14:paraId="123AED16" w14:textId="77777777" w:rsidR="008D606C" w:rsidRPr="001D1B03" w:rsidRDefault="008D606C" w:rsidP="00FE4F2B">
      <w:pPr>
        <w:widowControl w:val="0"/>
        <w:tabs>
          <w:tab w:val="left" w:pos="4111"/>
        </w:tabs>
        <w:autoSpaceDE w:val="0"/>
        <w:autoSpaceDN w:val="0"/>
        <w:adjustRightInd w:val="0"/>
        <w:spacing w:before="6" w:after="0" w:line="180" w:lineRule="exact"/>
        <w:ind w:right="249" w:firstLine="0"/>
        <w:jc w:val="left"/>
        <w:rPr>
          <w:rFonts w:ascii="Times New Roman" w:eastAsia="BatangChe" w:hAnsi="Times New Roman"/>
          <w:szCs w:val="24"/>
        </w:rPr>
        <w:sectPr w:rsidR="008D606C" w:rsidRPr="001D1B03" w:rsidSect="00FE4F2B">
          <w:headerReference w:type="default" r:id="rId8"/>
          <w:footerReference w:type="default" r:id="rId9"/>
          <w:type w:val="continuous"/>
          <w:pgSz w:w="11920" w:h="16840"/>
          <w:pgMar w:top="1560" w:right="1680" w:bottom="280" w:left="1660" w:header="720" w:footer="720" w:gutter="0"/>
          <w:cols w:space="717"/>
          <w:noEndnote/>
        </w:sectPr>
      </w:pPr>
    </w:p>
    <w:p w14:paraId="79A621FB" w14:textId="77777777" w:rsidR="00FE4F2B" w:rsidRPr="001D1B03" w:rsidRDefault="00FE4F2B" w:rsidP="00FE4F2B">
      <w:pPr>
        <w:widowControl w:val="0"/>
        <w:tabs>
          <w:tab w:val="left" w:pos="4111"/>
        </w:tabs>
        <w:autoSpaceDE w:val="0"/>
        <w:autoSpaceDN w:val="0"/>
        <w:adjustRightInd w:val="0"/>
        <w:spacing w:before="70" w:after="0"/>
        <w:ind w:right="249" w:firstLine="0"/>
        <w:jc w:val="left"/>
        <w:rPr>
          <w:rFonts w:ascii="Times New Roman" w:eastAsia="BatangChe" w:hAnsi="Times New Roman"/>
          <w:szCs w:val="24"/>
        </w:rPr>
        <w:sectPr w:rsidR="00FE4F2B" w:rsidRPr="001D1B03" w:rsidSect="00FE4F2B">
          <w:type w:val="continuous"/>
          <w:pgSz w:w="11920" w:h="16840"/>
          <w:pgMar w:top="1560" w:right="1680" w:bottom="280" w:left="1660" w:header="720" w:footer="720" w:gutter="0"/>
          <w:cols w:num="2" w:space="720" w:equalWidth="0">
            <w:col w:w="3935" w:space="717"/>
            <w:col w:w="3928"/>
          </w:cols>
          <w:noEndnote/>
        </w:sectPr>
      </w:pPr>
    </w:p>
    <w:p w14:paraId="165591B7" w14:textId="77777777" w:rsidR="00FE4F2B" w:rsidRPr="001D1B03" w:rsidRDefault="00FE4F2B" w:rsidP="009F0396">
      <w:pPr>
        <w:widowControl w:val="0"/>
        <w:tabs>
          <w:tab w:val="left" w:pos="4111"/>
        </w:tabs>
        <w:autoSpaceDE w:val="0"/>
        <w:autoSpaceDN w:val="0"/>
        <w:adjustRightInd w:val="0"/>
        <w:spacing w:before="6" w:after="0" w:line="180" w:lineRule="exact"/>
        <w:ind w:right="249" w:firstLine="0"/>
        <w:jc w:val="left"/>
        <w:rPr>
          <w:rFonts w:ascii="Times New Roman" w:eastAsia="BatangChe" w:hAnsi="Times New Roman"/>
          <w:szCs w:val="24"/>
        </w:rPr>
        <w:sectPr w:rsidR="00FE4F2B" w:rsidRPr="001D1B03" w:rsidSect="00F97B00">
          <w:headerReference w:type="default" r:id="rId10"/>
          <w:footerReference w:type="default" r:id="rId11"/>
          <w:type w:val="continuous"/>
          <w:pgSz w:w="11920" w:h="16840"/>
          <w:pgMar w:top="1560" w:right="1680" w:bottom="280" w:left="1660" w:header="720" w:footer="720" w:gutter="0"/>
          <w:cols w:space="717"/>
          <w:noEndnote/>
        </w:sectPr>
      </w:pPr>
    </w:p>
    <w:p w14:paraId="519D848C" w14:textId="77777777" w:rsidR="0025001F" w:rsidRPr="001D1B03" w:rsidRDefault="0025001F" w:rsidP="009F0396">
      <w:pPr>
        <w:widowControl w:val="0"/>
        <w:tabs>
          <w:tab w:val="left" w:pos="4111"/>
        </w:tabs>
        <w:autoSpaceDE w:val="0"/>
        <w:autoSpaceDN w:val="0"/>
        <w:adjustRightInd w:val="0"/>
        <w:spacing w:before="70" w:after="0"/>
        <w:ind w:right="249" w:firstLine="0"/>
        <w:jc w:val="left"/>
        <w:rPr>
          <w:rFonts w:ascii="Times New Roman" w:eastAsia="BatangChe" w:hAnsi="Times New Roman"/>
          <w:szCs w:val="24"/>
        </w:rPr>
        <w:sectPr w:rsidR="0025001F" w:rsidRPr="001D1B03">
          <w:type w:val="continuous"/>
          <w:pgSz w:w="11920" w:h="16840"/>
          <w:pgMar w:top="1560" w:right="1680" w:bottom="280" w:left="1660" w:header="720" w:footer="720" w:gutter="0"/>
          <w:cols w:num="2" w:space="720" w:equalWidth="0">
            <w:col w:w="3935" w:space="717"/>
            <w:col w:w="3928"/>
          </w:cols>
          <w:noEndnote/>
        </w:sectPr>
      </w:pPr>
    </w:p>
    <w:p w14:paraId="68AC76FA" w14:textId="77777777" w:rsidR="0025001F" w:rsidRPr="001D1B03" w:rsidRDefault="0025001F" w:rsidP="00941371">
      <w:pPr>
        <w:widowControl w:val="0"/>
        <w:autoSpaceDE w:val="0"/>
        <w:autoSpaceDN w:val="0"/>
        <w:adjustRightInd w:val="0"/>
        <w:spacing w:before="7" w:after="0" w:line="160" w:lineRule="exact"/>
        <w:ind w:firstLine="0"/>
        <w:rPr>
          <w:rFonts w:ascii="Times New Roman" w:eastAsia="BatangChe" w:hAnsi="Times New Roman"/>
          <w:szCs w:val="24"/>
        </w:rPr>
      </w:pPr>
    </w:p>
    <w:p w14:paraId="3B5D32EE" w14:textId="77777777" w:rsidR="00727CFF" w:rsidRPr="007C7664" w:rsidRDefault="00727CFF" w:rsidP="00727CFF">
      <w:pPr>
        <w:ind w:firstLine="0"/>
        <w:jc w:val="center"/>
        <w:rPr>
          <w:rFonts w:ascii="Times New Roman" w:hAnsi="Times New Roman"/>
          <w:b/>
          <w:szCs w:val="24"/>
        </w:rPr>
      </w:pPr>
      <w:r w:rsidRPr="007C7664">
        <w:rPr>
          <w:rFonts w:ascii="Times New Roman" w:hAnsi="Times New Roman"/>
          <w:b/>
          <w:szCs w:val="24"/>
        </w:rPr>
        <w:t>Resumo</w:t>
      </w:r>
    </w:p>
    <w:p w14:paraId="668D579A" w14:textId="68008825" w:rsidR="001E15AF" w:rsidRDefault="008B466D" w:rsidP="0069424E">
      <w:pPr>
        <w:spacing w:after="120" w:line="360" w:lineRule="auto"/>
        <w:rPr>
          <w:rFonts w:ascii="Times New Roman" w:hAnsi="Times New Roman"/>
        </w:rPr>
      </w:pPr>
      <w:r w:rsidRPr="00524AEA">
        <w:rPr>
          <w:rFonts w:ascii="Times New Roman" w:hAnsi="Times New Roman"/>
        </w:rPr>
        <w:t xml:space="preserve">A equalização entre diferentes edições de uma avaliação é requisito central para a comparabilidade de resultados em avaliações educacionais de larga escala. Entretanto, os métodos tradicionais exigem itens comuns ou grupos de respondentes equivalentes, condições nem sempre disponíveis. Este trabalho adapta o método </w:t>
      </w:r>
      <w:proofErr w:type="spellStart"/>
      <w:r w:rsidRPr="00A10486">
        <w:rPr>
          <w:rFonts w:ascii="Times New Roman" w:hAnsi="Times New Roman"/>
          <w:i/>
          <w:iCs/>
        </w:rPr>
        <w:t>simplified</w:t>
      </w:r>
      <w:proofErr w:type="spellEnd"/>
      <w:r w:rsidRPr="00A10486">
        <w:rPr>
          <w:rFonts w:ascii="Times New Roman" w:hAnsi="Times New Roman"/>
          <w:i/>
          <w:iCs/>
        </w:rPr>
        <w:t xml:space="preserve"> </w:t>
      </w:r>
      <w:proofErr w:type="spellStart"/>
      <w:r w:rsidRPr="00A10486">
        <w:rPr>
          <w:rFonts w:ascii="Times New Roman" w:hAnsi="Times New Roman"/>
          <w:i/>
          <w:iCs/>
        </w:rPr>
        <w:t>pairs</w:t>
      </w:r>
      <w:proofErr w:type="spellEnd"/>
      <w:r w:rsidRPr="00524AEA">
        <w:rPr>
          <w:rFonts w:ascii="Times New Roman" w:hAnsi="Times New Roman"/>
        </w:rPr>
        <w:t xml:space="preserve">, de </w:t>
      </w:r>
      <w:proofErr w:type="spellStart"/>
      <w:r w:rsidRPr="00524AEA">
        <w:rPr>
          <w:rFonts w:ascii="Times New Roman" w:hAnsi="Times New Roman"/>
        </w:rPr>
        <w:t>Benton</w:t>
      </w:r>
      <w:proofErr w:type="spellEnd"/>
      <w:r w:rsidRPr="00524AEA">
        <w:rPr>
          <w:rFonts w:ascii="Times New Roman" w:hAnsi="Times New Roman"/>
        </w:rPr>
        <w:t xml:space="preserve"> (2021), para a equalização baseada </w:t>
      </w:r>
      <w:r>
        <w:rPr>
          <w:rFonts w:ascii="Times New Roman" w:hAnsi="Times New Roman"/>
        </w:rPr>
        <w:t>no</w:t>
      </w:r>
      <w:r w:rsidRPr="00524AEA">
        <w:rPr>
          <w:rFonts w:ascii="Times New Roman" w:hAnsi="Times New Roman"/>
        </w:rPr>
        <w:t xml:space="preserve"> julgamento comparativo </w:t>
      </w:r>
      <w:r>
        <w:rPr>
          <w:rFonts w:ascii="Times New Roman" w:hAnsi="Times New Roman"/>
        </w:rPr>
        <w:t>da</w:t>
      </w:r>
      <w:r w:rsidRPr="00524AEA">
        <w:rPr>
          <w:rFonts w:ascii="Times New Roman" w:hAnsi="Times New Roman"/>
        </w:rPr>
        <w:t xml:space="preserve"> dificuldade dos itens. Juízes especialistas avaliam pares de itens, um de cada prova, indicando qual é mais difícil. Os julgamentos são analisados por regressão logística, permitindo estimar o deslocamento </w:t>
      </w:r>
      <w:r>
        <w:rPr>
          <w:rFonts w:ascii="Times New Roman" w:hAnsi="Times New Roman"/>
        </w:rPr>
        <w:t>dos parâmetros de dificuldade entre as</w:t>
      </w:r>
      <w:r w:rsidRPr="00524AEA">
        <w:rPr>
          <w:rFonts w:ascii="Times New Roman" w:hAnsi="Times New Roman"/>
        </w:rPr>
        <w:t xml:space="preserve"> escalas. A acurácia e a precisão das estimativas são avaliad</w:t>
      </w:r>
      <w:r>
        <w:rPr>
          <w:rFonts w:ascii="Times New Roman" w:hAnsi="Times New Roman"/>
        </w:rPr>
        <w:t>a</w:t>
      </w:r>
      <w:r w:rsidRPr="00524AEA">
        <w:rPr>
          <w:rFonts w:ascii="Times New Roman" w:hAnsi="Times New Roman"/>
        </w:rPr>
        <w:t xml:space="preserve">s por um estudo de simulação, considerando diferentes condições e comparando os parâmetros estimados aos valores </w:t>
      </w:r>
      <w:r>
        <w:rPr>
          <w:rFonts w:ascii="Times New Roman" w:hAnsi="Times New Roman"/>
        </w:rPr>
        <w:t>de referência</w:t>
      </w:r>
      <w:r w:rsidRPr="00524AEA">
        <w:rPr>
          <w:rFonts w:ascii="Times New Roman" w:hAnsi="Times New Roman"/>
        </w:rPr>
        <w:t xml:space="preserve">. As simulações permitem investigar a viabilidade do método como alternativa para a equalização de avaliações calibradas pelo modelo de </w:t>
      </w:r>
      <w:proofErr w:type="spellStart"/>
      <w:r w:rsidRPr="00524AEA">
        <w:rPr>
          <w:rFonts w:ascii="Times New Roman" w:hAnsi="Times New Roman"/>
        </w:rPr>
        <w:t>Rasch</w:t>
      </w:r>
      <w:proofErr w:type="spellEnd"/>
      <w:r w:rsidRPr="00524AEA">
        <w:rPr>
          <w:rFonts w:ascii="Times New Roman" w:hAnsi="Times New Roman"/>
        </w:rPr>
        <w:t xml:space="preserve"> quando não há sobreposição de itens ou de população</w:t>
      </w:r>
      <w:r w:rsidR="00524AEA" w:rsidRPr="00524AEA">
        <w:rPr>
          <w:rFonts w:ascii="Times New Roman" w:hAnsi="Times New Roman"/>
        </w:rPr>
        <w:t>.</w:t>
      </w:r>
    </w:p>
    <w:p w14:paraId="6756F8D3" w14:textId="15870B77" w:rsidR="0025001F" w:rsidRPr="005048C2" w:rsidRDefault="002D4FC4" w:rsidP="00DF0E8A">
      <w:pPr>
        <w:spacing w:after="120" w:line="360" w:lineRule="auto"/>
        <w:ind w:firstLine="0"/>
        <w:rPr>
          <w:rFonts w:ascii="Times New Roman" w:eastAsia="BatangChe" w:hAnsi="Times New Roman"/>
          <w:szCs w:val="24"/>
        </w:rPr>
      </w:pPr>
      <w:r w:rsidRPr="005048C2">
        <w:rPr>
          <w:rFonts w:ascii="Times New Roman" w:eastAsia="BatangChe" w:hAnsi="Times New Roman"/>
          <w:szCs w:val="24"/>
        </w:rPr>
        <w:t xml:space="preserve">Palavras-chave: </w:t>
      </w:r>
      <w:r w:rsidR="00D62738" w:rsidRPr="00D62738">
        <w:rPr>
          <w:rFonts w:ascii="Times New Roman" w:hAnsi="Times New Roman"/>
        </w:rPr>
        <w:t xml:space="preserve">Teoria da Resposta ao Item; Modelo de </w:t>
      </w:r>
      <w:proofErr w:type="spellStart"/>
      <w:r w:rsidR="00D62738" w:rsidRPr="00D62738">
        <w:rPr>
          <w:rFonts w:ascii="Times New Roman" w:hAnsi="Times New Roman"/>
        </w:rPr>
        <w:t>Rasch</w:t>
      </w:r>
      <w:proofErr w:type="spellEnd"/>
      <w:r w:rsidR="00D62738" w:rsidRPr="00D62738">
        <w:rPr>
          <w:rFonts w:ascii="Times New Roman" w:hAnsi="Times New Roman"/>
        </w:rPr>
        <w:t>; Equalização; Julgamento Comparativo</w:t>
      </w:r>
      <w:r w:rsidRPr="00D62738">
        <w:rPr>
          <w:rFonts w:ascii="Times New Roman" w:eastAsia="BatangChe" w:hAnsi="Times New Roman"/>
          <w:szCs w:val="24"/>
        </w:rPr>
        <w:t>.</w:t>
      </w:r>
    </w:p>
    <w:p w14:paraId="0E9497EA" w14:textId="77777777" w:rsidR="0025001F" w:rsidRPr="005048C2" w:rsidRDefault="0025001F">
      <w:pPr>
        <w:widowControl w:val="0"/>
        <w:autoSpaceDE w:val="0"/>
        <w:autoSpaceDN w:val="0"/>
        <w:adjustRightInd w:val="0"/>
        <w:spacing w:after="0" w:line="200" w:lineRule="exact"/>
        <w:rPr>
          <w:rFonts w:ascii="Times New Roman" w:eastAsia="BatangChe" w:hAnsi="Times New Roman"/>
          <w:szCs w:val="24"/>
        </w:rPr>
      </w:pPr>
    </w:p>
    <w:p w14:paraId="7594A21A" w14:textId="77777777" w:rsidR="0025001F" w:rsidRPr="005048C2" w:rsidRDefault="0025001F">
      <w:pPr>
        <w:widowControl w:val="0"/>
        <w:autoSpaceDE w:val="0"/>
        <w:autoSpaceDN w:val="0"/>
        <w:adjustRightInd w:val="0"/>
        <w:spacing w:after="0" w:line="200" w:lineRule="exact"/>
        <w:rPr>
          <w:rFonts w:ascii="Times New Roman" w:eastAsia="BatangChe" w:hAnsi="Times New Roman"/>
          <w:szCs w:val="24"/>
        </w:rPr>
      </w:pPr>
    </w:p>
    <w:p w14:paraId="621BC531"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5E68CB7B" w14:textId="3F42A5F4" w:rsidR="00727CFF" w:rsidRPr="005048C2" w:rsidRDefault="00D62738">
      <w:pPr>
        <w:widowControl w:val="0"/>
        <w:autoSpaceDE w:val="0"/>
        <w:autoSpaceDN w:val="0"/>
        <w:adjustRightInd w:val="0"/>
        <w:spacing w:after="0" w:line="200" w:lineRule="exact"/>
        <w:rPr>
          <w:rFonts w:ascii="Times New Roman" w:eastAsia="BatangChe" w:hAnsi="Times New Roman"/>
          <w:szCs w:val="24"/>
        </w:rPr>
      </w:pPr>
      <w:r>
        <w:rPr>
          <w:rFonts w:ascii="Times New Roman" w:eastAsia="BatangChe" w:hAnsi="Times New Roman"/>
          <w:szCs w:val="24"/>
        </w:rPr>
        <w:t xml:space="preserve"> </w:t>
      </w:r>
      <w:r>
        <w:rPr>
          <w:rFonts w:ascii="Times New Roman" w:eastAsia="BatangChe" w:hAnsi="Times New Roman"/>
          <w:szCs w:val="24"/>
        </w:rPr>
        <w:tab/>
      </w:r>
    </w:p>
    <w:p w14:paraId="75530FFD"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0E9942BE" w14:textId="77777777" w:rsidR="00727CFF" w:rsidRPr="005048C2" w:rsidRDefault="00727CFF">
      <w:pPr>
        <w:widowControl w:val="0"/>
        <w:autoSpaceDE w:val="0"/>
        <w:autoSpaceDN w:val="0"/>
        <w:adjustRightInd w:val="0"/>
        <w:spacing w:after="0" w:line="200" w:lineRule="exact"/>
        <w:rPr>
          <w:rFonts w:ascii="Times New Roman" w:eastAsia="BatangChe" w:hAnsi="Times New Roman"/>
          <w:szCs w:val="24"/>
        </w:rPr>
      </w:pPr>
    </w:p>
    <w:p w14:paraId="2AAD0661" w14:textId="77777777" w:rsidR="00087937" w:rsidRPr="005048C2" w:rsidRDefault="00087937" w:rsidP="00727CFF">
      <w:pPr>
        <w:widowControl w:val="0"/>
        <w:autoSpaceDE w:val="0"/>
        <w:autoSpaceDN w:val="0"/>
        <w:adjustRightInd w:val="0"/>
        <w:spacing w:before="6" w:after="0"/>
        <w:ind w:firstLine="0"/>
        <w:rPr>
          <w:rFonts w:ascii="Times New Roman" w:eastAsia="BatangChe" w:hAnsi="Times New Roman"/>
          <w:szCs w:val="24"/>
        </w:rPr>
        <w:sectPr w:rsidR="00087937" w:rsidRPr="005048C2">
          <w:type w:val="continuous"/>
          <w:pgSz w:w="11920" w:h="16840"/>
          <w:pgMar w:top="1560" w:right="1680" w:bottom="280" w:left="1660" w:header="720" w:footer="720" w:gutter="0"/>
          <w:cols w:space="720" w:equalWidth="0">
            <w:col w:w="8580"/>
          </w:cols>
          <w:noEndnote/>
        </w:sectPr>
      </w:pPr>
    </w:p>
    <w:p w14:paraId="4ADA791A" w14:textId="77777777" w:rsidR="001E380A" w:rsidRPr="009E55F3" w:rsidRDefault="00727CFF" w:rsidP="009E55F3">
      <w:pPr>
        <w:pStyle w:val="Ttulo1"/>
        <w:spacing w:line="360" w:lineRule="auto"/>
        <w:rPr>
          <w:rFonts w:ascii="Times New Roman" w:eastAsia="BatangChe" w:hAnsi="Times New Roman"/>
          <w:w w:val="95"/>
          <w:sz w:val="24"/>
          <w:szCs w:val="24"/>
        </w:rPr>
      </w:pPr>
      <w:r w:rsidRPr="009E55F3">
        <w:rPr>
          <w:rFonts w:ascii="Times New Roman" w:eastAsia="BatangChe" w:hAnsi="Times New Roman"/>
          <w:w w:val="95"/>
          <w:sz w:val="24"/>
          <w:szCs w:val="24"/>
        </w:rPr>
        <w:lastRenderedPageBreak/>
        <w:t>Introdução</w:t>
      </w:r>
    </w:p>
    <w:p w14:paraId="04410F0F" w14:textId="72E8FA0F" w:rsidR="00AF10BB" w:rsidRPr="00392460" w:rsidRDefault="00AF10BB" w:rsidP="00AF10BB">
      <w:pPr>
        <w:spacing w:line="360" w:lineRule="auto"/>
        <w:rPr>
          <w:rFonts w:ascii="Times New Roman" w:hAnsi="Times New Roman"/>
          <w:szCs w:val="24"/>
        </w:rPr>
      </w:pPr>
      <w:r w:rsidRPr="009E55F3">
        <w:rPr>
          <w:rFonts w:ascii="Times New Roman" w:hAnsi="Times New Roman"/>
          <w:szCs w:val="24"/>
        </w:rPr>
        <w:t>A validade da interpretação de resultados em avaliações educacionais de larga escala depende, em grande medida, da possibilidade de comparar escores obtidos em diferentes momentos ou por diferentes grupos de examinandos. Quando uma avaliação é aplicada repetidamente ao longo do tempo</w:t>
      </w:r>
      <w:r w:rsidR="00841E41">
        <w:rPr>
          <w:rFonts w:ascii="Times New Roman" w:hAnsi="Times New Roman"/>
          <w:szCs w:val="24"/>
        </w:rPr>
        <w:t xml:space="preserve">, </w:t>
      </w:r>
      <w:r w:rsidRPr="009E55F3">
        <w:rPr>
          <w:rFonts w:ascii="Times New Roman" w:hAnsi="Times New Roman"/>
          <w:szCs w:val="24"/>
        </w:rPr>
        <w:t>surge a questão de saber se a pontuação obtida em uma aplicação é diretamente comparável a uma pontuação obtida em outra</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{"citationID":"bMXGYFHf","properties":{"unsorted":false,"formattedCitation":"(Kolen; Brennan, 2014)","plainCitation":"(Kolen; Brennan, 2014)","noteIndex":0},"citationItems":[{"id":228,"uris":["http://zotero.org/users/17462372/items/68N8ILQ9"],"itemData":{"id":228,"type":"book","collection-title":"Statistics for Social and Behavioral Sciences Ser","edition":"Third edition","ISBN":"978-1-4939-0316-0","language":"eng","number-of-pages":"1","publisher":"Springer","publisher-place":"New York, NY","source":"K10plus ISBN","title":"Test equating, scaling, and linking: methods and practices","title-short":"Test equating, scaling, and linking","author":[{"family":"Kolen","given":"Michael J."},{"family":"Brennan","given":"Robert L."}],"issued":{"date-parts":[["2014"]]}}}],"schema":"https://github.com/citation-style-language/schema/raw/master/csl-citation.json"} </w:instrText>
      </w:r>
      <w:r>
        <w:rPr>
          <w:rFonts w:ascii="Times New Roman" w:hAnsi="Times New Roman"/>
          <w:szCs w:val="24"/>
        </w:rPr>
        <w:fldChar w:fldCharType="separate"/>
      </w:r>
      <w:r w:rsidRPr="00392460">
        <w:rPr>
          <w:rFonts w:ascii="Times New Roman" w:hAnsi="Times New Roman"/>
        </w:rPr>
        <w:t>(Kolen; Brennan, 2014)</w:t>
      </w:r>
      <w:r>
        <w:rPr>
          <w:rFonts w:ascii="Times New Roman" w:hAnsi="Times New Roman"/>
          <w:szCs w:val="24"/>
        </w:rPr>
        <w:fldChar w:fldCharType="end"/>
      </w:r>
      <w:r w:rsidRPr="00392460">
        <w:rPr>
          <w:rFonts w:ascii="Times New Roman" w:hAnsi="Times New Roman"/>
          <w:szCs w:val="24"/>
        </w:rPr>
        <w:t>.</w:t>
      </w:r>
    </w:p>
    <w:p w14:paraId="4EEB5B82" w14:textId="6ECDF7E0" w:rsidR="00AF10BB" w:rsidRPr="009E55F3" w:rsidRDefault="00AF10BB" w:rsidP="00AF10BB">
      <w:pPr>
        <w:spacing w:line="360" w:lineRule="auto"/>
        <w:rPr>
          <w:rFonts w:ascii="Times New Roman" w:hAnsi="Times New Roman"/>
          <w:szCs w:val="24"/>
        </w:rPr>
      </w:pPr>
      <w:r w:rsidRPr="009E55F3">
        <w:rPr>
          <w:rFonts w:ascii="Times New Roman" w:hAnsi="Times New Roman"/>
          <w:szCs w:val="24"/>
        </w:rPr>
        <w:t>A equalização entre edições de uma avaliação corresponde ao conjunto de procedimentos estatísticos desenvolvidos para responder a esse problema, produzindo uma transformação que converte os escores de uma edição para a escala da outra, de modo que se tornem intercambiáveis</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{"citationID":"ryIqwIff","properties":{"unsorted":false,"formattedCitation":"(Kolen; Brennan, 2014)","plainCitation":"(Kolen; Brennan, 2014)","noteIndex":0},"citationItems":[{"id":228,"uris":["http://zotero.org/users/17462372/items/68N8ILQ9"],"itemData":{"id":228,"type":"book","collection-title":"Statistics for Social and Behavioral Sciences Ser","edition":"Third edition","ISBN":"978-1-4939-0316-0","language":"eng","number-of-pages":"1","publisher":"Springer","publisher-place":"New York, NY","source":"K10plus ISBN","title":"Test equating, scaling, and linking: methods and practices","title-short":"Test equating, scaling, and linking","author":[{"family":"Kolen","given":"Michael J."},{"family":"Brennan","given":"Robert L."}],"issued":{"date-parts":[["2014"]]}}}],"schema":"https://github.com/citation-style-language/schema/raw/master/csl-citation.json"} </w:instrText>
      </w:r>
      <w:r>
        <w:rPr>
          <w:rFonts w:ascii="Times New Roman" w:hAnsi="Times New Roman"/>
          <w:szCs w:val="24"/>
        </w:rPr>
        <w:fldChar w:fldCharType="separate"/>
      </w:r>
      <w:r w:rsidRPr="00993C5A">
        <w:rPr>
          <w:rFonts w:ascii="Times New Roman" w:hAnsi="Times New Roman"/>
        </w:rPr>
        <w:t>(Kolen; Brennan, 2014)</w:t>
      </w:r>
      <w:r>
        <w:rPr>
          <w:rFonts w:ascii="Times New Roman" w:hAnsi="Times New Roman"/>
          <w:szCs w:val="24"/>
        </w:rPr>
        <w:fldChar w:fldCharType="end"/>
      </w:r>
      <w:r w:rsidRPr="009E55F3">
        <w:rPr>
          <w:rFonts w:ascii="Times New Roman" w:hAnsi="Times New Roman"/>
          <w:szCs w:val="24"/>
        </w:rPr>
        <w:t xml:space="preserve">. Para que essa transformação seja estatisticamente identificável, os métodos clássicos requerem alguma forma de ligação entre as formas: um grupo único de respondentes, grupos equivalentes por alocação aleatória, ou itens comuns respondidos por todos os examinandos. No âmbito da TRI, e em particular do modelo de </w:t>
      </w:r>
      <w:proofErr w:type="spellStart"/>
      <w:r w:rsidRPr="009E55F3">
        <w:rPr>
          <w:rFonts w:ascii="Times New Roman" w:hAnsi="Times New Roman"/>
          <w:szCs w:val="24"/>
        </w:rPr>
        <w:t>Rasch</w:t>
      </w:r>
      <w:proofErr w:type="spellEnd"/>
      <w:r w:rsidRPr="009E55F3">
        <w:rPr>
          <w:rFonts w:ascii="Times New Roman" w:hAnsi="Times New Roman"/>
          <w:szCs w:val="24"/>
        </w:rPr>
        <w:t>, esse requisito decorre do fato de que os parâmetros de duas aplicações são estimados em escalas arbitrárias e independentes, que podem ser colocadas em uma métrica única por meio de itens ou grupos em comum</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{"citationID":"NkoadnjG","properties":{"unsorted":false,"formattedCitation":"(Andrade; Tavares; Valle, 2000)","plainCitation":"(Andrade; Tavares; Valle, 2000)","noteIndex":0},"citationItems":[{"id":232,"uris":["http://zotero.org/users/17462372/items/IXCPPUWV"],"itemData":{"id":232,"type":"book","collection-title":"SINAPE","title":"Teoria da Resposta ao Item: Conceitos e Aplicações","author":[{"family":"Andrade","given":"Dalton Fracisco","dropping-particle":"de"},{"family":"Tavares","given":"Heliton Ribeiro"},{"family":"Valle","given":"Raquel da Cunha"}],"issued":{"date-parts":[["2000"]]}}}],"schema":"https://github.com/citation-style-language/schema/raw/master/csl-citation.json"} </w:instrText>
      </w:r>
      <w:r>
        <w:rPr>
          <w:rFonts w:ascii="Times New Roman" w:hAnsi="Times New Roman"/>
          <w:szCs w:val="24"/>
        </w:rPr>
        <w:fldChar w:fldCharType="separate"/>
      </w:r>
      <w:r w:rsidRPr="00D23345">
        <w:rPr>
          <w:rFonts w:ascii="Times New Roman" w:hAnsi="Times New Roman"/>
        </w:rPr>
        <w:t>(Andrade; Tavares; Valle, 2000)</w:t>
      </w:r>
      <w:r>
        <w:rPr>
          <w:rFonts w:ascii="Times New Roman" w:hAnsi="Times New Roman"/>
          <w:szCs w:val="24"/>
        </w:rPr>
        <w:fldChar w:fldCharType="end"/>
      </w:r>
      <w:r>
        <w:rPr>
          <w:rFonts w:ascii="Times New Roman" w:hAnsi="Times New Roman"/>
          <w:szCs w:val="24"/>
        </w:rPr>
        <w:t>.</w:t>
      </w:r>
    </w:p>
    <w:p w14:paraId="362278BF" w14:textId="26AE6F92" w:rsidR="00AF10BB" w:rsidRPr="009E55F3" w:rsidRDefault="00AF10BB" w:rsidP="00AF10BB">
      <w:pPr>
        <w:spacing w:line="360" w:lineRule="auto"/>
        <w:rPr>
          <w:rFonts w:ascii="Times New Roman" w:hAnsi="Times New Roman"/>
          <w:szCs w:val="24"/>
        </w:rPr>
      </w:pPr>
      <w:r w:rsidRPr="009E55F3">
        <w:rPr>
          <w:rFonts w:ascii="Times New Roman" w:hAnsi="Times New Roman"/>
          <w:szCs w:val="24"/>
        </w:rPr>
        <w:t xml:space="preserve">Contudo, há contextos nos quais </w:t>
      </w:r>
      <w:r w:rsidR="00527E57" w:rsidRPr="009E55F3">
        <w:rPr>
          <w:rFonts w:ascii="Times New Roman" w:hAnsi="Times New Roman"/>
          <w:szCs w:val="24"/>
        </w:rPr>
        <w:t>itens ou grupos em comum</w:t>
      </w:r>
      <w:r w:rsidR="00527E57">
        <w:rPr>
          <w:rFonts w:ascii="Times New Roman" w:hAnsi="Times New Roman"/>
          <w:szCs w:val="24"/>
        </w:rPr>
        <w:t xml:space="preserve"> não </w:t>
      </w:r>
      <w:r w:rsidR="00841E41">
        <w:rPr>
          <w:rFonts w:ascii="Times New Roman" w:hAnsi="Times New Roman"/>
          <w:szCs w:val="24"/>
        </w:rPr>
        <w:t xml:space="preserve">estão </w:t>
      </w:r>
      <w:r w:rsidR="00841E41" w:rsidRPr="009E55F3">
        <w:rPr>
          <w:rFonts w:ascii="Times New Roman" w:hAnsi="Times New Roman"/>
          <w:szCs w:val="24"/>
        </w:rPr>
        <w:t>disponíveis</w:t>
      </w:r>
      <w:r w:rsidRPr="009E55F3">
        <w:rPr>
          <w:rFonts w:ascii="Times New Roman" w:hAnsi="Times New Roman"/>
          <w:szCs w:val="24"/>
        </w:rPr>
        <w:t>. Nesses cenários, os métodos clássicos de equalização não podem ser aplicados em sua formulação usual.</w:t>
      </w:r>
    </w:p>
    <w:p w14:paraId="637F0E27" w14:textId="6FBA9791" w:rsidR="00AF10BB" w:rsidRPr="009E55F3" w:rsidRDefault="00AF10BB" w:rsidP="00AF10BB">
      <w:pPr>
        <w:spacing w:line="360" w:lineRule="auto"/>
        <w:rPr>
          <w:rFonts w:ascii="Times New Roman" w:hAnsi="Times New Roman"/>
          <w:szCs w:val="24"/>
        </w:rPr>
      </w:pPr>
      <w:r w:rsidRPr="009E55F3">
        <w:rPr>
          <w:rFonts w:ascii="Times New Roman" w:hAnsi="Times New Roman"/>
          <w:szCs w:val="24"/>
        </w:rPr>
        <w:t xml:space="preserve">Diante da inaplicabilidade dos métodos clássicos de equalização nesses </w:t>
      </w:r>
      <w:r w:rsidR="00EB407F">
        <w:rPr>
          <w:rFonts w:ascii="Times New Roman" w:hAnsi="Times New Roman"/>
          <w:szCs w:val="24"/>
        </w:rPr>
        <w:t>casos</w:t>
      </w:r>
      <w:r w:rsidRPr="009E55F3">
        <w:rPr>
          <w:rFonts w:ascii="Times New Roman" w:hAnsi="Times New Roman"/>
          <w:szCs w:val="24"/>
        </w:rPr>
        <w:t>, o uso de julgamentos de especialistas tem sido apontado como alternativa para a estimação da dificuldade de itens. Tais estimativas podem complementar informações empíricas e contribuir para processos de equalização, sendo particularmente relevantes quando os dados empíricos são escassos ou inexistentes</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{"citationID":"N00fTahh","properties":{"unsorted":false,"formattedCitation":"(Attali et al., 2014; Curcin; Lee, 2025)","plainCitation":"(Attali et al., 2014; Curcin; Lee, 2025)","noteIndex":0},"citationItems":[{"id":235,"uris":["http://zotero.org/users/17462372/items/RL4L7VI7"],"itemData":{"id":235,"type":"article-journal","abstract":"Previous investigations of the ability of content experts and test developers to estimate item difficulty have, for the most part, produced disappointing results. These investigations were based on a noncomparative method of independently rating the difficulty of items. In this article, we argue that, by eliciting comparative judgments of difficulty, judges can more accurately estimate item difficulties. In this study, judges from different backgrounds rank ordered the difficulty of\n              \n                SAT\n              \n              ®\n              mathematics items in sets of 7 items. Results showed that judges are reasonably successful in rank ordering several items in terms of difficulty, with little variability across judges and content areas. Simulations of a possible implementation of comparative judgments for difficulty estimation show that it is possible to achieve high correlations between true and estimated difficulties with relatively few comparisons. Implications of these results for the test development process are discussed.\n            \n          , \n            Report Number: ETS RR–14–39","container-title":"ETS Research Report Series","DOI":"10.1002/ets2.12042","ISSN":"2330-8516, 2330-8516","issue":"2","journalAbbreviation":"ETS Research Report Series","language":"en","license":"http://onlinelibrary.wiley.com/termsAndConditions#vor","page":"1-8","source":"DOI.org (Crossref)","title":"Estimating Item Difficulty With Comparative Judgments","volume":"2014","author":[{"family":"Attali","given":"Yigal"},{"family":"Saldivia","given":"Luis"},{"family":"Jackson","given":"Carol"},{"family":"Schuppan","given":"Fred"},{"family":"Wanamaker","given":"Wilbur"}],"issued":{"date-parts":[["2014",12]]}}},{"id":233,"uris":["http://zotero.org/users/17462372/items/MENXPJD3"],"itemData":{"id":233,"type":"article-journal","abstract":"Traditional common-item or common-person statistical equating cannot always be used for standard maintaining or linking between test forms. In some contexts, comparative judgment (CJ) methods which capture expert judgment of quality of student work on </w:instrText>
      </w:r>
      <w:r w:rsidRPr="00197C8D">
        <w:rPr>
          <w:rFonts w:ascii="Times New Roman" w:hAnsi="Times New Roman"/>
          <w:szCs w:val="24"/>
        </w:rPr>
        <w:instrText>different test</w:instrText>
      </w:r>
      <w:r w:rsidRPr="0048311B">
        <w:rPr>
          <w:rFonts w:ascii="Times New Roman" w:hAnsi="Times New Roman"/>
          <w:szCs w:val="24"/>
        </w:rPr>
        <w:instrText xml:space="preserve"> forms have been trialed for this purpose. While plausibility, reliability and replicability of CJ outcomes has been shown to be high, little research has established the extent of CJ accuracy, that is, agreement between CJ outcomes and outcomes established by robust statistical equating. We report on the accuracy of outcomes from several trials and replications of different CJ methods and different associated analytical approaches, compared to operational IRT statistical equating, demonstrating largely close alignment between the two. We also compare different CJ methods (and different analytical approaches) in terms of outcome precision, replicability and evidence of bias in expert judgment (that is, a tendency to prefer student work on easier test forms). We discuss the advantages and disadvantages of different CJ methods and analytical approaches and their potential for informing standard maintaining in different contexts.","container-title":"Frontiers in Education","DOI":"10.3389/feduc.2025.1538486","ISSN":"2504-284X","journalAbbreviation":"Front. Educ.","page":"1538486","source":"DOI.org (Crossref)","title":"Evaluating accuracy and bias of different comparative judgment equating methods against traditional statistical equating","volume":"10","author":[{"family":"Curcin","given":"Milja"},{"family":"Lee","given":"Ming Wei"}],"issued":{"date-parts":[["2025",9,18]]}}}],"schema":"https://github.com/citation-style-language/schema/raw/master/csl-citation.json"} </w:instrText>
      </w:r>
      <w:r>
        <w:rPr>
          <w:rFonts w:ascii="Times New Roman" w:hAnsi="Times New Roman"/>
          <w:szCs w:val="24"/>
        </w:rPr>
        <w:fldChar w:fldCharType="separate"/>
      </w:r>
      <w:r w:rsidRPr="0048311B">
        <w:rPr>
          <w:rFonts w:ascii="Times New Roman" w:hAnsi="Times New Roman"/>
        </w:rPr>
        <w:t>(Attali et al., 2014; Curcin; Lee, 2025)</w:t>
      </w:r>
      <w:r>
        <w:rPr>
          <w:rFonts w:ascii="Times New Roman" w:hAnsi="Times New Roman"/>
          <w:szCs w:val="24"/>
        </w:rPr>
        <w:fldChar w:fldCharType="end"/>
      </w:r>
      <w:r>
        <w:rPr>
          <w:rFonts w:ascii="Times New Roman" w:hAnsi="Times New Roman"/>
          <w:szCs w:val="24"/>
        </w:rPr>
        <w:t xml:space="preserve">. </w:t>
      </w:r>
    </w:p>
    <w:p w14:paraId="1C4ED50C" w14:textId="6B8D67DE" w:rsidR="00AF10BB" w:rsidRPr="009E55F3" w:rsidRDefault="00AF10BB" w:rsidP="00AF10BB">
      <w:pPr>
        <w:spacing w:line="360" w:lineRule="auto"/>
        <w:rPr>
          <w:rFonts w:ascii="Times New Roman" w:hAnsi="Times New Roman"/>
          <w:szCs w:val="24"/>
        </w:rPr>
      </w:pPr>
      <w:r w:rsidRPr="009E55F3">
        <w:rPr>
          <w:rFonts w:ascii="Times New Roman" w:hAnsi="Times New Roman"/>
          <w:szCs w:val="24"/>
        </w:rPr>
        <w:t xml:space="preserve">Uma técnica de elicitação que tem ganhado espaço na literatura é o </w:t>
      </w:r>
      <w:proofErr w:type="spellStart"/>
      <w:r w:rsidRPr="00D83937">
        <w:rPr>
          <w:rFonts w:ascii="Times New Roman" w:hAnsi="Times New Roman"/>
          <w:i/>
          <w:iCs/>
          <w:szCs w:val="24"/>
        </w:rPr>
        <w:t>comparative</w:t>
      </w:r>
      <w:proofErr w:type="spellEnd"/>
      <w:r w:rsidRPr="00D83937">
        <w:rPr>
          <w:rFonts w:ascii="Times New Roman" w:hAnsi="Times New Roman"/>
          <w:i/>
          <w:iCs/>
          <w:szCs w:val="24"/>
        </w:rPr>
        <w:t xml:space="preserve"> </w:t>
      </w:r>
      <w:proofErr w:type="spellStart"/>
      <w:r w:rsidRPr="00D83937">
        <w:rPr>
          <w:rFonts w:ascii="Times New Roman" w:hAnsi="Times New Roman"/>
          <w:i/>
          <w:iCs/>
          <w:szCs w:val="24"/>
        </w:rPr>
        <w:t>judgement</w:t>
      </w:r>
      <w:proofErr w:type="spellEnd"/>
      <w:r w:rsidRPr="009E55F3">
        <w:rPr>
          <w:rFonts w:ascii="Times New Roman" w:hAnsi="Times New Roman"/>
          <w:szCs w:val="24"/>
        </w:rPr>
        <w:t xml:space="preserve"> (CJ), no qual, em vez de estimar diretamente um parâmetro, o especialista compara objetos, tarefa cognitivamente mais simples e, por isso, potencialmente mais confiável do que a estimação direta</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{"citationID":"c7UpkXJF","properties":{"unsorted":false,"formattedCitation":"(Thurstone, 1927)","plainCitation":"(Thurstone, 1927)","noteIndex":0},"citationItems":[{"id":238,"uris":["http://zotero.org/users/17462372/items/QUHGNREV"],"itemData":{"id":238,"type":"article-journal","container-title":"Psychological Review","DOI":"10.1037/h0070288","ISSN":"1939-1471, 0033-295X","issue":"4","journalAbbreviation":"Psychological Review","language":"en","page":"273-286","source":"DOI.org (Crossref)","title":"A law of comparative judgment.","volume":"34","author":[{"family":"Thurstone","given":"L. L."}],"issued":{"date-parts":[["1927",7]]}}}],"schema":"https://github.com/citation-style-language/schema/raw/master/csl-citation.json"} </w:instrText>
      </w:r>
      <w:r>
        <w:rPr>
          <w:rFonts w:ascii="Times New Roman" w:hAnsi="Times New Roman"/>
          <w:szCs w:val="24"/>
        </w:rPr>
        <w:fldChar w:fldCharType="separate"/>
      </w:r>
      <w:r w:rsidRPr="0048311B">
        <w:rPr>
          <w:rFonts w:ascii="Times New Roman" w:hAnsi="Times New Roman"/>
        </w:rPr>
        <w:t>(Thurstone, 1927)</w:t>
      </w:r>
      <w:r>
        <w:rPr>
          <w:rFonts w:ascii="Times New Roman" w:hAnsi="Times New Roman"/>
          <w:szCs w:val="24"/>
        </w:rPr>
        <w:fldChar w:fldCharType="end"/>
      </w:r>
      <w:r w:rsidRPr="009E55F3">
        <w:rPr>
          <w:rFonts w:ascii="Times New Roman" w:hAnsi="Times New Roman"/>
          <w:szCs w:val="24"/>
        </w:rPr>
        <w:t>.</w:t>
      </w:r>
      <w:r>
        <w:rPr>
          <w:rFonts w:ascii="Times New Roman" w:hAnsi="Times New Roman"/>
          <w:szCs w:val="24"/>
        </w:rPr>
        <w:t xml:space="preserve"> </w:t>
      </w:r>
      <w:r>
        <w:rPr>
          <w:rFonts w:ascii="Times New Roman" w:hAnsi="Times New Roman"/>
          <w:szCs w:val="24"/>
        </w:rPr>
        <w:fldChar w:fldCharType="begin"/>
      </w:r>
      <w:r>
        <w:rPr>
          <w:rFonts w:ascii="Times New Roman" w:hAnsi="Times New Roman"/>
          <w:szCs w:val="24"/>
        </w:rPr>
        <w:instrText xml:space="preserve"> ADDIN ZOTERO_ITEM CSL_CITATION {"citationID":"pUoKyOBF","properties":{"unsorted":false,"formattedCitation":"(Bramley, 2005)","plainCitation":"(Bramley, 2005)","noteIndex":0},"citationItems":[{"id":236,"uris":["http://zotero.org/users/17462372/items/UZZ8RBJM"],"itemData":{"id":236,"type":"article-journal","abstract":"This paper describes a new method of comparing the raw mark scales on two tests using expert judgment. The two tests do not need to have any common items, nor to be taken by common groups of candidates. This study used scripts (i.e., the complete work of a candidate on the test) from England's National Curriculum Test for Reading at Key Stage 3 (14-year olds) in 2003 and 2004. Each member of a panel of 12 experts was given four packs each containing ten scripts--five scripts from each year's test. Marks and annotations from these scripts had been removed. Their task was to put the ten scripts into a single rank order, based on a holistic judgment of the level of performance exhibited in each. Because the design of the study linked scripts across judges and packs it was possible to construct a single latent trait of judged quality of performance. This was done using two different analytical methods: the Rasch formulation of Thurstone paired comparisons, and the Rasch Partial Credit model. Relating the two raw mark scales to the single latent scale allowed the two years' tests to be equated. The merits of using this standard-maintaining method as opposed to a standard-setting method in this particular context are discussed.","container-title":"Journal of Applied Measurement","ISSN":"1529-7713","issue":"2","journalAbbreviation":"J Appl Meas","language":"eng","page":"202-223","PMID":"15795487","source":"PubMed","title":"A rank-ordering method for equating tests by expert judgment","volume":"6","author":[{"family":"Bramley","given":"Tom"}],"issued":{"date-parts":[["2005"]]}}}],"schema":"https://github.com/citation-style-language/schema/raw/master/csl-citation.json"} </w:instrText>
      </w:r>
      <w:r>
        <w:rPr>
          <w:rFonts w:ascii="Times New Roman" w:hAnsi="Times New Roman"/>
          <w:szCs w:val="24"/>
        </w:rPr>
        <w:fldChar w:fldCharType="separate"/>
      </w:r>
      <w:r w:rsidRPr="00675B80">
        <w:rPr>
          <w:rFonts w:ascii="Times New Roman" w:hAnsi="Times New Roman"/>
        </w:rPr>
        <w:t xml:space="preserve">Bramley </w:t>
      </w:r>
      <w:r>
        <w:rPr>
          <w:rFonts w:ascii="Times New Roman" w:hAnsi="Times New Roman"/>
        </w:rPr>
        <w:t>(</w:t>
      </w:r>
      <w:r w:rsidRPr="00675B80">
        <w:rPr>
          <w:rFonts w:ascii="Times New Roman" w:hAnsi="Times New Roman"/>
        </w:rPr>
        <w:t>2005)</w:t>
      </w:r>
      <w:r>
        <w:rPr>
          <w:rFonts w:ascii="Times New Roman" w:hAnsi="Times New Roman"/>
          <w:szCs w:val="24"/>
        </w:rPr>
        <w:fldChar w:fldCharType="end"/>
      </w:r>
      <w:r w:rsidRPr="009E55F3">
        <w:rPr>
          <w:rFonts w:ascii="Times New Roman" w:hAnsi="Times New Roman"/>
          <w:szCs w:val="24"/>
        </w:rPr>
        <w:t xml:space="preserve"> formalizou o uso de CJ para vincular escalas de duas versões de uma prova a partir da comparação de pares de desempenhos de candidatos. </w:t>
      </w:r>
      <w:proofErr w:type="spellStart"/>
      <w:r w:rsidRPr="009E55F3">
        <w:rPr>
          <w:rFonts w:ascii="Times New Roman" w:hAnsi="Times New Roman"/>
          <w:szCs w:val="24"/>
        </w:rPr>
        <w:t>Benton</w:t>
      </w:r>
      <w:proofErr w:type="spellEnd"/>
      <w:r w:rsidRPr="009E55F3">
        <w:rPr>
          <w:rFonts w:ascii="Times New Roman" w:hAnsi="Times New Roman"/>
          <w:szCs w:val="24"/>
        </w:rPr>
        <w:t xml:space="preserve"> (2021) demonstrou que </w:t>
      </w:r>
      <w:r w:rsidR="000F12A7">
        <w:rPr>
          <w:rFonts w:ascii="Times New Roman" w:hAnsi="Times New Roman"/>
          <w:szCs w:val="24"/>
        </w:rPr>
        <w:t>a</w:t>
      </w:r>
      <w:r w:rsidR="000F12A7" w:rsidRPr="009E55F3">
        <w:rPr>
          <w:rFonts w:ascii="Times New Roman" w:hAnsi="Times New Roman"/>
          <w:szCs w:val="24"/>
        </w:rPr>
        <w:t xml:space="preserve"> compara</w:t>
      </w:r>
      <w:r w:rsidR="000F12A7">
        <w:rPr>
          <w:rFonts w:ascii="Times New Roman" w:hAnsi="Times New Roman"/>
          <w:szCs w:val="24"/>
        </w:rPr>
        <w:t>ção</w:t>
      </w:r>
      <w:r w:rsidR="000F12A7" w:rsidRPr="009E55F3">
        <w:rPr>
          <w:rFonts w:ascii="Times New Roman" w:hAnsi="Times New Roman"/>
          <w:szCs w:val="24"/>
        </w:rPr>
        <w:t xml:space="preserve"> </w:t>
      </w:r>
      <w:r w:rsidR="000F12A7">
        <w:rPr>
          <w:rFonts w:ascii="Times New Roman" w:hAnsi="Times New Roman"/>
          <w:szCs w:val="24"/>
        </w:rPr>
        <w:t>d</w:t>
      </w:r>
      <w:r w:rsidR="000F12A7" w:rsidRPr="009E55F3">
        <w:rPr>
          <w:rFonts w:ascii="Times New Roman" w:hAnsi="Times New Roman"/>
          <w:szCs w:val="24"/>
        </w:rPr>
        <w:t>o desempenho holístico de candidatos em duas versões de uma prova</w:t>
      </w:r>
      <w:r w:rsidRPr="009E55F3">
        <w:rPr>
          <w:rFonts w:ascii="Times New Roman" w:hAnsi="Times New Roman"/>
          <w:szCs w:val="24"/>
        </w:rPr>
        <w:t xml:space="preserve"> pode ser melhorada com o método de pares </w:t>
      </w:r>
      <w:r w:rsidRPr="009E55F3">
        <w:rPr>
          <w:rFonts w:ascii="Times New Roman" w:hAnsi="Times New Roman"/>
          <w:szCs w:val="24"/>
        </w:rPr>
        <w:lastRenderedPageBreak/>
        <w:t>simplificados, que estima a diferença de dificuldade diretamente por regressão logística, produzindo estimativas mais estáveis e com menor carga de trabalho para os juízes.</w:t>
      </w:r>
    </w:p>
    <w:p w14:paraId="15D20B7D" w14:textId="35A56F5F" w:rsidR="00E874D2" w:rsidRPr="005D0154" w:rsidRDefault="00AF10BB" w:rsidP="00AF10BB">
      <w:pPr>
        <w:spacing w:line="360" w:lineRule="auto"/>
        <w:rPr>
          <w:rFonts w:ascii="Times New Roman" w:hAnsi="Times New Roman"/>
          <w:szCs w:val="24"/>
        </w:rPr>
      </w:pPr>
      <w:r w:rsidRPr="009E55F3">
        <w:rPr>
          <w:rFonts w:ascii="Times New Roman" w:hAnsi="Times New Roman"/>
          <w:szCs w:val="24"/>
        </w:rPr>
        <w:t xml:space="preserve">O presente trabalho </w:t>
      </w:r>
      <w:r w:rsidR="00EB407F">
        <w:rPr>
          <w:rFonts w:ascii="Times New Roman" w:hAnsi="Times New Roman"/>
          <w:szCs w:val="24"/>
        </w:rPr>
        <w:t xml:space="preserve">avalia a </w:t>
      </w:r>
      <w:r w:rsidR="000F12A7">
        <w:rPr>
          <w:rFonts w:ascii="Times New Roman" w:hAnsi="Times New Roman"/>
          <w:szCs w:val="24"/>
        </w:rPr>
        <w:t>robustez da adaptação dessa</w:t>
      </w:r>
      <w:r w:rsidRPr="009E55F3">
        <w:rPr>
          <w:rFonts w:ascii="Times New Roman" w:hAnsi="Times New Roman"/>
          <w:szCs w:val="24"/>
        </w:rPr>
        <w:t xml:space="preserve"> lógica, </w:t>
      </w:r>
      <w:r w:rsidR="007C7664" w:rsidRPr="007C7664">
        <w:rPr>
          <w:rFonts w:ascii="Times New Roman" w:hAnsi="Times New Roman"/>
          <w:szCs w:val="24"/>
        </w:rPr>
        <w:t>propost</w:t>
      </w:r>
      <w:r w:rsidR="007C7664">
        <w:rPr>
          <w:rFonts w:ascii="Times New Roman" w:hAnsi="Times New Roman"/>
          <w:szCs w:val="24"/>
        </w:rPr>
        <w:t>a</w:t>
      </w:r>
      <w:r w:rsidR="007C7664" w:rsidRPr="007C7664">
        <w:rPr>
          <w:rFonts w:ascii="Times New Roman" w:hAnsi="Times New Roman"/>
          <w:szCs w:val="24"/>
        </w:rPr>
        <w:t xml:space="preserve"> por </w:t>
      </w:r>
      <w:proofErr w:type="spellStart"/>
      <w:r w:rsidR="007C7664" w:rsidRPr="007C7664">
        <w:rPr>
          <w:rFonts w:ascii="Times New Roman" w:hAnsi="Times New Roman"/>
          <w:szCs w:val="24"/>
        </w:rPr>
        <w:t>Benton</w:t>
      </w:r>
      <w:proofErr w:type="spellEnd"/>
      <w:r w:rsidR="007C7664" w:rsidRPr="007C7664">
        <w:rPr>
          <w:rFonts w:ascii="Times New Roman" w:hAnsi="Times New Roman"/>
          <w:szCs w:val="24"/>
        </w:rPr>
        <w:t xml:space="preserve"> (2019) e </w:t>
      </w:r>
      <w:r w:rsidR="007C7664">
        <w:rPr>
          <w:rFonts w:ascii="Times New Roman" w:hAnsi="Times New Roman"/>
          <w:szCs w:val="24"/>
        </w:rPr>
        <w:t>refinada por</w:t>
      </w:r>
      <w:r w:rsidR="007C7664" w:rsidRPr="007C7664">
        <w:rPr>
          <w:rFonts w:ascii="Times New Roman" w:hAnsi="Times New Roman"/>
          <w:szCs w:val="24"/>
        </w:rPr>
        <w:t xml:space="preserve"> </w:t>
      </w:r>
      <w:proofErr w:type="spellStart"/>
      <w:r w:rsidR="007C7664" w:rsidRPr="007C7664">
        <w:rPr>
          <w:rFonts w:ascii="Times New Roman" w:hAnsi="Times New Roman"/>
          <w:szCs w:val="24"/>
        </w:rPr>
        <w:t>Benton</w:t>
      </w:r>
      <w:proofErr w:type="spellEnd"/>
      <w:r w:rsidR="007C7664" w:rsidRPr="007C7664">
        <w:rPr>
          <w:rFonts w:ascii="Times New Roman" w:hAnsi="Times New Roman"/>
          <w:szCs w:val="24"/>
        </w:rPr>
        <w:t xml:space="preserve"> et al. (2020) </w:t>
      </w:r>
      <w:r w:rsidR="007C7664">
        <w:rPr>
          <w:rFonts w:ascii="Times New Roman" w:hAnsi="Times New Roman"/>
          <w:szCs w:val="24"/>
        </w:rPr>
        <w:t>e</w:t>
      </w:r>
      <w:r w:rsidRPr="009E55F3">
        <w:rPr>
          <w:rFonts w:ascii="Times New Roman" w:hAnsi="Times New Roman"/>
          <w:szCs w:val="24"/>
        </w:rPr>
        <w:t xml:space="preserve"> </w:t>
      </w:r>
      <w:proofErr w:type="spellStart"/>
      <w:r w:rsidRPr="009E55F3">
        <w:rPr>
          <w:rFonts w:ascii="Times New Roman" w:hAnsi="Times New Roman"/>
          <w:szCs w:val="24"/>
        </w:rPr>
        <w:t>Benton</w:t>
      </w:r>
      <w:proofErr w:type="spellEnd"/>
      <w:r w:rsidRPr="009E55F3">
        <w:rPr>
          <w:rFonts w:ascii="Times New Roman" w:hAnsi="Times New Roman"/>
          <w:szCs w:val="24"/>
        </w:rPr>
        <w:t xml:space="preserve"> (2021)</w:t>
      </w:r>
      <w:r w:rsidR="000F12A7">
        <w:rPr>
          <w:rFonts w:ascii="Times New Roman" w:hAnsi="Times New Roman"/>
          <w:szCs w:val="24"/>
        </w:rPr>
        <w:t>,</w:t>
      </w:r>
      <w:r w:rsidRPr="009E55F3">
        <w:rPr>
          <w:rFonts w:ascii="Times New Roman" w:hAnsi="Times New Roman"/>
          <w:szCs w:val="24"/>
        </w:rPr>
        <w:t xml:space="preserve"> para comparar diretamente a dificuldade de itens</w:t>
      </w:r>
      <w:r w:rsidR="00EB407F">
        <w:rPr>
          <w:rFonts w:ascii="Times New Roman" w:hAnsi="Times New Roman"/>
          <w:szCs w:val="24"/>
        </w:rPr>
        <w:t xml:space="preserve"> dicotômicos</w:t>
      </w:r>
      <w:r w:rsidRPr="009E55F3">
        <w:rPr>
          <w:rFonts w:ascii="Times New Roman" w:hAnsi="Times New Roman"/>
          <w:szCs w:val="24"/>
        </w:rPr>
        <w:t xml:space="preserve"> entre duas provas calibradas de forma independente pelo modelo de </w:t>
      </w:r>
      <w:proofErr w:type="spellStart"/>
      <w:r w:rsidRPr="009E55F3">
        <w:rPr>
          <w:rFonts w:ascii="Times New Roman" w:hAnsi="Times New Roman"/>
          <w:szCs w:val="24"/>
        </w:rPr>
        <w:t>Rasch</w:t>
      </w:r>
      <w:proofErr w:type="spellEnd"/>
      <w:r w:rsidRPr="009E55F3">
        <w:rPr>
          <w:rFonts w:ascii="Times New Roman" w:hAnsi="Times New Roman"/>
          <w:szCs w:val="24"/>
        </w:rPr>
        <w:t>, sem itens ou população em comum, situação que se verifica em diversos contextos avaliativos</w:t>
      </w:r>
      <w:r w:rsidR="009E55F3" w:rsidRPr="009E55F3">
        <w:rPr>
          <w:rFonts w:ascii="Times New Roman" w:hAnsi="Times New Roman"/>
          <w:szCs w:val="24"/>
        </w:rPr>
        <w:t>.</w:t>
      </w:r>
    </w:p>
    <w:p w14:paraId="35008C1D" w14:textId="752016AD" w:rsidR="00727CFF" w:rsidRPr="005048C2" w:rsidRDefault="008D5F9A" w:rsidP="00A52D9A">
      <w:pPr>
        <w:pStyle w:val="Ttulo1"/>
        <w:spacing w:line="360" w:lineRule="auto"/>
        <w:rPr>
          <w:rFonts w:ascii="Times New Roman" w:hAnsi="Times New Roman"/>
          <w:sz w:val="24"/>
          <w:szCs w:val="24"/>
        </w:rPr>
      </w:pPr>
      <w:r>
        <w:rPr>
          <w:rFonts w:ascii="Times New Roman" w:hAnsi="Times New Roman"/>
          <w:sz w:val="24"/>
          <w:szCs w:val="24"/>
        </w:rPr>
        <w:t>Objetivos</w:t>
      </w:r>
    </w:p>
    <w:p w14:paraId="2A7A5AF2" w14:textId="77777777" w:rsidR="005629DE" w:rsidRDefault="005629DE" w:rsidP="005629DE">
      <w:pPr>
        <w:spacing w:line="360" w:lineRule="auto"/>
        <w:rPr>
          <w:rFonts w:ascii="Times New Roman" w:hAnsi="Times New Roman"/>
          <w:szCs w:val="24"/>
        </w:rPr>
      </w:pPr>
      <w:r w:rsidRPr="00A52D9A">
        <w:rPr>
          <w:rFonts w:ascii="Times New Roman" w:hAnsi="Times New Roman"/>
          <w:szCs w:val="24"/>
        </w:rPr>
        <w:t xml:space="preserve">Propor e avaliar, por meio de simulação, um método de equalização </w:t>
      </w:r>
      <w:r>
        <w:rPr>
          <w:rFonts w:ascii="Times New Roman" w:hAnsi="Times New Roman"/>
          <w:szCs w:val="24"/>
        </w:rPr>
        <w:t xml:space="preserve">entre edições </w:t>
      </w:r>
      <w:r w:rsidRPr="00A52D9A">
        <w:rPr>
          <w:rFonts w:ascii="Times New Roman" w:hAnsi="Times New Roman"/>
          <w:szCs w:val="24"/>
        </w:rPr>
        <w:t>de</w:t>
      </w:r>
      <w:r>
        <w:rPr>
          <w:rFonts w:ascii="Times New Roman" w:hAnsi="Times New Roman"/>
          <w:szCs w:val="24"/>
        </w:rPr>
        <w:t xml:space="preserve"> uma</w:t>
      </w:r>
      <w:r w:rsidRPr="00A52D9A">
        <w:rPr>
          <w:rFonts w:ascii="Times New Roman" w:hAnsi="Times New Roman"/>
          <w:szCs w:val="24"/>
        </w:rPr>
        <w:t xml:space="preserve"> avaliaç</w:t>
      </w:r>
      <w:r>
        <w:rPr>
          <w:rFonts w:ascii="Times New Roman" w:hAnsi="Times New Roman"/>
          <w:szCs w:val="24"/>
        </w:rPr>
        <w:t>ão</w:t>
      </w:r>
      <w:r w:rsidRPr="00A52D9A">
        <w:rPr>
          <w:rFonts w:ascii="Times New Roman" w:hAnsi="Times New Roman"/>
          <w:szCs w:val="24"/>
        </w:rPr>
        <w:t xml:space="preserve"> calibradas </w:t>
      </w:r>
      <w:r>
        <w:rPr>
          <w:rFonts w:ascii="Times New Roman" w:hAnsi="Times New Roman"/>
          <w:szCs w:val="24"/>
        </w:rPr>
        <w:t>de forma independente</w:t>
      </w:r>
      <w:r w:rsidRPr="00A52D9A">
        <w:rPr>
          <w:rFonts w:ascii="Times New Roman" w:hAnsi="Times New Roman"/>
          <w:szCs w:val="24"/>
        </w:rPr>
        <w:t xml:space="preserve"> pelo modelo de </w:t>
      </w:r>
      <w:proofErr w:type="spellStart"/>
      <w:r w:rsidRPr="00A52D9A">
        <w:rPr>
          <w:rFonts w:ascii="Times New Roman" w:hAnsi="Times New Roman"/>
          <w:szCs w:val="24"/>
        </w:rPr>
        <w:t>Rasch</w:t>
      </w:r>
      <w:proofErr w:type="spellEnd"/>
      <w:r w:rsidRPr="00A52D9A">
        <w:rPr>
          <w:rFonts w:ascii="Times New Roman" w:hAnsi="Times New Roman"/>
          <w:szCs w:val="24"/>
        </w:rPr>
        <w:t>, sem itens ou respondentes em comum, baseado no julgamento comparativo da dificuldade dos itens.</w:t>
      </w:r>
    </w:p>
    <w:p w14:paraId="6665B5B9" w14:textId="273022D7" w:rsidR="00CC0258" w:rsidRPr="005D0154" w:rsidRDefault="005629DE" w:rsidP="005629DE">
      <w:pPr>
        <w:spacing w:line="360" w:lineRule="auto"/>
        <w:rPr>
          <w:rFonts w:ascii="Times New Roman" w:hAnsi="Times New Roman"/>
          <w:szCs w:val="24"/>
        </w:rPr>
      </w:pPr>
      <w:r w:rsidRPr="00A52D9A">
        <w:rPr>
          <w:rFonts w:ascii="Times New Roman" w:hAnsi="Times New Roman"/>
          <w:szCs w:val="24"/>
        </w:rPr>
        <w:t>Especificamente, pretende-se: (i) simular julgamentos comparativos</w:t>
      </w:r>
      <w:r>
        <w:rPr>
          <w:rFonts w:ascii="Times New Roman" w:hAnsi="Times New Roman"/>
          <w:szCs w:val="24"/>
        </w:rPr>
        <w:t xml:space="preserve"> de juízes sobre</w:t>
      </w:r>
      <w:r w:rsidRPr="00A52D9A">
        <w:rPr>
          <w:rFonts w:ascii="Times New Roman" w:hAnsi="Times New Roman"/>
          <w:szCs w:val="24"/>
        </w:rPr>
        <w:t xml:space="preserve"> pares de itens</w:t>
      </w:r>
      <w:r>
        <w:rPr>
          <w:rFonts w:ascii="Times New Roman" w:hAnsi="Times New Roman"/>
          <w:szCs w:val="24"/>
        </w:rPr>
        <w:t>,</w:t>
      </w:r>
      <w:r w:rsidRPr="00A52D9A">
        <w:rPr>
          <w:rFonts w:ascii="Times New Roman" w:hAnsi="Times New Roman"/>
          <w:szCs w:val="24"/>
        </w:rPr>
        <w:t xml:space="preserve"> com base em parâmetros de dificuldade de referência; (</w:t>
      </w:r>
      <w:proofErr w:type="spellStart"/>
      <w:r w:rsidRPr="00A52D9A">
        <w:rPr>
          <w:rFonts w:ascii="Times New Roman" w:hAnsi="Times New Roman"/>
          <w:szCs w:val="24"/>
        </w:rPr>
        <w:t>ii</w:t>
      </w:r>
      <w:proofErr w:type="spellEnd"/>
      <w:r w:rsidRPr="00A52D9A">
        <w:rPr>
          <w:rFonts w:ascii="Times New Roman" w:hAnsi="Times New Roman"/>
          <w:szCs w:val="24"/>
        </w:rPr>
        <w:t>) estimar, por regressão logística, o deslocamento necessário para alinhar as</w:t>
      </w:r>
      <w:r>
        <w:rPr>
          <w:rFonts w:ascii="Times New Roman" w:hAnsi="Times New Roman"/>
          <w:szCs w:val="24"/>
        </w:rPr>
        <w:t xml:space="preserve"> escalas de</w:t>
      </w:r>
      <w:r w:rsidRPr="00A52D9A">
        <w:rPr>
          <w:rFonts w:ascii="Times New Roman" w:hAnsi="Times New Roman"/>
          <w:szCs w:val="24"/>
        </w:rPr>
        <w:t xml:space="preserve"> </w:t>
      </w:r>
      <w:r>
        <w:rPr>
          <w:rFonts w:ascii="Times New Roman" w:hAnsi="Times New Roman"/>
          <w:szCs w:val="24"/>
        </w:rPr>
        <w:t>dificuldade das avaliações</w:t>
      </w:r>
      <w:r w:rsidRPr="00A52D9A">
        <w:rPr>
          <w:rFonts w:ascii="Times New Roman" w:hAnsi="Times New Roman"/>
          <w:szCs w:val="24"/>
        </w:rPr>
        <w:t>; e (</w:t>
      </w:r>
      <w:proofErr w:type="spellStart"/>
      <w:r w:rsidRPr="00A52D9A">
        <w:rPr>
          <w:rFonts w:ascii="Times New Roman" w:hAnsi="Times New Roman"/>
          <w:szCs w:val="24"/>
        </w:rPr>
        <w:t>iii</w:t>
      </w:r>
      <w:proofErr w:type="spellEnd"/>
      <w:r w:rsidRPr="00A52D9A">
        <w:rPr>
          <w:rFonts w:ascii="Times New Roman" w:hAnsi="Times New Roman"/>
          <w:szCs w:val="24"/>
        </w:rPr>
        <w:t>) avaliar a recuperação</w:t>
      </w:r>
      <w:r>
        <w:rPr>
          <w:rFonts w:ascii="Times New Roman" w:hAnsi="Times New Roman"/>
          <w:szCs w:val="24"/>
        </w:rPr>
        <w:t xml:space="preserve"> </w:t>
      </w:r>
      <w:r w:rsidRPr="00A52D9A">
        <w:rPr>
          <w:rFonts w:ascii="Times New Roman" w:hAnsi="Times New Roman"/>
          <w:szCs w:val="24"/>
        </w:rPr>
        <w:t>dos parâmetros de dificuldade sob diferentes condições populacionais e de acurácia dos julgamentos</w:t>
      </w:r>
      <w:r>
        <w:rPr>
          <w:rFonts w:ascii="Times New Roman" w:hAnsi="Times New Roman"/>
          <w:szCs w:val="24"/>
        </w:rPr>
        <w:t xml:space="preserve"> dos juízes</w:t>
      </w:r>
      <w:r w:rsidR="00A52D9A" w:rsidRPr="00A52D9A">
        <w:rPr>
          <w:rFonts w:ascii="Times New Roman" w:hAnsi="Times New Roman"/>
          <w:szCs w:val="24"/>
        </w:rPr>
        <w:t>.</w:t>
      </w:r>
      <w:r w:rsidR="00CC0258" w:rsidRPr="005048C2">
        <w:rPr>
          <w:rFonts w:ascii="Times New Roman" w:hAnsi="Times New Roman"/>
          <w:szCs w:val="24"/>
        </w:rPr>
        <w:t xml:space="preserve"> </w:t>
      </w:r>
    </w:p>
    <w:p w14:paraId="5FB524AC" w14:textId="1F235B29" w:rsidR="006B76DC" w:rsidRPr="006B76DC" w:rsidRDefault="005D0154" w:rsidP="006B76DC">
      <w:pPr>
        <w:pStyle w:val="Ttulo1"/>
        <w:spacing w:line="360" w:lineRule="auto"/>
        <w:rPr>
          <w:rFonts w:ascii="Times New Roman" w:hAnsi="Times New Roman"/>
          <w:sz w:val="24"/>
          <w:szCs w:val="24"/>
        </w:rPr>
      </w:pPr>
      <w:r>
        <w:rPr>
          <w:rFonts w:ascii="Times New Roman" w:hAnsi="Times New Roman"/>
          <w:sz w:val="24"/>
          <w:szCs w:val="24"/>
        </w:rPr>
        <w:t>Metodologia</w:t>
      </w:r>
    </w:p>
    <w:p w14:paraId="7C71D2BF" w14:textId="77777777" w:rsidR="009B58AD" w:rsidRPr="00A0361A" w:rsidRDefault="009B58AD" w:rsidP="009B58AD">
      <w:pPr>
        <w:spacing w:after="120" w:line="360" w:lineRule="auto"/>
        <w:ind w:firstLine="708"/>
        <w:rPr>
          <w:rFonts w:ascii="Times New Roman" w:hAnsi="Times New Roman"/>
        </w:rPr>
      </w:pPr>
      <w:r w:rsidRPr="00A0361A">
        <w:rPr>
          <w:rFonts w:ascii="Times New Roman" w:hAnsi="Times New Roman"/>
        </w:rPr>
        <w:t xml:space="preserve">Considera-se o cenário em que duas provas, Prova 1 e Prova 2, foram calibradas independentemente pelo modelo de </w:t>
      </w:r>
      <w:proofErr w:type="spellStart"/>
      <w:r w:rsidRPr="00A0361A">
        <w:rPr>
          <w:rFonts w:ascii="Times New Roman" w:hAnsi="Times New Roman"/>
        </w:rPr>
        <w:t>Rasch</w:t>
      </w:r>
      <w:proofErr w:type="spellEnd"/>
      <w:r w:rsidRPr="00A0361A">
        <w:rPr>
          <w:rFonts w:ascii="Times New Roman" w:hAnsi="Times New Roman"/>
        </w:rPr>
        <w:t>, sem itens comuns e aplicadas a grupos não equivalentes. Propõe-se, então, submeter a juízes especialistas pares de itens, um de cada prova, sem acesso aos parâmetros de dificuldade estimados nas calibrações originais, cabendo a cada juiz indicar qual dos dois itens considera mais difícil.</w:t>
      </w:r>
    </w:p>
    <w:p w14:paraId="35AEE133" w14:textId="77777777" w:rsidR="009B58AD" w:rsidRPr="00A0361A" w:rsidRDefault="009B58AD" w:rsidP="009B58AD">
      <w:pPr>
        <w:spacing w:after="120" w:line="360" w:lineRule="auto"/>
        <w:ind w:firstLine="708"/>
        <w:rPr>
          <w:rFonts w:ascii="Times New Roman" w:hAnsi="Times New Roman"/>
        </w:rPr>
      </w:pPr>
      <w:r w:rsidRPr="00A0361A">
        <w:rPr>
          <w:rFonts w:ascii="Times New Roman" w:hAnsi="Times New Roman"/>
        </w:rPr>
        <w:t>A probabilidade de o item da Prova 2 ser julgado mais difícil do que o item da Prova 1 no i-</w:t>
      </w:r>
      <w:proofErr w:type="spellStart"/>
      <w:r w:rsidRPr="00A0361A">
        <w:rPr>
          <w:rFonts w:ascii="Times New Roman" w:hAnsi="Times New Roman"/>
        </w:rPr>
        <w:t>ésimo</w:t>
      </w:r>
      <w:proofErr w:type="spellEnd"/>
      <w:r w:rsidRPr="00A0361A">
        <w:rPr>
          <w:rFonts w:ascii="Times New Roman" w:hAnsi="Times New Roman"/>
        </w:rPr>
        <w:t xml:space="preserve"> par é modelada por meio de regressão logística:</w:t>
      </w:r>
    </w:p>
    <w:p w14:paraId="11022617" w14:textId="77777777" w:rsidR="009B58AD" w:rsidRPr="00A0361A" w:rsidRDefault="009B58AD" w:rsidP="009B58AD">
      <w:pPr>
        <w:spacing w:after="120" w:line="360" w:lineRule="auto"/>
        <w:jc w:val="center"/>
        <w:rPr>
          <w:rFonts w:ascii="Times New Roman" w:hAnsi="Times New Roman"/>
        </w:rPr>
      </w:pPr>
      <m:oMathPara>
        <m:oMath>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1) =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1i</m:t>
                      </m:r>
                    </m:sub>
                  </m:sSub>
                  <m:r>
                    <w:rPr>
                      <w:rFonts w:ascii="Cambria Math" w:hAnsi="Cambria Math"/>
                    </w:rPr>
                    <m:t>)</m:t>
                  </m:r>
                </m:sup>
              </m:sSup>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1i</m:t>
                      </m:r>
                    </m:sub>
                  </m:sSub>
                  <m:r>
                    <w:rPr>
                      <w:rFonts w:ascii="Cambria Math" w:hAnsi="Cambria Math"/>
                    </w:rPr>
                    <m:t>)</m:t>
                  </m:r>
                </m:sup>
              </m:sSup>
            </m:den>
          </m:f>
        </m:oMath>
      </m:oMathPara>
    </w:p>
    <w:p w14:paraId="1A7BFB8D" w14:textId="77777777" w:rsidR="009B58AD" w:rsidRPr="00A0361A" w:rsidRDefault="009B58AD" w:rsidP="009B58AD">
      <w:pPr>
        <w:spacing w:after="120" w:line="360" w:lineRule="auto"/>
        <w:ind w:firstLine="0"/>
        <w:rPr>
          <w:rFonts w:ascii="Times New Roman" w:hAnsi="Times New Roman"/>
        </w:rPr>
      </w:pPr>
      <w:r w:rsidRPr="00A0361A">
        <w:rPr>
          <w:rFonts w:ascii="Times New Roman" w:hAnsi="Times New Roman"/>
        </w:rPr>
        <w:t xml:space="preserve">em que </w:t>
      </w:r>
      <m:oMath>
        <m:sSub>
          <m:sSubPr>
            <m:ctrlPr>
              <w:rPr>
                <w:rFonts w:ascii="Cambria Math" w:hAnsi="Cambria Math"/>
                <w:i/>
              </w:rPr>
            </m:ctrlPr>
          </m:sSubPr>
          <m:e>
            <m:r>
              <w:rPr>
                <w:rFonts w:ascii="Cambria Math" w:hAnsi="Cambria Math"/>
              </w:rPr>
              <m:t>b</m:t>
            </m:r>
          </m:e>
          <m:sub>
            <m:r>
              <w:rPr>
                <w:rFonts w:ascii="Cambria Math" w:hAnsi="Cambria Math"/>
              </w:rPr>
              <m:t>1i</m:t>
            </m:r>
          </m:sub>
        </m:sSub>
      </m:oMath>
      <w:r w:rsidRPr="00A0361A">
        <w:rPr>
          <w:rFonts w:ascii="Times New Roman" w:hAnsi="Times New Roman"/>
        </w:rPr>
        <w:t xml:space="preserve"> e </w:t>
      </w:r>
      <m:oMath>
        <m:sSub>
          <m:sSubPr>
            <m:ctrlPr>
              <w:rPr>
                <w:rFonts w:ascii="Cambria Math" w:hAnsi="Cambria Math"/>
                <w:i/>
              </w:rPr>
            </m:ctrlPr>
          </m:sSubPr>
          <m:e>
            <m:r>
              <w:rPr>
                <w:rFonts w:ascii="Cambria Math" w:hAnsi="Cambria Math"/>
              </w:rPr>
              <m:t>b</m:t>
            </m:r>
          </m:e>
          <m:sub>
            <m:r>
              <w:rPr>
                <w:rFonts w:ascii="Cambria Math" w:hAnsi="Cambria Math"/>
              </w:rPr>
              <m:t>2i</m:t>
            </m:r>
          </m:sub>
        </m:sSub>
      </m:oMath>
      <w:r w:rsidRPr="00A0361A">
        <w:rPr>
          <w:rFonts w:ascii="Times New Roman" w:hAnsi="Times New Roman"/>
        </w:rPr>
        <w:t xml:space="preserve"> denotam, respectivamente, a dificuldade do item da Prova 1 e do item da Prova 2 no i-ésimo par (escalas originais de calibração). A variável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0361A">
        <w:rPr>
          <w:rFonts w:ascii="Times New Roman" w:hAnsi="Times New Roman"/>
        </w:rPr>
        <w:t xml:space="preserve"> assume valor </w:t>
      </w:r>
      <m:oMath>
        <m:r>
          <w:rPr>
            <w:rFonts w:ascii="Cambria Math" w:hAnsi="Cambria Math"/>
          </w:rPr>
          <m:t>1</m:t>
        </m:r>
      </m:oMath>
      <w:r w:rsidRPr="00A0361A">
        <w:rPr>
          <w:rFonts w:ascii="Times New Roman" w:hAnsi="Times New Roman"/>
        </w:rPr>
        <w:t xml:space="preserve"> caso o item da Prova 2 seja julgado mais difícil, e </w:t>
      </w:r>
      <m:oMath>
        <m:r>
          <w:rPr>
            <w:rFonts w:ascii="Cambria Math" w:hAnsi="Cambria Math"/>
          </w:rPr>
          <m:t>0</m:t>
        </m:r>
      </m:oMath>
      <w:r w:rsidRPr="00A0361A">
        <w:rPr>
          <w:rFonts w:ascii="Times New Roman" w:hAnsi="Times New Roman"/>
        </w:rPr>
        <w:t xml:space="preserve"> caso contrário. </w:t>
      </w:r>
    </w:p>
    <w:p w14:paraId="216E16BB" w14:textId="77777777" w:rsidR="009B58AD" w:rsidRDefault="009B58AD" w:rsidP="009B58AD">
      <w:pPr>
        <w:spacing w:after="120" w:line="360" w:lineRule="auto"/>
        <w:rPr>
          <w:rFonts w:ascii="Times New Roman" w:hAnsi="Times New Roman"/>
        </w:rPr>
      </w:pPr>
      <w:r w:rsidRPr="00A0361A">
        <w:rPr>
          <w:rFonts w:ascii="Times New Roman" w:hAnsi="Times New Roman"/>
        </w:rPr>
        <w:lastRenderedPageBreak/>
        <w:t xml:space="preserve">O deslocamento entre as escalas corresponde ao ponto em que </w:t>
      </w:r>
      <m:oMath>
        <m:r>
          <w:rPr>
            <w:rFonts w:ascii="Cambria Math" w:hAnsi="Cambria Math"/>
          </w:rPr>
          <m:t>P(yi = 1) = 0,5</m:t>
        </m:r>
      </m:oMath>
      <w:r w:rsidRPr="00A0361A">
        <w:rPr>
          <w:rFonts w:ascii="Times New Roman" w:hAnsi="Times New Roman"/>
        </w:rPr>
        <w:t xml:space="preserve">, ou seja, à diferença </w:t>
      </w:r>
      <m:oMath>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2i</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1i</m:t>
            </m:r>
          </m:sub>
        </m:sSub>
      </m:oMath>
      <w:r w:rsidRPr="00A0361A">
        <w:rPr>
          <w:rFonts w:ascii="Times New Roman" w:hAnsi="Times New Roman"/>
        </w:rPr>
        <w:t xml:space="preserve"> para </w:t>
      </w:r>
      <w:r>
        <w:rPr>
          <w:rFonts w:ascii="Times New Roman" w:hAnsi="Times New Roman"/>
        </w:rPr>
        <w:t xml:space="preserve">a </w:t>
      </w:r>
      <w:r w:rsidRPr="00A0361A">
        <w:rPr>
          <w:rFonts w:ascii="Times New Roman" w:hAnsi="Times New Roman"/>
        </w:rPr>
        <w:t>qual o juiz tem a mesma chance de julgar qualquer um dos dois itens como o mais difícil, um ponto de indiferença</w:t>
      </w:r>
      <w:r>
        <w:rPr>
          <w:rFonts w:ascii="Times New Roman" w:hAnsi="Times New Roman"/>
        </w:rPr>
        <w:t xml:space="preserve">. Como o </w:t>
      </w:r>
      <w:proofErr w:type="spellStart"/>
      <w:r>
        <w:rPr>
          <w:rFonts w:ascii="Times New Roman" w:hAnsi="Times New Roman"/>
        </w:rPr>
        <w:t>logito</w:t>
      </w:r>
      <w:proofErr w:type="spellEnd"/>
      <w:r>
        <w:rPr>
          <w:rFonts w:ascii="Times New Roman" w:hAnsi="Times New Roman"/>
        </w:rPr>
        <w:t xml:space="preserve"> de uma probabilidade igual a 0,5 é zero, nesse ponto tem-se </w:t>
      </w:r>
      <m:oMath>
        <m:sSub>
          <m:sSubPr>
            <m:ctrlPr>
              <w:rPr>
                <w:rFonts w:ascii="Cambria Math" w:hAnsi="Cambria Math"/>
                <w:i/>
              </w:rPr>
            </m:ctrlPr>
          </m:sSubPr>
          <m:e>
            <m:r>
              <w:rPr>
                <w:rFonts w:ascii="Cambria Math" w:hAnsi="Cambria Math"/>
              </w:rPr>
              <m:t>δ</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d=0</m:t>
        </m:r>
      </m:oMath>
      <w:r>
        <w:rPr>
          <w:rFonts w:ascii="Times New Roman" w:hAnsi="Times New Roman"/>
        </w:rPr>
        <w:t xml:space="preserve">. Isolando a diferença </w:t>
      </w:r>
      <m:oMath>
        <m:r>
          <w:rPr>
            <w:rFonts w:ascii="Cambria Math" w:hAnsi="Cambria Math"/>
          </w:rPr>
          <m:t>d</m:t>
        </m:r>
      </m:oMath>
      <w:r>
        <w:rPr>
          <w:rFonts w:ascii="Times New Roman" w:hAnsi="Times New Roman"/>
        </w:rPr>
        <w:t xml:space="preserve">, obtém-se </w:t>
      </w:r>
      <w:r w:rsidRPr="00A0361A">
        <w:rPr>
          <w:rFonts w:ascii="Times New Roman" w:hAnsi="Times New Roman"/>
        </w:rPr>
        <w:t xml:space="preserve"> </w:t>
      </w:r>
      <m:oMath>
        <m:r>
          <w:rPr>
            <w:rFonts w:ascii="Cambria Math" w:hAnsi="Cambria Math"/>
          </w:rPr>
          <m:t>d=-</m:t>
        </m:r>
        <m:f>
          <m:fPr>
            <m:ctrlPr>
              <w:rPr>
                <w:rFonts w:ascii="Cambria Math" w:hAnsi="Cambria Math"/>
                <w:i/>
              </w:rPr>
            </m:ctrlPr>
          </m:fPr>
          <m:num>
            <m:r>
              <w:rPr>
                <w:rFonts w:ascii="Cambria Math" w:hAnsi="Cambria Math"/>
              </w:rPr>
              <m:t>δ0</m:t>
            </m:r>
          </m:num>
          <m:den>
            <m:r>
              <w:rPr>
                <w:rFonts w:ascii="Cambria Math" w:hAnsi="Cambria Math"/>
              </w:rPr>
              <m:t>δ1</m:t>
            </m:r>
          </m:den>
        </m:f>
      </m:oMath>
      <w:r w:rsidRPr="00A0361A">
        <w:rPr>
          <w:rFonts w:ascii="Times New Roman" w:hAnsi="Times New Roman"/>
        </w:rPr>
        <w:t xml:space="preserve"> . Como as duas escalas ainda não estão equalizadas, essa indiferença não ocorre necessariamente em diferença bruta igual a zero. Se elas já estivessem alinhadas, o juiz seria indiferente exatamente quando </w:t>
      </w:r>
      <m:oMath>
        <m:sSub>
          <m:sSubPr>
            <m:ctrlPr>
              <w:rPr>
                <w:rFonts w:ascii="Cambria Math" w:hAnsi="Cambria Math"/>
                <w:i/>
              </w:rPr>
            </m:ctrlPr>
          </m:sSubPr>
          <m:e>
            <m:r>
              <w:rPr>
                <w:rFonts w:ascii="Cambria Math" w:hAnsi="Cambria Math"/>
              </w:rPr>
              <m:t>b</m:t>
            </m:r>
          </m:e>
          <m:sub>
            <m:r>
              <w:rPr>
                <w:rFonts w:ascii="Cambria Math" w:hAnsi="Cambria Math"/>
              </w:rPr>
              <m:t>2i</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1i</m:t>
            </m:r>
          </m:sub>
        </m:sSub>
      </m:oMath>
      <w:r w:rsidRPr="00A0361A">
        <w:rPr>
          <w:rFonts w:ascii="Times New Roman" w:hAnsi="Times New Roman"/>
        </w:rPr>
        <w:t xml:space="preserve">. Assim, o valor de </w:t>
      </w:r>
      <m:oMath>
        <m:r>
          <w:rPr>
            <w:rFonts w:ascii="Cambria Math" w:hAnsi="Cambria Math"/>
          </w:rPr>
          <m:t>d</m:t>
        </m:r>
      </m:oMath>
      <w:r w:rsidRPr="00A0361A">
        <w:rPr>
          <w:rFonts w:ascii="Times New Roman" w:hAnsi="Times New Roman"/>
        </w:rPr>
        <w:t xml:space="preserve"> representa o deslocamento entre as escalas necessário para alinhá-las.</w:t>
      </w:r>
    </w:p>
    <w:p w14:paraId="22B49644" w14:textId="55267E2E" w:rsidR="00CC0258" w:rsidRPr="00901305" w:rsidRDefault="009B58AD" w:rsidP="009B58AD">
      <w:pPr>
        <w:spacing w:after="120" w:line="360" w:lineRule="auto"/>
        <w:rPr>
          <w:rFonts w:ascii="Times New Roman" w:hAnsi="Times New Roman"/>
        </w:rPr>
      </w:pPr>
      <w:r w:rsidRPr="00A0361A">
        <w:rPr>
          <w:rFonts w:ascii="Times New Roman" w:hAnsi="Times New Roman"/>
        </w:rPr>
        <w:t>A acurácia do método foi avaliada por meio de um estudo de simulação em ambiente R</w:t>
      </w:r>
      <w:r>
        <w:rPr>
          <w:rFonts w:ascii="Times New Roman" w:hAnsi="Times New Roman"/>
        </w:rPr>
        <w:t>, que compreendeu as seguintes etapas</w:t>
      </w:r>
      <w:r w:rsidRPr="00A0361A">
        <w:rPr>
          <w:rFonts w:ascii="Times New Roman" w:hAnsi="Times New Roman"/>
        </w:rPr>
        <w:t xml:space="preserve">: (1) uso de um banco simulado de 77 itens de Matemática já calibrados conjuntamente pelo modelo de </w:t>
      </w:r>
      <w:proofErr w:type="spellStart"/>
      <w:r w:rsidRPr="00A0361A">
        <w:rPr>
          <w:rFonts w:ascii="Times New Roman" w:hAnsi="Times New Roman"/>
        </w:rPr>
        <w:t>Rasch</w:t>
      </w:r>
      <w:proofErr w:type="spellEnd"/>
      <w:r w:rsidRPr="00A0361A">
        <w:rPr>
          <w:rFonts w:ascii="Times New Roman" w:hAnsi="Times New Roman"/>
        </w:rPr>
        <w:t xml:space="preserve">, cujos parâmetros foram adotados como valores de referência; (2) divisão dos itens em duas provas, sem itens comuns; (3) simulação de duas populações não equivalentes, com média de proficiência 0 e 0,6, respectivamente, e diferentes condições de variância; (4) simulação das respostas e calibração independente das provas pelo modelo de </w:t>
      </w:r>
      <w:proofErr w:type="spellStart"/>
      <w:r w:rsidRPr="00A0361A">
        <w:rPr>
          <w:rFonts w:ascii="Times New Roman" w:hAnsi="Times New Roman"/>
        </w:rPr>
        <w:t>Rasch</w:t>
      </w:r>
      <w:proofErr w:type="spellEnd"/>
      <w:r w:rsidRPr="00A0361A">
        <w:rPr>
          <w:rFonts w:ascii="Times New Roman" w:hAnsi="Times New Roman"/>
        </w:rPr>
        <w:t>; (5) formação de uma amostra estratificada de pares de itens segundo a magnitude e o sinal das diferenças de dificuldade estimadas nas calibrações independentes; (6) simulação dos julgamentos de oito juízes, considerando probabilidades de acerto de 90%, 80% e 70%, definidas como a probabilidade de cada juiz identificar corretamente o item mais difícil do par, segundo os parâmetros de referência; (7) ajuste da regressão logística aos julgamentos para estimação do deslocamento entre as escalas; e (8) aplicação do deslocamento estimado aos parâmetros da Prova 2 e avaliação da recuperação dos parâmetros de dificuldade por meio do viés e do RMSE. Foram realizadas 1.000 replicações para cada condição</w:t>
      </w:r>
      <w:r w:rsidR="00A0361A" w:rsidRPr="00A0361A">
        <w:rPr>
          <w:rFonts w:ascii="Times New Roman" w:hAnsi="Times New Roman"/>
        </w:rPr>
        <w:t>.</w:t>
      </w:r>
    </w:p>
    <w:p w14:paraId="04F569C0" w14:textId="34DE2E23" w:rsidR="00CC0258" w:rsidRPr="00867E3B" w:rsidRDefault="00867E3B" w:rsidP="00867E3B">
      <w:pPr>
        <w:pStyle w:val="Ttulo1"/>
        <w:spacing w:line="360" w:lineRule="auto"/>
        <w:rPr>
          <w:rFonts w:ascii="Times New Roman" w:hAnsi="Times New Roman"/>
          <w:sz w:val="24"/>
          <w:szCs w:val="24"/>
        </w:rPr>
      </w:pPr>
      <w:r>
        <w:rPr>
          <w:rFonts w:ascii="Times New Roman" w:hAnsi="Times New Roman"/>
          <w:sz w:val="24"/>
          <w:szCs w:val="24"/>
        </w:rPr>
        <w:t xml:space="preserve">Resultados e </w:t>
      </w:r>
      <w:r w:rsidR="00034CDD" w:rsidRPr="00867E3B">
        <w:rPr>
          <w:rFonts w:ascii="Times New Roman" w:hAnsi="Times New Roman"/>
          <w:sz w:val="24"/>
          <w:szCs w:val="24"/>
        </w:rPr>
        <w:t>Discussão</w:t>
      </w:r>
    </w:p>
    <w:p w14:paraId="0338FA3B" w14:textId="77777777" w:rsidR="003C69B8" w:rsidRDefault="003C69B8" w:rsidP="003C69B8">
      <w:pPr>
        <w:spacing w:line="360" w:lineRule="auto"/>
        <w:rPr>
          <w:rFonts w:ascii="Times New Roman" w:hAnsi="Times New Roman"/>
          <w:szCs w:val="24"/>
        </w:rPr>
      </w:pPr>
      <w:r w:rsidRPr="000A238A">
        <w:rPr>
          <w:rFonts w:ascii="Times New Roman" w:hAnsi="Times New Roman"/>
          <w:szCs w:val="24"/>
        </w:rPr>
        <w:t>No cenário do juiz perfeito</w:t>
      </w:r>
      <w:r>
        <w:rPr>
          <w:rFonts w:ascii="Times New Roman" w:hAnsi="Times New Roman"/>
          <w:szCs w:val="24"/>
        </w:rPr>
        <w:t xml:space="preserve">, </w:t>
      </w:r>
      <w:r w:rsidRPr="000A238A">
        <w:rPr>
          <w:rFonts w:ascii="Times New Roman" w:hAnsi="Times New Roman"/>
          <w:szCs w:val="24"/>
        </w:rPr>
        <w:t>em que o julgamento corresponde deterministicamente à diferença de dificuldade</w:t>
      </w:r>
      <w:r>
        <w:rPr>
          <w:rFonts w:ascii="Times New Roman" w:hAnsi="Times New Roman"/>
          <w:szCs w:val="24"/>
        </w:rPr>
        <w:t xml:space="preserve"> dos parâmetros de referência</w:t>
      </w:r>
      <w:r w:rsidRPr="000A238A">
        <w:rPr>
          <w:rFonts w:ascii="Times New Roman" w:hAnsi="Times New Roman"/>
          <w:szCs w:val="24"/>
        </w:rPr>
        <w:t xml:space="preserve">, o deslocamento médio estimado foi </w:t>
      </w:r>
      <m:oMath>
        <m:acc>
          <m:accPr>
            <m:ctrlPr>
              <w:rPr>
                <w:rFonts w:ascii="Cambria Math" w:hAnsi="Cambria Math"/>
                <w:i/>
                <w:szCs w:val="24"/>
              </w:rPr>
            </m:ctrlPr>
          </m:accPr>
          <m:e>
            <m:r>
              <w:rPr>
                <w:rFonts w:ascii="Cambria Math" w:hAnsi="Cambria Math"/>
                <w:szCs w:val="24"/>
              </w:rPr>
              <m:t>d</m:t>
            </m:r>
          </m:e>
        </m:acc>
        <m:r>
          <w:rPr>
            <w:rFonts w:ascii="Cambria Math" w:hAnsi="Cambria Math"/>
            <w:szCs w:val="24"/>
          </w:rPr>
          <m:t xml:space="preserve"> = -0,595</m:t>
        </m:r>
      </m:oMath>
      <w:r w:rsidRPr="000A238A">
        <w:rPr>
          <w:rFonts w:ascii="Times New Roman" w:hAnsi="Times New Roman"/>
          <w:szCs w:val="24"/>
        </w:rPr>
        <w:t>. Nas demais condições, em que os julgamentos incorporam um componente estocástico de desacordo entre juízes, com probabilidade de acerto de 90%, 80% e 70%, as estimativas médias passaram para −0,530, −0,499 e −0,482, respectivamente, indicando que a redução da probabilidade de acerto dos juízes esteve associada à atenuação do deslocamento estimado.</w:t>
      </w:r>
      <w:r w:rsidRPr="004C34CC">
        <w:rPr>
          <w:rFonts w:ascii="Times New Roman" w:hAnsi="Times New Roman"/>
          <w:szCs w:val="24"/>
        </w:rPr>
        <w:t xml:space="preserve"> </w:t>
      </w:r>
      <w:r w:rsidRPr="003119D6">
        <w:rPr>
          <w:rFonts w:ascii="Times New Roman" w:hAnsi="Times New Roman"/>
          <w:szCs w:val="24"/>
        </w:rPr>
        <w:t>Além do deslocamento em si, avaliou-se também a recuperação dos parâmetros de dificuldade</w:t>
      </w:r>
      <w:r>
        <w:rPr>
          <w:rFonts w:ascii="Times New Roman" w:hAnsi="Times New Roman"/>
          <w:szCs w:val="24"/>
        </w:rPr>
        <w:t xml:space="preserve"> </w:t>
      </w:r>
      <w:r w:rsidRPr="003119D6">
        <w:rPr>
          <w:rFonts w:ascii="Times New Roman" w:hAnsi="Times New Roman"/>
          <w:szCs w:val="24"/>
        </w:rPr>
        <w:t>após a aplicação desse deslocamento às estimativas da Prova 2</w:t>
      </w:r>
      <w:r>
        <w:rPr>
          <w:rFonts w:ascii="Times New Roman" w:hAnsi="Times New Roman"/>
          <w:szCs w:val="24"/>
        </w:rPr>
        <w:t>.</w:t>
      </w:r>
      <w:r w:rsidRPr="003119D6">
        <w:rPr>
          <w:rFonts w:ascii="Times New Roman" w:hAnsi="Times New Roman"/>
          <w:szCs w:val="24"/>
        </w:rPr>
        <w:t xml:space="preserve"> </w:t>
      </w:r>
      <w:r>
        <w:rPr>
          <w:rFonts w:ascii="Times New Roman" w:hAnsi="Times New Roman"/>
          <w:szCs w:val="24"/>
        </w:rPr>
        <w:t>P</w:t>
      </w:r>
      <w:r w:rsidRPr="003119D6">
        <w:rPr>
          <w:rFonts w:ascii="Times New Roman" w:hAnsi="Times New Roman"/>
          <w:szCs w:val="24"/>
        </w:rPr>
        <w:t xml:space="preserve">ara cada </w:t>
      </w:r>
      <w:r w:rsidRPr="003119D6">
        <w:rPr>
          <w:rFonts w:ascii="Times New Roman" w:hAnsi="Times New Roman"/>
          <w:szCs w:val="24"/>
        </w:rPr>
        <w:lastRenderedPageBreak/>
        <w:t xml:space="preserve">replicação, calcularam-se o viés e o RMSE desses parâmetros em relação aos da calibração conjunta, adotada como referência. A Tabela 1 apresenta os valores médios de </w:t>
      </w:r>
      <m:oMath>
        <m:acc>
          <m:accPr>
            <m:ctrlPr>
              <w:rPr>
                <w:rFonts w:ascii="Cambria Math" w:hAnsi="Cambria Math"/>
                <w:i/>
                <w:szCs w:val="24"/>
              </w:rPr>
            </m:ctrlPr>
          </m:accPr>
          <m:e>
            <m:r>
              <w:rPr>
                <w:rFonts w:ascii="Cambria Math" w:hAnsi="Cambria Math"/>
                <w:szCs w:val="24"/>
              </w:rPr>
              <m:t>d</m:t>
            </m:r>
          </m:e>
        </m:acc>
      </m:oMath>
      <w:r w:rsidRPr="003119D6">
        <w:rPr>
          <w:rFonts w:ascii="Times New Roman" w:hAnsi="Times New Roman"/>
          <w:szCs w:val="24"/>
        </w:rPr>
        <w:t>, viés e RMSE ao longo das 1.000 replicações, segundo a probabilidade de acerto dos juízes.</w:t>
      </w:r>
    </w:p>
    <w:p w14:paraId="3BE45903" w14:textId="77777777" w:rsidR="003C69B8" w:rsidRPr="00D84DDE" w:rsidRDefault="003C69B8" w:rsidP="003C69B8">
      <w:pPr>
        <w:pStyle w:val="Legenda"/>
        <w:keepNext/>
        <w:spacing w:after="120"/>
        <w:jc w:val="center"/>
        <w:rPr>
          <w:rFonts w:ascii="Times New Roman" w:hAnsi="Times New Roman" w:cs="Times New Roman"/>
          <w:color w:val="auto"/>
          <w:sz w:val="20"/>
          <w:szCs w:val="20"/>
          <w:lang w:val="pt-BR"/>
        </w:rPr>
      </w:pPr>
      <w:r w:rsidRPr="00D84DDE">
        <w:rPr>
          <w:rFonts w:ascii="Times New Roman" w:hAnsi="Times New Roman" w:cs="Times New Roman"/>
          <w:b w:val="0"/>
          <w:bCs w:val="0"/>
          <w:color w:val="auto"/>
          <w:sz w:val="20"/>
          <w:szCs w:val="20"/>
          <w:lang w:val="pt-BR"/>
        </w:rPr>
        <w:t>Tabela 1:</w:t>
      </w:r>
      <w:r w:rsidRPr="00E579E8">
        <w:rPr>
          <w:rFonts w:ascii="Times New Roman" w:hAnsi="Times New Roman" w:cs="Times New Roman"/>
          <w:b w:val="0"/>
          <w:bCs w:val="0"/>
          <w:color w:val="auto"/>
          <w:sz w:val="20"/>
          <w:szCs w:val="20"/>
          <w:lang w:val="pt-BR"/>
        </w:rPr>
        <w:t xml:space="preserve"> </w:t>
      </w:r>
      <w:r w:rsidRPr="00D84DDE">
        <w:rPr>
          <w:rFonts w:ascii="Times New Roman" w:hAnsi="Times New Roman" w:cs="Times New Roman"/>
          <w:color w:val="auto"/>
          <w:sz w:val="20"/>
          <w:szCs w:val="20"/>
          <w:lang w:val="pt-BR"/>
        </w:rPr>
        <w:t xml:space="preserve">Estimação do deslocamento e avaliação da recuperação dos parâmetros de dificuldade segundo a </w:t>
      </w:r>
      <w:r>
        <w:rPr>
          <w:rFonts w:ascii="Times New Roman" w:hAnsi="Times New Roman" w:cs="Times New Roman"/>
          <w:color w:val="auto"/>
          <w:sz w:val="20"/>
          <w:szCs w:val="20"/>
          <w:lang w:val="pt-BR"/>
        </w:rPr>
        <w:t>probabilidade de acerto dos juízes</w:t>
      </w:r>
    </w:p>
    <w:tbl>
      <w:tblPr>
        <w:tblStyle w:val="SombreamentoClaro2"/>
        <w:tblW w:w="0" w:type="auto"/>
        <w:jc w:val="center"/>
        <w:tblLook w:val="04A0" w:firstRow="1" w:lastRow="0" w:firstColumn="1" w:lastColumn="0" w:noHBand="0" w:noVBand="1"/>
      </w:tblPr>
      <w:tblGrid>
        <w:gridCol w:w="2127"/>
        <w:gridCol w:w="958"/>
        <w:gridCol w:w="1310"/>
        <w:gridCol w:w="1338"/>
        <w:gridCol w:w="1338"/>
        <w:gridCol w:w="1435"/>
      </w:tblGrid>
      <w:tr w:rsidR="003C69B8" w:rsidRPr="0086199B" w14:paraId="18972000" w14:textId="77777777" w:rsidTr="00D0061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237AF0B" w14:textId="77777777" w:rsidR="003C69B8" w:rsidRPr="0086199B" w:rsidRDefault="003C69B8" w:rsidP="00D00619">
            <w:pPr>
              <w:pStyle w:val="NormalWeb"/>
              <w:spacing w:before="0" w:beforeAutospacing="0"/>
              <w:jc w:val="center"/>
              <w:rPr>
                <w:rFonts w:cs="Times New Roman"/>
                <w:b w:val="0"/>
                <w:bCs w:val="0"/>
                <w:color w:val="auto"/>
                <w:sz w:val="20"/>
                <w:szCs w:val="20"/>
                <w:lang w:val="pt-BR"/>
              </w:rPr>
            </w:pPr>
            <w:r>
              <w:rPr>
                <w:rFonts w:cs="Times New Roman"/>
                <w:b w:val="0"/>
                <w:bCs w:val="0"/>
                <w:color w:val="auto"/>
                <w:sz w:val="20"/>
                <w:szCs w:val="20"/>
                <w:lang w:val="pt-BR"/>
              </w:rPr>
              <w:t>Probabilidade de acerto dos Juízes</w:t>
            </w:r>
          </w:p>
        </w:tc>
        <w:tc>
          <w:tcPr>
            <w:tcW w:w="958" w:type="dxa"/>
            <w:vAlign w:val="center"/>
          </w:tcPr>
          <w:p w14:paraId="6D431980" w14:textId="77777777" w:rsidR="003C69B8" w:rsidRPr="0086199B" w:rsidRDefault="003C69B8" w:rsidP="00D00619">
            <w:pPr>
              <w:pStyle w:val="NormalWeb"/>
              <w:spacing w:before="0" w:beforeAutospacing="0"/>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 w:val="20"/>
                <w:szCs w:val="20"/>
                <w:lang w:val="pt-BR"/>
              </w:rPr>
            </w:pPr>
            <w:r w:rsidRPr="0086199B">
              <w:rPr>
                <w:rFonts w:cs="Times New Roman"/>
                <w:b w:val="0"/>
                <w:bCs w:val="0"/>
                <w:color w:val="auto"/>
                <w:sz w:val="20"/>
                <w:szCs w:val="20"/>
                <w:lang w:val="pt-BR"/>
              </w:rPr>
              <w:t xml:space="preserve">Média </w:t>
            </w:r>
            <m:oMath>
              <m:acc>
                <m:accPr>
                  <m:ctrlPr>
                    <w:rPr>
                      <w:rFonts w:ascii="Cambria Math" w:hAnsi="Cambria Math" w:cs="Times New Roman"/>
                      <w:b w:val="0"/>
                      <w:bCs w:val="0"/>
                      <w:i/>
                      <w:color w:val="auto"/>
                      <w:sz w:val="20"/>
                      <w:szCs w:val="20"/>
                      <w:lang w:val="pt-BR"/>
                    </w:rPr>
                  </m:ctrlPr>
                </m:accPr>
                <m:e>
                  <m:r>
                    <m:rPr>
                      <m:sty m:val="bi"/>
                    </m:rPr>
                    <w:rPr>
                      <w:rFonts w:ascii="Cambria Math" w:hAnsi="Cambria Math" w:cs="Times New Roman"/>
                      <w:color w:val="auto"/>
                      <w:sz w:val="20"/>
                      <w:szCs w:val="20"/>
                      <w:lang w:val="pt-BR"/>
                    </w:rPr>
                    <m:t>d</m:t>
                  </m:r>
                </m:e>
              </m:acc>
            </m:oMath>
          </w:p>
        </w:tc>
        <w:tc>
          <w:tcPr>
            <w:tcW w:w="1310" w:type="dxa"/>
            <w:vAlign w:val="center"/>
          </w:tcPr>
          <w:p w14:paraId="423641E7" w14:textId="77777777" w:rsidR="003C69B8" w:rsidRPr="006B3AC8" w:rsidRDefault="003C69B8" w:rsidP="00D00619">
            <w:pPr>
              <w:pStyle w:val="NormalWeb"/>
              <w:spacing w:before="0" w:beforeAutospacing="0"/>
              <w:ind w:left="-586" w:firstLine="586"/>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pt-BR"/>
              </w:rPr>
            </w:pPr>
            <w:r w:rsidRPr="006B3AC8">
              <w:rPr>
                <w:b w:val="0"/>
                <w:bCs w:val="0"/>
                <w:sz w:val="20"/>
                <w:szCs w:val="20"/>
                <w:lang w:val="pt-BR"/>
              </w:rPr>
              <w:t>Viés médio (d)</w:t>
            </w:r>
          </w:p>
        </w:tc>
        <w:tc>
          <w:tcPr>
            <w:tcW w:w="1338" w:type="dxa"/>
            <w:vAlign w:val="center"/>
          </w:tcPr>
          <w:p w14:paraId="368B253E" w14:textId="77777777" w:rsidR="003C69B8" w:rsidRPr="006B3AC8" w:rsidRDefault="003C69B8" w:rsidP="00D00619">
            <w:pPr>
              <w:pStyle w:val="NormalWeb"/>
              <w:spacing w:before="0" w:beforeAutospacing="0"/>
              <w:ind w:left="-586" w:firstLine="586"/>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pt-BR"/>
              </w:rPr>
            </w:pPr>
            <w:r w:rsidRPr="006B3AC8">
              <w:rPr>
                <w:b w:val="0"/>
                <w:bCs w:val="0"/>
                <w:sz w:val="20"/>
                <w:szCs w:val="20"/>
                <w:lang w:val="pt-BR"/>
              </w:rPr>
              <w:t>RMSE médio (d)</w:t>
            </w:r>
          </w:p>
        </w:tc>
        <w:tc>
          <w:tcPr>
            <w:tcW w:w="1338" w:type="dxa"/>
            <w:vAlign w:val="center"/>
          </w:tcPr>
          <w:p w14:paraId="13208BB3" w14:textId="77777777" w:rsidR="003C69B8" w:rsidRPr="0086199B" w:rsidRDefault="003C69B8" w:rsidP="00D00619">
            <w:pPr>
              <w:pStyle w:val="NormalWeb"/>
              <w:spacing w:before="0" w:beforeAutospacing="0"/>
              <w:ind w:left="-586" w:firstLine="586"/>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 w:val="20"/>
                <w:szCs w:val="20"/>
                <w:lang w:val="pt-BR"/>
              </w:rPr>
            </w:pPr>
            <w:r w:rsidRPr="0086199B">
              <w:rPr>
                <w:rFonts w:cs="Times New Roman"/>
                <w:b w:val="0"/>
                <w:bCs w:val="0"/>
                <w:color w:val="auto"/>
                <w:sz w:val="20"/>
                <w:szCs w:val="20"/>
                <w:lang w:val="pt-BR"/>
              </w:rPr>
              <w:t xml:space="preserve">Viés médio </w:t>
            </w:r>
            <w:r>
              <w:rPr>
                <w:rFonts w:cs="Times New Roman"/>
                <w:b w:val="0"/>
                <w:bCs w:val="0"/>
                <w:color w:val="auto"/>
                <w:sz w:val="20"/>
                <w:szCs w:val="20"/>
                <w:lang w:val="pt-BR"/>
              </w:rPr>
              <w:t>(</w:t>
            </w:r>
            <w:r w:rsidRPr="0086199B">
              <w:rPr>
                <w:rFonts w:cs="Times New Roman"/>
                <w:b w:val="0"/>
                <w:bCs w:val="0"/>
                <w:color w:val="auto"/>
                <w:sz w:val="20"/>
                <w:szCs w:val="20"/>
                <w:lang w:val="pt-BR"/>
              </w:rPr>
              <w:t>b</w:t>
            </w:r>
            <w:r>
              <w:rPr>
                <w:rFonts w:cs="Times New Roman"/>
                <w:b w:val="0"/>
                <w:bCs w:val="0"/>
                <w:color w:val="auto"/>
                <w:sz w:val="20"/>
                <w:szCs w:val="20"/>
                <w:lang w:val="pt-BR"/>
              </w:rPr>
              <w:t>)</w:t>
            </w:r>
          </w:p>
        </w:tc>
        <w:tc>
          <w:tcPr>
            <w:tcW w:w="1435" w:type="dxa"/>
            <w:vAlign w:val="center"/>
          </w:tcPr>
          <w:p w14:paraId="629C1323" w14:textId="77777777" w:rsidR="003C69B8" w:rsidRPr="0086199B" w:rsidRDefault="003C69B8" w:rsidP="00D00619">
            <w:pPr>
              <w:pStyle w:val="NormalWeb"/>
              <w:spacing w:before="0" w:beforeAutospacing="0"/>
              <w:ind w:left="-586" w:firstLine="586"/>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pt-BR"/>
              </w:rPr>
            </w:pPr>
            <w:r w:rsidRPr="0086199B">
              <w:rPr>
                <w:rFonts w:cs="Times New Roman"/>
                <w:b w:val="0"/>
                <w:bCs w:val="0"/>
                <w:sz w:val="20"/>
                <w:szCs w:val="20"/>
                <w:lang w:val="pt-BR"/>
              </w:rPr>
              <w:t xml:space="preserve">RMSE médio </w:t>
            </w:r>
            <w:r>
              <w:rPr>
                <w:rFonts w:cs="Times New Roman"/>
                <w:b w:val="0"/>
                <w:bCs w:val="0"/>
                <w:sz w:val="20"/>
                <w:szCs w:val="20"/>
                <w:lang w:val="pt-BR"/>
              </w:rPr>
              <w:t>(</w:t>
            </w:r>
            <w:r w:rsidRPr="0086199B">
              <w:rPr>
                <w:rFonts w:cs="Times New Roman"/>
                <w:b w:val="0"/>
                <w:bCs w:val="0"/>
                <w:sz w:val="20"/>
                <w:szCs w:val="20"/>
                <w:lang w:val="pt-BR"/>
              </w:rPr>
              <w:t>b</w:t>
            </w:r>
            <w:r>
              <w:rPr>
                <w:rFonts w:cs="Times New Roman"/>
                <w:b w:val="0"/>
                <w:bCs w:val="0"/>
                <w:sz w:val="20"/>
                <w:szCs w:val="20"/>
                <w:lang w:val="pt-BR"/>
              </w:rPr>
              <w:t>)</w:t>
            </w:r>
          </w:p>
        </w:tc>
      </w:tr>
      <w:tr w:rsidR="003C69B8" w:rsidRPr="000A1648" w14:paraId="7EF5207E" w14:textId="77777777" w:rsidTr="00D0061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shd w:val="clear" w:color="auto" w:fill="FFFFFF" w:themeFill="background1"/>
            <w:vAlign w:val="center"/>
          </w:tcPr>
          <w:p w14:paraId="78B36442" w14:textId="77777777" w:rsidR="003C69B8" w:rsidRPr="00BE2B88" w:rsidRDefault="003C69B8" w:rsidP="00D00619">
            <w:pPr>
              <w:pStyle w:val="NormalWeb"/>
              <w:spacing w:before="0" w:beforeAutospacing="0"/>
              <w:rPr>
                <w:rFonts w:cs="Times New Roman"/>
                <w:b w:val="0"/>
                <w:iCs/>
                <w:color w:val="auto"/>
                <w:sz w:val="18"/>
                <w:szCs w:val="18"/>
              </w:rPr>
            </w:pPr>
            <m:oMathPara>
              <m:oMath>
                <m:r>
                  <m:rPr>
                    <m:sty m:val="b"/>
                  </m:rPr>
                  <w:rPr>
                    <w:rFonts w:ascii="Cambria Math" w:hAnsi="Cambria Math" w:cs="Times New Roman"/>
                    <w:color w:val="auto"/>
                    <w:sz w:val="18"/>
                    <w:szCs w:val="18"/>
                  </w:rPr>
                  <m:t>Juiz perfeito</m:t>
                </m:r>
              </m:oMath>
            </m:oMathPara>
          </w:p>
        </w:tc>
        <w:tc>
          <w:tcPr>
            <w:tcW w:w="958" w:type="dxa"/>
            <w:shd w:val="clear" w:color="auto" w:fill="FFFFFF" w:themeFill="background1"/>
            <w:vAlign w:val="center"/>
          </w:tcPr>
          <w:p w14:paraId="151A2407"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-0,595</m:t>
                </m:r>
              </m:oMath>
            </m:oMathPara>
          </w:p>
        </w:tc>
        <w:tc>
          <w:tcPr>
            <w:tcW w:w="1310" w:type="dxa"/>
            <w:shd w:val="clear" w:color="auto" w:fill="FFFFFF" w:themeFill="background1"/>
          </w:tcPr>
          <w:p w14:paraId="26E4D153"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sz w:val="18"/>
                <w:szCs w:val="18"/>
              </w:rPr>
            </w:pPr>
            <w:r w:rsidRPr="008B3561">
              <w:rPr>
                <w:sz w:val="18"/>
                <w:szCs w:val="18"/>
                <w:lang w:val="pt-BR"/>
              </w:rPr>
              <w:t>0,005</w:t>
            </w:r>
          </w:p>
        </w:tc>
        <w:tc>
          <w:tcPr>
            <w:tcW w:w="1338" w:type="dxa"/>
            <w:shd w:val="clear" w:color="auto" w:fill="FFFFFF" w:themeFill="background1"/>
          </w:tcPr>
          <w:p w14:paraId="333F1A25"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sz w:val="18"/>
                <w:szCs w:val="18"/>
              </w:rPr>
            </w:pPr>
            <w:r w:rsidRPr="0054754C">
              <w:rPr>
                <w:sz w:val="18"/>
                <w:szCs w:val="18"/>
                <w:lang w:val="pt-BR"/>
              </w:rPr>
              <w:t>0,011</w:t>
            </w:r>
          </w:p>
        </w:tc>
        <w:tc>
          <w:tcPr>
            <w:tcW w:w="1338" w:type="dxa"/>
            <w:shd w:val="clear" w:color="auto" w:fill="FFFFFF" w:themeFill="background1"/>
            <w:vAlign w:val="center"/>
          </w:tcPr>
          <w:p w14:paraId="16DAD1BD"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-0,001</m:t>
                </m:r>
              </m:oMath>
            </m:oMathPara>
          </w:p>
        </w:tc>
        <w:tc>
          <w:tcPr>
            <w:tcW w:w="1435" w:type="dxa"/>
            <w:shd w:val="clear" w:color="auto" w:fill="FFFFFF" w:themeFill="background1"/>
          </w:tcPr>
          <w:p w14:paraId="63AD0065"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sz w:val="18"/>
                <w:szCs w:val="18"/>
                <w:oMath/>
              </w:rPr>
            </w:pPr>
            <m:oMathPara>
              <m:oMath>
                <m:r>
                  <w:rPr>
                    <w:rFonts w:ascii="Cambria Math" w:hAnsi="Cambria Math" w:cs="Times New Roman"/>
                    <w:sz w:val="18"/>
                    <w:szCs w:val="18"/>
                  </w:rPr>
                  <m:t>0,039</m:t>
                </m:r>
              </m:oMath>
            </m:oMathPara>
          </w:p>
        </w:tc>
      </w:tr>
      <w:tr w:rsidR="003C69B8" w:rsidRPr="000A1648" w14:paraId="38279D77" w14:textId="77777777" w:rsidTr="00D00619">
        <w:trPr>
          <w:trHeight w:val="20"/>
          <w:jc w:val="center"/>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CEC8101" w14:textId="77777777" w:rsidR="003C69B8" w:rsidRPr="007B004D" w:rsidRDefault="003C69B8" w:rsidP="00D00619">
            <w:pPr>
              <w:pStyle w:val="NormalWeb"/>
              <w:spacing w:before="0" w:beforeAutospacing="0"/>
              <w:jc w:val="center"/>
              <w:rPr>
                <w:rFonts w:cs="Times New Roman"/>
                <w:b w:val="0"/>
                <w:color w:val="auto"/>
                <w:sz w:val="18"/>
                <w:szCs w:val="18"/>
              </w:rPr>
            </w:pPr>
            <m:oMath>
              <m:r>
                <m:rPr>
                  <m:sty m:val="bi"/>
                </m:rPr>
                <w:rPr>
                  <w:rFonts w:ascii="Cambria Math" w:hAnsi="Cambria Math" w:cs="Times New Roman"/>
                  <w:color w:val="auto"/>
                  <w:sz w:val="18"/>
                  <w:szCs w:val="18"/>
                </w:rPr>
                <m:t>90</m:t>
              </m:r>
            </m:oMath>
            <w:r>
              <w:rPr>
                <w:rFonts w:eastAsiaTheme="minorEastAsia" w:cs="Times New Roman"/>
                <w:b w:val="0"/>
                <w:bCs w:val="0"/>
                <w:color w:val="auto"/>
                <w:sz w:val="18"/>
                <w:szCs w:val="18"/>
              </w:rPr>
              <w:t>%</w:t>
            </w:r>
          </w:p>
        </w:tc>
        <w:tc>
          <w:tcPr>
            <w:tcW w:w="958" w:type="dxa"/>
            <w:vAlign w:val="center"/>
          </w:tcPr>
          <w:p w14:paraId="381DC753"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-0,530</m:t>
                </m:r>
              </m:oMath>
            </m:oMathPara>
          </w:p>
        </w:tc>
        <w:tc>
          <w:tcPr>
            <w:tcW w:w="1310" w:type="dxa"/>
          </w:tcPr>
          <w:p w14:paraId="69748B53"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sz w:val="18"/>
                <w:szCs w:val="18"/>
              </w:rPr>
            </w:pPr>
            <w:r w:rsidRPr="00027437">
              <w:rPr>
                <w:sz w:val="18"/>
                <w:szCs w:val="18"/>
                <w:lang w:val="pt-BR"/>
              </w:rPr>
              <w:t>0,070</w:t>
            </w:r>
          </w:p>
        </w:tc>
        <w:tc>
          <w:tcPr>
            <w:tcW w:w="1338" w:type="dxa"/>
          </w:tcPr>
          <w:p w14:paraId="3711D6A1"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sz w:val="18"/>
                <w:szCs w:val="18"/>
              </w:rPr>
            </w:pPr>
            <w:r w:rsidRPr="0054754C">
              <w:rPr>
                <w:sz w:val="18"/>
                <w:szCs w:val="18"/>
                <w:lang w:val="pt-BR"/>
              </w:rPr>
              <w:t>0,085</w:t>
            </w:r>
          </w:p>
        </w:tc>
        <w:tc>
          <w:tcPr>
            <w:tcW w:w="1338" w:type="dxa"/>
            <w:vAlign w:val="center"/>
          </w:tcPr>
          <w:p w14:paraId="4263B268"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-0,066</m:t>
                </m:r>
              </m:oMath>
            </m:oMathPara>
          </w:p>
        </w:tc>
        <w:tc>
          <w:tcPr>
            <w:tcW w:w="1435" w:type="dxa"/>
          </w:tcPr>
          <w:p w14:paraId="05C02A68"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sz w:val="18"/>
                <w:szCs w:val="18"/>
                <w:oMath/>
              </w:rPr>
            </w:pPr>
            <m:oMathPara>
              <m:oMath>
                <m:r>
                  <w:rPr>
                    <w:rFonts w:ascii="Cambria Math" w:hAnsi="Cambria Math" w:cs="Times New Roman"/>
                    <w:sz w:val="18"/>
                    <w:szCs w:val="18"/>
                  </w:rPr>
                  <m:t>0,083</m:t>
                </m:r>
              </m:oMath>
            </m:oMathPara>
          </w:p>
        </w:tc>
      </w:tr>
      <w:tr w:rsidR="003C69B8" w:rsidRPr="000A1648" w14:paraId="1F556C57" w14:textId="77777777" w:rsidTr="00D00619">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7" w:type="dxa"/>
            <w:shd w:val="clear" w:color="auto" w:fill="FFFFFF" w:themeFill="background1"/>
            <w:vAlign w:val="center"/>
          </w:tcPr>
          <w:p w14:paraId="62D0B538" w14:textId="77777777" w:rsidR="003C69B8" w:rsidRPr="007B004D" w:rsidRDefault="003C69B8" w:rsidP="00D00619">
            <w:pPr>
              <w:pStyle w:val="NormalWeb"/>
              <w:spacing w:before="0" w:beforeAutospacing="0"/>
              <w:jc w:val="center"/>
              <w:rPr>
                <w:rFonts w:cs="Times New Roman"/>
                <w:color w:val="auto"/>
                <w:sz w:val="18"/>
                <w:szCs w:val="18"/>
              </w:rPr>
            </w:pPr>
            <m:oMath>
              <m:r>
                <m:rPr>
                  <m:sty m:val="bi"/>
                </m:rPr>
                <w:rPr>
                  <w:rFonts w:ascii="Cambria Math" w:hAnsi="Cambria Math" w:cs="Times New Roman"/>
                  <w:color w:val="auto"/>
                  <w:sz w:val="18"/>
                  <w:szCs w:val="18"/>
                </w:rPr>
                <m:t>80</m:t>
              </m:r>
            </m:oMath>
            <w:r>
              <w:rPr>
                <w:rFonts w:eastAsiaTheme="minorEastAsia" w:cs="Times New Roman"/>
                <w:b w:val="0"/>
                <w:bCs w:val="0"/>
                <w:color w:val="auto"/>
                <w:sz w:val="18"/>
                <w:szCs w:val="18"/>
              </w:rPr>
              <w:t>%</w:t>
            </w:r>
          </w:p>
        </w:tc>
        <w:tc>
          <w:tcPr>
            <w:tcW w:w="958" w:type="dxa"/>
            <w:shd w:val="clear" w:color="auto" w:fill="FFFFFF" w:themeFill="background1"/>
            <w:vAlign w:val="center"/>
          </w:tcPr>
          <w:p w14:paraId="7BC5211F"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-0,499</m:t>
                </m:r>
              </m:oMath>
            </m:oMathPara>
          </w:p>
        </w:tc>
        <w:tc>
          <w:tcPr>
            <w:tcW w:w="1310" w:type="dxa"/>
            <w:shd w:val="clear" w:color="auto" w:fill="FFFFFF" w:themeFill="background1"/>
          </w:tcPr>
          <w:p w14:paraId="5494A529"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sz w:val="18"/>
                <w:szCs w:val="18"/>
              </w:rPr>
            </w:pPr>
            <w:r w:rsidRPr="00027437">
              <w:rPr>
                <w:sz w:val="18"/>
                <w:szCs w:val="18"/>
                <w:lang w:val="pt-BR"/>
              </w:rPr>
              <w:t>0,101</w:t>
            </w:r>
          </w:p>
        </w:tc>
        <w:tc>
          <w:tcPr>
            <w:tcW w:w="1338" w:type="dxa"/>
            <w:shd w:val="clear" w:color="auto" w:fill="FFFFFF" w:themeFill="background1"/>
          </w:tcPr>
          <w:p w14:paraId="6590FC52"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sz w:val="18"/>
                <w:szCs w:val="18"/>
              </w:rPr>
            </w:pPr>
            <w:r w:rsidRPr="0054754C">
              <w:rPr>
                <w:sz w:val="18"/>
                <w:szCs w:val="18"/>
                <w:lang w:val="pt-BR"/>
              </w:rPr>
              <w:t>0,126</w:t>
            </w:r>
          </w:p>
        </w:tc>
        <w:tc>
          <w:tcPr>
            <w:tcW w:w="1338" w:type="dxa"/>
            <w:shd w:val="clear" w:color="auto" w:fill="FFFFFF" w:themeFill="background1"/>
            <w:vAlign w:val="center"/>
          </w:tcPr>
          <w:p w14:paraId="062CBB3F"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-0,097</m:t>
                </m:r>
              </m:oMath>
            </m:oMathPara>
          </w:p>
        </w:tc>
        <w:tc>
          <w:tcPr>
            <w:tcW w:w="1435" w:type="dxa"/>
            <w:shd w:val="clear" w:color="auto" w:fill="FFFFFF" w:themeFill="background1"/>
          </w:tcPr>
          <w:p w14:paraId="7D18111C" w14:textId="77777777" w:rsidR="003C69B8" w:rsidRPr="007B004D" w:rsidRDefault="003C69B8" w:rsidP="00D00619">
            <w:pPr>
              <w:pStyle w:val="NormalWeb"/>
              <w:spacing w:before="0" w:beforeAutospacing="0"/>
              <w:jc w:val="center"/>
              <w:cnfStyle w:val="000000100000" w:firstRow="0" w:lastRow="0" w:firstColumn="0" w:lastColumn="0" w:oddVBand="0" w:evenVBand="0" w:oddHBand="1" w:evenHBand="0" w:firstRowFirstColumn="0" w:firstRowLastColumn="0" w:lastRowFirstColumn="0" w:lastRowLastColumn="0"/>
              <w:rPr>
                <w:rFonts w:ascii="Cambria Math" w:hAnsi="Cambria Math" w:cs="Times New Roman"/>
                <w:sz w:val="18"/>
                <w:szCs w:val="18"/>
                <w:oMath/>
              </w:rPr>
            </w:pPr>
            <m:oMathPara>
              <m:oMath>
                <m:r>
                  <w:rPr>
                    <w:rFonts w:ascii="Cambria Math" w:hAnsi="Cambria Math" w:cs="Times New Roman"/>
                    <w:sz w:val="18"/>
                    <w:szCs w:val="18"/>
                  </w:rPr>
                  <m:t>0,114</m:t>
                </m:r>
              </m:oMath>
            </m:oMathPara>
          </w:p>
        </w:tc>
      </w:tr>
      <w:tr w:rsidR="003C69B8" w:rsidRPr="000A1648" w14:paraId="0DF77BFB" w14:textId="77777777" w:rsidTr="00D00619">
        <w:trPr>
          <w:trHeight w:val="20"/>
          <w:jc w:val="center"/>
        </w:trPr>
        <w:tc>
          <w:tcPr>
            <w:cnfStyle w:val="001000000000" w:firstRow="0" w:lastRow="0" w:firstColumn="1" w:lastColumn="0" w:oddVBand="0" w:evenVBand="0" w:oddHBand="0" w:evenHBand="0" w:firstRowFirstColumn="0" w:firstRowLastColumn="0" w:lastRowFirstColumn="0" w:lastRowLastColumn="0"/>
            <w:tcW w:w="2127" w:type="dxa"/>
            <w:shd w:val="clear" w:color="auto" w:fill="FFFFFF" w:themeFill="background1"/>
            <w:vAlign w:val="center"/>
          </w:tcPr>
          <w:p w14:paraId="2B2A012D" w14:textId="77777777" w:rsidR="003C69B8" w:rsidRPr="007B004D" w:rsidRDefault="003C69B8" w:rsidP="00D00619">
            <w:pPr>
              <w:pStyle w:val="NormalWeb"/>
              <w:spacing w:before="0" w:beforeAutospacing="0"/>
              <w:jc w:val="center"/>
              <w:rPr>
                <w:rFonts w:cs="Times New Roman"/>
                <w:b w:val="0"/>
                <w:color w:val="auto"/>
                <w:sz w:val="18"/>
                <w:szCs w:val="18"/>
              </w:rPr>
            </w:pPr>
            <m:oMath>
              <m:r>
                <m:rPr>
                  <m:sty m:val="bi"/>
                </m:rPr>
                <w:rPr>
                  <w:rFonts w:ascii="Cambria Math" w:hAnsi="Cambria Math" w:cs="Times New Roman"/>
                  <w:color w:val="auto"/>
                  <w:sz w:val="18"/>
                  <w:szCs w:val="18"/>
                </w:rPr>
                <m:t>70</m:t>
              </m:r>
            </m:oMath>
            <w:r>
              <w:rPr>
                <w:rFonts w:eastAsiaTheme="minorEastAsia" w:cs="Times New Roman"/>
                <w:b w:val="0"/>
                <w:bCs w:val="0"/>
                <w:color w:val="auto"/>
                <w:sz w:val="18"/>
                <w:szCs w:val="18"/>
              </w:rPr>
              <w:t>%</w:t>
            </w:r>
          </w:p>
        </w:tc>
        <w:tc>
          <w:tcPr>
            <w:tcW w:w="958" w:type="dxa"/>
            <w:shd w:val="clear" w:color="auto" w:fill="FFFFFF" w:themeFill="background1"/>
            <w:vAlign w:val="center"/>
          </w:tcPr>
          <w:p w14:paraId="057BDE56"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-0,482</m:t>
                </m:r>
              </m:oMath>
            </m:oMathPara>
          </w:p>
        </w:tc>
        <w:tc>
          <w:tcPr>
            <w:tcW w:w="1310" w:type="dxa"/>
            <w:shd w:val="clear" w:color="auto" w:fill="FFFFFF" w:themeFill="background1"/>
          </w:tcPr>
          <w:p w14:paraId="7C0D4B8D"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sz w:val="18"/>
                <w:szCs w:val="18"/>
              </w:rPr>
            </w:pPr>
            <w:r w:rsidRPr="00027437">
              <w:rPr>
                <w:sz w:val="18"/>
                <w:szCs w:val="18"/>
                <w:lang w:val="pt-BR"/>
              </w:rPr>
              <w:t>0,118</w:t>
            </w:r>
          </w:p>
        </w:tc>
        <w:tc>
          <w:tcPr>
            <w:tcW w:w="1338" w:type="dxa"/>
            <w:shd w:val="clear" w:color="auto" w:fill="FFFFFF" w:themeFill="background1"/>
          </w:tcPr>
          <w:p w14:paraId="251856E9"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sz w:val="18"/>
                <w:szCs w:val="18"/>
              </w:rPr>
            </w:pPr>
            <w:r w:rsidRPr="0054754C">
              <w:rPr>
                <w:sz w:val="18"/>
                <w:szCs w:val="18"/>
                <w:lang w:val="pt-BR"/>
              </w:rPr>
              <w:t>0,178</w:t>
            </w:r>
          </w:p>
        </w:tc>
        <w:tc>
          <w:tcPr>
            <w:tcW w:w="1338" w:type="dxa"/>
            <w:shd w:val="clear" w:color="auto" w:fill="FFFFFF" w:themeFill="background1"/>
            <w:vAlign w:val="center"/>
          </w:tcPr>
          <w:p w14:paraId="31CAF7B2"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color w:val="auto"/>
                <w:sz w:val="18"/>
                <w:szCs w:val="18"/>
                <w:oMath/>
              </w:rPr>
            </w:pPr>
            <m:oMathPara>
              <m:oMath>
                <m:r>
                  <w:rPr>
                    <w:rFonts w:ascii="Cambria Math" w:hAnsi="Cambria Math" w:cs="Times New Roman"/>
                    <w:color w:val="auto"/>
                    <w:sz w:val="18"/>
                    <w:szCs w:val="18"/>
                  </w:rPr>
                  <m:t>-0,114</m:t>
                </m:r>
              </m:oMath>
            </m:oMathPara>
          </w:p>
        </w:tc>
        <w:tc>
          <w:tcPr>
            <w:tcW w:w="1435" w:type="dxa"/>
            <w:shd w:val="clear" w:color="auto" w:fill="FFFFFF" w:themeFill="background1"/>
          </w:tcPr>
          <w:p w14:paraId="528D3357" w14:textId="77777777" w:rsidR="003C69B8" w:rsidRPr="007B004D" w:rsidRDefault="003C69B8" w:rsidP="00D00619">
            <w:pPr>
              <w:pStyle w:val="NormalWeb"/>
              <w:spacing w:before="0" w:beforeAutospacing="0"/>
              <w:jc w:val="center"/>
              <w:cnfStyle w:val="000000000000" w:firstRow="0" w:lastRow="0" w:firstColumn="0" w:lastColumn="0" w:oddVBand="0" w:evenVBand="0" w:oddHBand="0" w:evenHBand="0" w:firstRowFirstColumn="0" w:firstRowLastColumn="0" w:lastRowFirstColumn="0" w:lastRowLastColumn="0"/>
              <w:rPr>
                <w:rFonts w:ascii="Cambria Math" w:hAnsi="Cambria Math" w:cs="Times New Roman"/>
                <w:sz w:val="18"/>
                <w:szCs w:val="18"/>
                <w:oMath/>
              </w:rPr>
            </w:pPr>
            <m:oMathPara>
              <m:oMath>
                <m:r>
                  <w:rPr>
                    <w:rFonts w:ascii="Cambria Math" w:hAnsi="Cambria Math" w:cs="Times New Roman"/>
                    <w:sz w:val="18"/>
                    <w:szCs w:val="18"/>
                  </w:rPr>
                  <m:t>0,153</m:t>
                </m:r>
              </m:oMath>
            </m:oMathPara>
          </w:p>
        </w:tc>
      </w:tr>
    </w:tbl>
    <w:p w14:paraId="6A5C0AD2" w14:textId="77777777" w:rsidR="003C69B8" w:rsidRDefault="003C69B8" w:rsidP="003C69B8">
      <w:pPr>
        <w:tabs>
          <w:tab w:val="left" w:pos="1843"/>
        </w:tabs>
        <w:spacing w:line="360" w:lineRule="auto"/>
        <w:ind w:firstLine="0"/>
        <w:rPr>
          <w:rFonts w:ascii="Times New Roman" w:hAnsi="Times New Roman"/>
          <w:szCs w:val="24"/>
        </w:rPr>
      </w:pPr>
    </w:p>
    <w:p w14:paraId="681814CB" w14:textId="77777777" w:rsidR="003C69B8" w:rsidRPr="00941060" w:rsidRDefault="003C69B8" w:rsidP="003C69B8">
      <w:pPr>
        <w:spacing w:line="360" w:lineRule="auto"/>
        <w:rPr>
          <w:rFonts w:ascii="Times New Roman" w:hAnsi="Times New Roman"/>
          <w:szCs w:val="24"/>
        </w:rPr>
      </w:pPr>
      <w:r w:rsidRPr="00941060">
        <w:rPr>
          <w:rFonts w:ascii="Times New Roman" w:hAnsi="Times New Roman"/>
          <w:szCs w:val="24"/>
        </w:rPr>
        <w:t xml:space="preserve">O mesmo padrão foi observado na recuperação dos parâmetros de dificuldade da Prova 2 após a aplicação do deslocamento estimado. Na condição </w:t>
      </w:r>
      <w:r>
        <w:rPr>
          <w:rFonts w:ascii="Times New Roman" w:hAnsi="Times New Roman"/>
          <w:szCs w:val="24"/>
        </w:rPr>
        <w:t>em que o juiz é perfeito</w:t>
      </w:r>
      <w:r w:rsidRPr="00941060">
        <w:rPr>
          <w:rFonts w:ascii="Times New Roman" w:hAnsi="Times New Roman"/>
          <w:szCs w:val="24"/>
        </w:rPr>
        <w:t xml:space="preserve">, o viés médio foi praticamente nulo (−0,001) e o RMSE médio foi 0,039. À medida que a acurácia dos julgamentos diminuiu, aumentaram tanto o viés quanto o RMSE dos parâmetros equalizados. Esse comportamento é coerente com o procedimento proposto, uma vez que o deslocamento estimado é aplicado diretamente aos parâmetros de dificuldade, de modo que imprecisões em </w:t>
      </w:r>
      <m:oMath>
        <m:r>
          <w:rPr>
            <w:rFonts w:ascii="Cambria Math" w:hAnsi="Cambria Math"/>
            <w:szCs w:val="24"/>
          </w:rPr>
          <m:t>d</m:t>
        </m:r>
      </m:oMath>
      <w:r>
        <w:rPr>
          <w:rFonts w:ascii="Times New Roman" w:hAnsi="Times New Roman"/>
          <w:szCs w:val="24"/>
        </w:rPr>
        <w:t xml:space="preserve"> </w:t>
      </w:r>
      <w:r w:rsidRPr="00941060">
        <w:rPr>
          <w:rFonts w:ascii="Times New Roman" w:hAnsi="Times New Roman"/>
          <w:szCs w:val="24"/>
        </w:rPr>
        <w:t>se refletem no posicionamento dos itens na escala de referência.</w:t>
      </w:r>
    </w:p>
    <w:p w14:paraId="27A1182D" w14:textId="32237587" w:rsidR="00941060" w:rsidRPr="00941060" w:rsidRDefault="003C69B8" w:rsidP="003C69B8">
      <w:pPr>
        <w:spacing w:line="360" w:lineRule="auto"/>
        <w:rPr>
          <w:rFonts w:ascii="Times New Roman" w:hAnsi="Times New Roman"/>
          <w:szCs w:val="24"/>
        </w:rPr>
      </w:pPr>
      <w:r w:rsidRPr="00941060">
        <w:rPr>
          <w:rFonts w:ascii="Times New Roman" w:hAnsi="Times New Roman"/>
          <w:szCs w:val="24"/>
        </w:rPr>
        <w:t xml:space="preserve">A análise de sensibilidade a diferentes variâncias das distribuições de proficiência, mantendo-se constante a diferença entre as médias dos grupos, apresentou resultados semelhantes entre as condições avaliadas. Assim, nas condições simuladas, a recuperação mostrou-se pouco sensível às diferenças de dispersão entre as populações, enquanto a redução da acurácia dos julgamentos esteve associada à maior deterioração das estimativas. Em conjunto, os resultados fornecem evidências iniciais de que os julgamentos comparativos podem ser utilizados para </w:t>
      </w:r>
      <w:r>
        <w:rPr>
          <w:rFonts w:ascii="Times New Roman" w:hAnsi="Times New Roman"/>
          <w:szCs w:val="24"/>
        </w:rPr>
        <w:t>equalizar</w:t>
      </w:r>
      <w:r w:rsidRPr="00941060">
        <w:rPr>
          <w:rFonts w:ascii="Times New Roman" w:hAnsi="Times New Roman"/>
          <w:szCs w:val="24"/>
        </w:rPr>
        <w:t xml:space="preserve"> </w:t>
      </w:r>
      <w:r>
        <w:rPr>
          <w:rFonts w:ascii="Times New Roman" w:hAnsi="Times New Roman"/>
          <w:szCs w:val="24"/>
        </w:rPr>
        <w:t xml:space="preserve">diferentes edições de avaliações </w:t>
      </w:r>
      <w:r w:rsidRPr="00941060">
        <w:rPr>
          <w:rFonts w:ascii="Times New Roman" w:hAnsi="Times New Roman"/>
          <w:szCs w:val="24"/>
        </w:rPr>
        <w:t xml:space="preserve">calibradas </w:t>
      </w:r>
      <w:r>
        <w:rPr>
          <w:rFonts w:ascii="Times New Roman" w:hAnsi="Times New Roman"/>
          <w:szCs w:val="24"/>
        </w:rPr>
        <w:t>de forma independente</w:t>
      </w:r>
      <w:r w:rsidRPr="00941060">
        <w:rPr>
          <w:rFonts w:ascii="Times New Roman" w:hAnsi="Times New Roman"/>
          <w:szCs w:val="24"/>
        </w:rPr>
        <w:t xml:space="preserve"> e sem itens comuns, embora o desempenho do procedimento dependa da qualidade dos julgamentos</w:t>
      </w:r>
      <w:r w:rsidR="00941060" w:rsidRPr="00941060">
        <w:rPr>
          <w:rFonts w:ascii="Times New Roman" w:hAnsi="Times New Roman"/>
          <w:szCs w:val="24"/>
        </w:rPr>
        <w:t>.</w:t>
      </w:r>
    </w:p>
    <w:p w14:paraId="315EF086" w14:textId="77777777" w:rsidR="00CC0258" w:rsidRPr="005048C2" w:rsidRDefault="00CC0258" w:rsidP="008317BE">
      <w:pPr>
        <w:pStyle w:val="Ttulo1"/>
        <w:spacing w:line="360" w:lineRule="auto"/>
        <w:rPr>
          <w:rFonts w:ascii="Times New Roman" w:hAnsi="Times New Roman"/>
          <w:sz w:val="24"/>
          <w:szCs w:val="24"/>
        </w:rPr>
      </w:pPr>
      <w:r w:rsidRPr="005048C2">
        <w:rPr>
          <w:rFonts w:ascii="Times New Roman" w:hAnsi="Times New Roman"/>
          <w:sz w:val="24"/>
          <w:szCs w:val="24"/>
        </w:rPr>
        <w:t>Conclusões e Considerações Finais</w:t>
      </w:r>
    </w:p>
    <w:p w14:paraId="513B8D50" w14:textId="458DDDA0" w:rsidR="000E16AC" w:rsidRDefault="00770A21" w:rsidP="00E70C88">
      <w:pPr>
        <w:spacing w:line="360" w:lineRule="auto"/>
        <w:rPr>
          <w:rFonts w:ascii="Times New Roman" w:hAnsi="Times New Roman"/>
          <w:szCs w:val="24"/>
        </w:rPr>
      </w:pPr>
      <w:r w:rsidRPr="00770A21">
        <w:rPr>
          <w:rFonts w:ascii="Times New Roman" w:hAnsi="Times New Roman"/>
          <w:szCs w:val="24"/>
        </w:rPr>
        <w:t>O método proposto mostrou-se promissor como alternativa de equalização em cenários nos quais os métodos clássicos não podem ser aplicados, oferecendo um caminho viável para produzir escalas comparáveis a partir de julgamentos de especialistas</w:t>
      </w:r>
      <w:r w:rsidR="00E70C88" w:rsidRPr="000E16AC">
        <w:rPr>
          <w:rFonts w:ascii="Times New Roman" w:hAnsi="Times New Roman"/>
          <w:szCs w:val="24"/>
        </w:rPr>
        <w:t xml:space="preserve">. </w:t>
      </w:r>
      <w:r w:rsidR="00E70C88" w:rsidRPr="00AD5A44">
        <w:rPr>
          <w:rFonts w:ascii="Times New Roman" w:hAnsi="Times New Roman"/>
          <w:szCs w:val="24"/>
        </w:rPr>
        <w:t xml:space="preserve">Nas condições simuladas, a aplicação do deslocamento estimado possibilitou boa recuperação dos parâmetros </w:t>
      </w:r>
      <w:r w:rsidR="00E70C88" w:rsidRPr="00AD5A44">
        <w:rPr>
          <w:rFonts w:ascii="Times New Roman" w:hAnsi="Times New Roman"/>
          <w:szCs w:val="24"/>
        </w:rPr>
        <w:lastRenderedPageBreak/>
        <w:t>de dificuldade, especialmente sob maior probabilidade de acerto dos juízes, enquanto a redução dessa probabilidade esteve associada ao aumento do viés e do RMSE. Vale ressaltar que essa probabilidade foi fixada em um valor constante para cada condição simulada, independentemente da proximidade entre as dificuldades dos itens comparados em cada par. Na prática, no entanto, é esperado que ela varie conforme essa proximidade, sendo maior para pares com diferenças de dificuldade mais acentuadas e menor para pares próximos do ponto de indiferença. Este é um trabalho em andamento, e as próximas etapas incluem a avaliação de cenários com heterogeneidade entre juízes, diferentes relações entre a dificuldade da comparação e a probabilidade de acerto e, posteriormente, a aplicação do procedimento com especialistas reais</w:t>
      </w:r>
      <w:r w:rsidR="000E16AC" w:rsidRPr="000E16AC">
        <w:rPr>
          <w:rFonts w:ascii="Times New Roman" w:hAnsi="Times New Roman"/>
          <w:szCs w:val="24"/>
        </w:rPr>
        <w:t>.</w:t>
      </w:r>
    </w:p>
    <w:p w14:paraId="0A6C4128" w14:textId="77777777" w:rsidR="00727CFF" w:rsidRDefault="00727CFF" w:rsidP="00727CFF">
      <w:pPr>
        <w:pStyle w:val="Ttulo1"/>
        <w:rPr>
          <w:rFonts w:ascii="Times New Roman" w:hAnsi="Times New Roman"/>
          <w:sz w:val="24"/>
          <w:szCs w:val="24"/>
        </w:rPr>
      </w:pPr>
      <w:r w:rsidRPr="00AD6E76">
        <w:rPr>
          <w:rFonts w:ascii="Times New Roman" w:hAnsi="Times New Roman"/>
          <w:sz w:val="24"/>
          <w:szCs w:val="24"/>
        </w:rPr>
        <w:t>Referências</w:t>
      </w:r>
    </w:p>
    <w:p w14:paraId="4CD61CB6" w14:textId="77777777" w:rsidR="001E0A1F" w:rsidRDefault="001E0A1F" w:rsidP="00AF5E50">
      <w:pPr>
        <w:spacing w:after="0"/>
      </w:pPr>
    </w:p>
    <w:p w14:paraId="7CE1F3C9" w14:textId="328AF26F" w:rsidR="00A034CA" w:rsidRPr="00683902" w:rsidRDefault="00A034CA" w:rsidP="00133089">
      <w:pPr>
        <w:pStyle w:val="Bibliografia"/>
        <w:rPr>
          <w:rFonts w:ascii="Times New Roman" w:hAnsi="Times New Roman"/>
          <w:sz w:val="20"/>
          <w:szCs w:val="20"/>
        </w:rPr>
      </w:pPr>
      <w:r w:rsidRPr="00683902">
        <w:rPr>
          <w:rFonts w:ascii="Times New Roman" w:hAnsi="Times New Roman"/>
          <w:sz w:val="20"/>
          <w:szCs w:val="20"/>
          <w:lang w:val="en-US"/>
        </w:rPr>
        <w:fldChar w:fldCharType="begin"/>
      </w:r>
      <w:r w:rsidRPr="00683902">
        <w:rPr>
          <w:rFonts w:ascii="Times New Roman" w:hAnsi="Times New Roman"/>
          <w:sz w:val="20"/>
          <w:szCs w:val="20"/>
        </w:rPr>
        <w:instrText xml:space="preserve"> ADDIN ZOTERO_BIBL {"uncited":[],"omitted":[],"custom":[]} CSL_BIBLIOGRAPHY </w:instrText>
      </w:r>
      <w:r w:rsidRPr="00683902">
        <w:rPr>
          <w:rFonts w:ascii="Times New Roman" w:hAnsi="Times New Roman"/>
          <w:sz w:val="20"/>
          <w:szCs w:val="20"/>
          <w:lang w:val="en-US"/>
        </w:rPr>
        <w:fldChar w:fldCharType="separate"/>
      </w:r>
      <w:r w:rsidRPr="00683902">
        <w:rPr>
          <w:rFonts w:ascii="Times New Roman" w:hAnsi="Times New Roman"/>
          <w:sz w:val="20"/>
          <w:szCs w:val="20"/>
        </w:rPr>
        <w:t xml:space="preserve">ANDRADE, Dalton Fracisco de; TAVARES, Heliton Ribeiro; VALLE, Raquel da Cunha. </w:t>
      </w:r>
      <w:r w:rsidRPr="00683902">
        <w:rPr>
          <w:rFonts w:ascii="Times New Roman" w:hAnsi="Times New Roman"/>
          <w:b/>
          <w:bCs/>
          <w:sz w:val="20"/>
          <w:szCs w:val="20"/>
        </w:rPr>
        <w:t>Teoria da Resposta ao Item: Conceitos e Aplicações</w:t>
      </w:r>
      <w:r w:rsidRPr="00683902">
        <w:rPr>
          <w:rFonts w:ascii="Times New Roman" w:hAnsi="Times New Roman"/>
          <w:sz w:val="20"/>
          <w:szCs w:val="20"/>
        </w:rPr>
        <w:t xml:space="preserve">. </w:t>
      </w:r>
      <w:r w:rsidR="00133089" w:rsidRPr="00133089">
        <w:rPr>
          <w:rFonts w:ascii="Times New Roman" w:hAnsi="Times New Roman"/>
          <w:sz w:val="20"/>
          <w:szCs w:val="20"/>
        </w:rPr>
        <w:t>SINAPE - Simpósio Nacional de</w:t>
      </w:r>
      <w:r w:rsidR="00133089">
        <w:rPr>
          <w:rFonts w:ascii="Times New Roman" w:hAnsi="Times New Roman"/>
          <w:sz w:val="20"/>
          <w:szCs w:val="20"/>
        </w:rPr>
        <w:t xml:space="preserve"> </w:t>
      </w:r>
      <w:r w:rsidR="00133089" w:rsidRPr="00133089">
        <w:rPr>
          <w:rFonts w:ascii="Times New Roman" w:hAnsi="Times New Roman"/>
          <w:sz w:val="20"/>
          <w:szCs w:val="20"/>
        </w:rPr>
        <w:t>Probabilidade e Estatística, 2000.</w:t>
      </w:r>
      <w:r w:rsidRPr="00683902">
        <w:rPr>
          <w:rFonts w:ascii="Times New Roman" w:hAnsi="Times New Roman"/>
          <w:sz w:val="20"/>
          <w:szCs w:val="20"/>
        </w:rPr>
        <w:t xml:space="preserve"> </w:t>
      </w:r>
    </w:p>
    <w:p w14:paraId="0352725D" w14:textId="77777777"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ATTALI, Yigal </w:t>
      </w:r>
      <w:r w:rsidRPr="00683902">
        <w:rPr>
          <w:rFonts w:ascii="Times New Roman" w:hAnsi="Times New Roman"/>
          <w:i/>
          <w:iCs/>
          <w:sz w:val="20"/>
          <w:szCs w:val="20"/>
          <w:lang w:val="en-US"/>
        </w:rPr>
        <w:t>et al.</w:t>
      </w:r>
      <w:r w:rsidRPr="00683902">
        <w:rPr>
          <w:rFonts w:ascii="Times New Roman" w:hAnsi="Times New Roman"/>
          <w:sz w:val="20"/>
          <w:szCs w:val="20"/>
          <w:lang w:val="en-US"/>
        </w:rPr>
        <w:t xml:space="preserve"> Estimating Item Difficulty With Comparative Judgments. </w:t>
      </w:r>
      <w:r w:rsidRPr="00683902">
        <w:rPr>
          <w:rFonts w:ascii="Times New Roman" w:hAnsi="Times New Roman"/>
          <w:b/>
          <w:bCs/>
          <w:sz w:val="20"/>
          <w:szCs w:val="20"/>
          <w:lang w:val="en-US"/>
        </w:rPr>
        <w:t>ETS Research Report Series</w:t>
      </w:r>
      <w:r w:rsidRPr="00683902">
        <w:rPr>
          <w:rFonts w:ascii="Times New Roman" w:hAnsi="Times New Roman"/>
          <w:sz w:val="20"/>
          <w:szCs w:val="20"/>
          <w:lang w:val="en-US"/>
        </w:rPr>
        <w:t xml:space="preserve">, v. 2014, n. 2, p. 1–8, dez. 2014. </w:t>
      </w:r>
    </w:p>
    <w:p w14:paraId="4BED5267" w14:textId="6CDFCD15" w:rsidR="00841E41" w:rsidRPr="00841E41" w:rsidRDefault="00841E41" w:rsidP="00841E41">
      <w:pPr>
        <w:pStyle w:val="Bibliografia"/>
        <w:rPr>
          <w:rFonts w:ascii="Times New Roman" w:hAnsi="Times New Roman"/>
          <w:sz w:val="20"/>
          <w:szCs w:val="20"/>
          <w:lang w:val="en-US"/>
        </w:rPr>
      </w:pPr>
      <w:r w:rsidRPr="00841E41">
        <w:rPr>
          <w:rFonts w:ascii="Times New Roman" w:hAnsi="Times New Roman"/>
          <w:sz w:val="20"/>
          <w:szCs w:val="20"/>
          <w:lang w:val="en-US"/>
        </w:rPr>
        <w:t>BENTON, T</w:t>
      </w:r>
      <w:r>
        <w:rPr>
          <w:rFonts w:ascii="Times New Roman" w:hAnsi="Times New Roman"/>
          <w:sz w:val="20"/>
          <w:szCs w:val="20"/>
          <w:lang w:val="en-US"/>
        </w:rPr>
        <w:t>om</w:t>
      </w:r>
      <w:r w:rsidRPr="00841E41">
        <w:rPr>
          <w:rFonts w:ascii="Times New Roman" w:hAnsi="Times New Roman"/>
          <w:sz w:val="20"/>
          <w:szCs w:val="20"/>
          <w:lang w:val="en-US"/>
        </w:rPr>
        <w:t xml:space="preserve">. </w:t>
      </w:r>
      <w:r w:rsidRPr="00DF0E8A">
        <w:rPr>
          <w:rFonts w:ascii="Times New Roman" w:hAnsi="Times New Roman"/>
          <w:b/>
          <w:bCs/>
          <w:sz w:val="20"/>
          <w:szCs w:val="20"/>
          <w:lang w:val="en-US"/>
        </w:rPr>
        <w:t>Maintaining standards using paired comparisons (but without Bradley or Terry)</w:t>
      </w:r>
      <w:r w:rsidRPr="00841E41">
        <w:rPr>
          <w:rFonts w:ascii="Times New Roman" w:hAnsi="Times New Roman"/>
          <w:sz w:val="20"/>
          <w:szCs w:val="20"/>
          <w:lang w:val="en-US"/>
        </w:rPr>
        <w:t>. Cambridge: Cambridge Assessment, 2019.</w:t>
      </w:r>
    </w:p>
    <w:p w14:paraId="29BC91D5" w14:textId="4214F890" w:rsidR="00841E41" w:rsidRDefault="00841E41" w:rsidP="00A034CA">
      <w:pPr>
        <w:pStyle w:val="Bibliografia"/>
        <w:rPr>
          <w:rFonts w:ascii="Times New Roman" w:hAnsi="Times New Roman"/>
          <w:sz w:val="20"/>
          <w:szCs w:val="20"/>
          <w:lang w:val="en-US"/>
        </w:rPr>
      </w:pPr>
      <w:r w:rsidRPr="00841E41">
        <w:rPr>
          <w:rFonts w:ascii="Times New Roman" w:hAnsi="Times New Roman"/>
          <w:sz w:val="20"/>
          <w:szCs w:val="20"/>
          <w:lang w:val="en-US"/>
        </w:rPr>
        <w:t>BENTON, T</w:t>
      </w:r>
      <w:r>
        <w:rPr>
          <w:rFonts w:ascii="Times New Roman" w:hAnsi="Times New Roman"/>
          <w:sz w:val="20"/>
          <w:szCs w:val="20"/>
          <w:lang w:val="en-US"/>
        </w:rPr>
        <w:t>om</w:t>
      </w:r>
      <w:r w:rsidRPr="00841E41">
        <w:rPr>
          <w:rFonts w:ascii="Times New Roman" w:hAnsi="Times New Roman"/>
          <w:sz w:val="20"/>
          <w:szCs w:val="20"/>
          <w:lang w:val="en-US"/>
        </w:rPr>
        <w:t xml:space="preserve">; CUNNINGHAM, </w:t>
      </w:r>
      <w:r w:rsidR="00DF0E8A" w:rsidRPr="00DF0E8A">
        <w:rPr>
          <w:rFonts w:ascii="Times New Roman" w:hAnsi="Times New Roman"/>
          <w:sz w:val="20"/>
          <w:szCs w:val="20"/>
          <w:lang w:val="en-US"/>
        </w:rPr>
        <w:t>Euan</w:t>
      </w:r>
      <w:r w:rsidRPr="00841E41">
        <w:rPr>
          <w:rFonts w:ascii="Times New Roman" w:hAnsi="Times New Roman"/>
          <w:sz w:val="20"/>
          <w:szCs w:val="20"/>
          <w:lang w:val="en-US"/>
        </w:rPr>
        <w:t xml:space="preserve">; HUGHES, </w:t>
      </w:r>
      <w:r w:rsidR="00DF0E8A" w:rsidRPr="00DF0E8A">
        <w:rPr>
          <w:rFonts w:ascii="Times New Roman" w:hAnsi="Times New Roman"/>
          <w:sz w:val="20"/>
          <w:szCs w:val="20"/>
          <w:lang w:val="en-US"/>
        </w:rPr>
        <w:t>Sarah</w:t>
      </w:r>
      <w:r w:rsidRPr="00841E41">
        <w:rPr>
          <w:rFonts w:ascii="Times New Roman" w:hAnsi="Times New Roman"/>
          <w:sz w:val="20"/>
          <w:szCs w:val="20"/>
          <w:lang w:val="en-US"/>
        </w:rPr>
        <w:t>; LEECH, T</w:t>
      </w:r>
      <w:r w:rsidR="00DF0E8A">
        <w:rPr>
          <w:rFonts w:ascii="Times New Roman" w:hAnsi="Times New Roman"/>
          <w:sz w:val="20"/>
          <w:szCs w:val="20"/>
          <w:lang w:val="en-US"/>
        </w:rPr>
        <w:t>ony</w:t>
      </w:r>
      <w:r w:rsidRPr="00841E41">
        <w:rPr>
          <w:rFonts w:ascii="Times New Roman" w:hAnsi="Times New Roman"/>
          <w:sz w:val="20"/>
          <w:szCs w:val="20"/>
          <w:lang w:val="en-US"/>
        </w:rPr>
        <w:t xml:space="preserve">. </w:t>
      </w:r>
      <w:r w:rsidRPr="00DF0E8A">
        <w:rPr>
          <w:rFonts w:ascii="Times New Roman" w:hAnsi="Times New Roman"/>
          <w:b/>
          <w:bCs/>
          <w:sz w:val="20"/>
          <w:szCs w:val="20"/>
          <w:lang w:val="en-US"/>
        </w:rPr>
        <w:t>Comparing the simplified pairs method of standard maintaining to statistical equating</w:t>
      </w:r>
      <w:r w:rsidRPr="00841E41">
        <w:rPr>
          <w:rFonts w:ascii="Times New Roman" w:hAnsi="Times New Roman"/>
          <w:sz w:val="20"/>
          <w:szCs w:val="20"/>
          <w:lang w:val="en-US"/>
        </w:rPr>
        <w:t xml:space="preserve">. Cambridge: Cambridge Assessment, </w:t>
      </w:r>
      <w:r w:rsidR="00DF0E8A">
        <w:rPr>
          <w:rFonts w:ascii="Times New Roman" w:hAnsi="Times New Roman"/>
          <w:sz w:val="20"/>
          <w:szCs w:val="20"/>
          <w:lang w:val="en-US"/>
        </w:rPr>
        <w:t xml:space="preserve">13 out. </w:t>
      </w:r>
      <w:r w:rsidRPr="00841E41">
        <w:rPr>
          <w:rFonts w:ascii="Times New Roman" w:hAnsi="Times New Roman"/>
          <w:sz w:val="20"/>
          <w:szCs w:val="20"/>
          <w:lang w:val="en-US"/>
        </w:rPr>
        <w:t xml:space="preserve">2020. </w:t>
      </w:r>
    </w:p>
    <w:p w14:paraId="0CFA1582" w14:textId="613E2FCC"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BENTON, Tom. Comparative Judgement for Linking Two Existing Scales. </w:t>
      </w:r>
      <w:r w:rsidRPr="00683902">
        <w:rPr>
          <w:rFonts w:ascii="Times New Roman" w:hAnsi="Times New Roman"/>
          <w:b/>
          <w:bCs/>
          <w:sz w:val="20"/>
          <w:szCs w:val="20"/>
          <w:lang w:val="en-US"/>
        </w:rPr>
        <w:t>Frontiers in Education</w:t>
      </w:r>
      <w:r w:rsidRPr="00683902">
        <w:rPr>
          <w:rFonts w:ascii="Times New Roman" w:hAnsi="Times New Roman"/>
          <w:sz w:val="20"/>
          <w:szCs w:val="20"/>
          <w:lang w:val="en-US"/>
        </w:rPr>
        <w:t xml:space="preserve">, v. 6, p. 775203, 17 dez. 2021. </w:t>
      </w:r>
    </w:p>
    <w:p w14:paraId="7117C6C9" w14:textId="77777777"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BRAMLEY, Tom. A rank-ordering method for equating tests by expert judgment. </w:t>
      </w:r>
      <w:r w:rsidRPr="00683902">
        <w:rPr>
          <w:rFonts w:ascii="Times New Roman" w:hAnsi="Times New Roman"/>
          <w:b/>
          <w:bCs/>
          <w:sz w:val="20"/>
          <w:szCs w:val="20"/>
          <w:lang w:val="en-US"/>
        </w:rPr>
        <w:t>Journal of Applied Measurement</w:t>
      </w:r>
      <w:r w:rsidRPr="00683902">
        <w:rPr>
          <w:rFonts w:ascii="Times New Roman" w:hAnsi="Times New Roman"/>
          <w:sz w:val="20"/>
          <w:szCs w:val="20"/>
          <w:lang w:val="en-US"/>
        </w:rPr>
        <w:t xml:space="preserve">, v. 6, n. 2, p. 202–223, 2005. </w:t>
      </w:r>
    </w:p>
    <w:p w14:paraId="38320472" w14:textId="77777777"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CURCIN, Milja; LEE, Ming Wei. Evaluating accuracy and bias of different comparative judgment equating methods against traditional statistical equating. </w:t>
      </w:r>
      <w:r w:rsidRPr="00683902">
        <w:rPr>
          <w:rFonts w:ascii="Times New Roman" w:hAnsi="Times New Roman"/>
          <w:b/>
          <w:bCs/>
          <w:sz w:val="20"/>
          <w:szCs w:val="20"/>
          <w:lang w:val="en-US"/>
        </w:rPr>
        <w:t>Frontiers in Education</w:t>
      </w:r>
      <w:r w:rsidRPr="00683902">
        <w:rPr>
          <w:rFonts w:ascii="Times New Roman" w:hAnsi="Times New Roman"/>
          <w:sz w:val="20"/>
          <w:szCs w:val="20"/>
          <w:lang w:val="en-US"/>
        </w:rPr>
        <w:t xml:space="preserve">, v. 10, p. 1538486, 18 set. 2025. </w:t>
      </w:r>
    </w:p>
    <w:p w14:paraId="71E168A5" w14:textId="77777777"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KOLEN, Michael J.; BRENNAN, Robert L. </w:t>
      </w:r>
      <w:r w:rsidRPr="00683902">
        <w:rPr>
          <w:rFonts w:ascii="Times New Roman" w:hAnsi="Times New Roman"/>
          <w:b/>
          <w:bCs/>
          <w:sz w:val="20"/>
          <w:szCs w:val="20"/>
          <w:lang w:val="en-US"/>
        </w:rPr>
        <w:t>Test equating, scaling, and linking: methods and practices</w:t>
      </w:r>
      <w:r w:rsidRPr="00683902">
        <w:rPr>
          <w:rFonts w:ascii="Times New Roman" w:hAnsi="Times New Roman"/>
          <w:sz w:val="20"/>
          <w:szCs w:val="20"/>
          <w:lang w:val="en-US"/>
        </w:rPr>
        <w:t xml:space="preserve">. Third edition ed. New York, NY: Springer, 2014. </w:t>
      </w:r>
    </w:p>
    <w:p w14:paraId="6F787CF9" w14:textId="77777777" w:rsidR="00A034CA" w:rsidRPr="00683902" w:rsidRDefault="00A034CA" w:rsidP="00A034CA">
      <w:pPr>
        <w:pStyle w:val="Bibliografia"/>
        <w:rPr>
          <w:rFonts w:ascii="Times New Roman" w:hAnsi="Times New Roman"/>
          <w:sz w:val="20"/>
          <w:szCs w:val="20"/>
          <w:lang w:val="en-US"/>
        </w:rPr>
      </w:pPr>
      <w:r w:rsidRPr="00683902">
        <w:rPr>
          <w:rFonts w:ascii="Times New Roman" w:hAnsi="Times New Roman"/>
          <w:sz w:val="20"/>
          <w:szCs w:val="20"/>
          <w:lang w:val="en-US"/>
        </w:rPr>
        <w:t xml:space="preserve">THURSTONE, L. L. A law of comparative judgment. </w:t>
      </w:r>
      <w:r w:rsidRPr="00683902">
        <w:rPr>
          <w:rFonts w:ascii="Times New Roman" w:hAnsi="Times New Roman"/>
          <w:b/>
          <w:bCs/>
          <w:sz w:val="20"/>
          <w:szCs w:val="20"/>
          <w:lang w:val="en-US"/>
        </w:rPr>
        <w:t>Psychological Review</w:t>
      </w:r>
      <w:r w:rsidRPr="00683902">
        <w:rPr>
          <w:rFonts w:ascii="Times New Roman" w:hAnsi="Times New Roman"/>
          <w:sz w:val="20"/>
          <w:szCs w:val="20"/>
          <w:lang w:val="en-US"/>
        </w:rPr>
        <w:t xml:space="preserve">, v. 34, n. 4, p. 273–286, jul. 1927. </w:t>
      </w:r>
    </w:p>
    <w:p w14:paraId="0C1D3217" w14:textId="22B1C410" w:rsidR="00A034CA" w:rsidRDefault="00A034CA" w:rsidP="00727CFF">
      <w:pPr>
        <w:ind w:firstLine="0"/>
        <w:rPr>
          <w:rFonts w:ascii="Times New Roman" w:hAnsi="Times New Roman"/>
          <w:szCs w:val="24"/>
          <w:lang w:val="en-US"/>
        </w:rPr>
      </w:pPr>
      <w:r w:rsidRPr="00683902">
        <w:rPr>
          <w:rFonts w:ascii="Times New Roman" w:hAnsi="Times New Roman"/>
          <w:sz w:val="20"/>
          <w:szCs w:val="20"/>
          <w:lang w:val="en-US"/>
        </w:rPr>
        <w:fldChar w:fldCharType="end"/>
      </w:r>
    </w:p>
    <w:sectPr w:rsidR="00A034CA" w:rsidSect="007B057F">
      <w:headerReference w:type="default" r:id="rId12"/>
      <w:footerReference w:type="default" r:id="rId13"/>
      <w:pgSz w:w="11920" w:h="16840"/>
      <w:pgMar w:top="1440" w:right="1440" w:bottom="1440" w:left="1440" w:header="760" w:footer="5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9F0CA" w14:textId="77777777" w:rsidR="008743E6" w:rsidRDefault="008743E6">
      <w:pPr>
        <w:spacing w:after="0"/>
      </w:pPr>
      <w:r>
        <w:separator/>
      </w:r>
    </w:p>
  </w:endnote>
  <w:endnote w:type="continuationSeparator" w:id="0">
    <w:p w14:paraId="06FF6EAE" w14:textId="77777777" w:rsidR="008743E6" w:rsidRDefault="008743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A74F" w14:textId="77777777" w:rsidR="00FE4F2B" w:rsidRPr="00074B3A" w:rsidRDefault="00FE4F2B" w:rsidP="00074B3A">
    <w:pPr>
      <w:pStyle w:val="Rodap"/>
      <w:jc w:val="center"/>
      <w:rPr>
        <w:sz w:val="19"/>
        <w:szCs w:val="19"/>
      </w:rPr>
    </w:pPr>
    <w:r w:rsidRPr="00074B3A">
      <w:rPr>
        <w:sz w:val="19"/>
        <w:szCs w:val="19"/>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4E28" w14:textId="77777777" w:rsidR="0025001F" w:rsidRPr="00074B3A" w:rsidRDefault="00074B3A" w:rsidP="00074B3A">
    <w:pPr>
      <w:pStyle w:val="Rodap"/>
      <w:jc w:val="center"/>
      <w:rPr>
        <w:sz w:val="19"/>
        <w:szCs w:val="19"/>
      </w:rPr>
    </w:pPr>
    <w:r w:rsidRPr="00074B3A">
      <w:rPr>
        <w:sz w:val="19"/>
        <w:szCs w:val="19"/>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041"/>
      <w:gridCol w:w="1539"/>
    </w:tblGrid>
    <w:tr w:rsidR="007B057F" w:rsidRPr="00CC0258" w14:paraId="5644D21A" w14:textId="77777777" w:rsidTr="009B4C3C">
      <w:tc>
        <w:tcPr>
          <w:tcW w:w="7621" w:type="dxa"/>
          <w:vAlign w:val="center"/>
        </w:tcPr>
        <w:p w14:paraId="75E366C5" w14:textId="798369E0" w:rsidR="00CC0258" w:rsidRPr="00CC0258" w:rsidRDefault="003A27E3" w:rsidP="005048C2">
          <w:pPr>
            <w:widowControl w:val="0"/>
            <w:tabs>
              <w:tab w:val="left" w:pos="2760"/>
            </w:tabs>
            <w:autoSpaceDE w:val="0"/>
            <w:autoSpaceDN w:val="0"/>
            <w:adjustRightInd w:val="0"/>
            <w:spacing w:after="0" w:line="200" w:lineRule="exact"/>
            <w:ind w:firstLine="0"/>
            <w:jc w:val="left"/>
            <w:rPr>
              <w:rFonts w:cs="Arial"/>
              <w:i/>
              <w:sz w:val="20"/>
              <w:szCs w:val="20"/>
            </w:rPr>
          </w:pPr>
          <w:r w:rsidRPr="00CC0258">
            <w:rPr>
              <w:noProof/>
            </w:rPr>
            <mc:AlternateContent>
              <mc:Choice Requires="wps">
                <w:drawing>
                  <wp:anchor distT="0" distB="0" distL="114300" distR="114300" simplePos="0" relativeHeight="251657216" behindDoc="1" locked="0" layoutInCell="0" allowOverlap="1" wp14:anchorId="6C45A370" wp14:editId="12B9B5E2">
                    <wp:simplePos x="0" y="0"/>
                    <wp:positionH relativeFrom="page">
                      <wp:posOffset>6235700</wp:posOffset>
                    </wp:positionH>
                    <wp:positionV relativeFrom="page">
                      <wp:posOffset>10182225</wp:posOffset>
                    </wp:positionV>
                    <wp:extent cx="432435" cy="156845"/>
                    <wp:effectExtent l="0" t="0" r="0" b="0"/>
                    <wp:wrapNone/>
                    <wp:docPr id="192984572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C1131" w14:textId="77777777"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920C2D">
                                  <w:rPr>
                                    <w:rFonts w:ascii="Times New Roman" w:hAnsi="Times New Roman"/>
                                    <w:noProof/>
                                    <w:w w:val="118"/>
                                    <w:sz w:val="20"/>
                                    <w:szCs w:val="20"/>
                                  </w:rPr>
                                  <w:t>4</w:t>
                                </w:r>
                                <w:r>
                                  <w:rPr>
                                    <w:rFonts w:ascii="Times New Roman" w:hAnsi="Times New Roman"/>
                                    <w:w w:val="118"/>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C45A370" id="_x0000_t202" coordsize="21600,21600" o:spt="202" path="m,l,21600r21600,l21600,xe">
                    <v:stroke joinstyle="miter"/>
                    <v:path gradientshapeok="t" o:connecttype="rect"/>
                  </v:shapetype>
                  <v:shape id="Text Box 7" o:spid="_x0000_s1026" type="#_x0000_t202" style="position:absolute;margin-left:491pt;margin-top:801.75pt;width:34.05pt;height:12.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" o:allowincell="f" filled="f" stroked="f">
                    <v:textbox inset="0,0,0,0">
                      <w:txbxContent>
                        <w:p w14:paraId="750C1131" w14:textId="77777777"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920C2D">
                            <w:rPr>
                              <w:rFonts w:ascii="Times New Roman" w:hAnsi="Times New Roman"/>
                              <w:noProof/>
                              <w:w w:val="118"/>
                              <w:sz w:val="20"/>
                              <w:szCs w:val="20"/>
                            </w:rPr>
                            <w:t>4</w:t>
                          </w:r>
                          <w:r>
                            <w:rPr>
                              <w:rFonts w:ascii="Times New Roman" w:hAnsi="Times New Roman"/>
                              <w:w w:val="118"/>
                              <w:sz w:val="20"/>
                              <w:szCs w:val="20"/>
                            </w:rPr>
                            <w:fldChar w:fldCharType="end"/>
                          </w:r>
                        </w:p>
                      </w:txbxContent>
                    </v:textbox>
                    <w10:wrap anchorx="page" anchory="page"/>
                  </v:shape>
                </w:pict>
              </mc:Fallback>
            </mc:AlternateContent>
          </w:r>
          <w:r w:rsidR="008B3853">
            <w:rPr>
              <w:rFonts w:cs="Arial"/>
              <w:i/>
              <w:sz w:val="20"/>
              <w:szCs w:val="20"/>
            </w:rPr>
            <w:t>X</w:t>
          </w:r>
          <w:r w:rsidR="005048C2">
            <w:rPr>
              <w:rFonts w:cs="Arial"/>
              <w:i/>
              <w:sz w:val="20"/>
              <w:szCs w:val="20"/>
            </w:rPr>
            <w:t xml:space="preserve"> CONBRATRI 26 a 28 de Outubro de 2026,</w:t>
          </w:r>
          <w:r w:rsidR="009B4C3C">
            <w:rPr>
              <w:rFonts w:cs="Arial"/>
              <w:i/>
              <w:sz w:val="20"/>
              <w:szCs w:val="20"/>
            </w:rPr>
            <w:t xml:space="preserve"> </w:t>
          </w:r>
          <w:r w:rsidR="00034CDD">
            <w:rPr>
              <w:rFonts w:cs="Arial"/>
              <w:i/>
              <w:sz w:val="20"/>
              <w:szCs w:val="20"/>
            </w:rPr>
            <w:t xml:space="preserve">São </w:t>
          </w:r>
          <w:proofErr w:type="spellStart"/>
          <w:r w:rsidR="00034CDD">
            <w:rPr>
              <w:rFonts w:cs="Arial"/>
              <w:i/>
              <w:sz w:val="20"/>
              <w:szCs w:val="20"/>
            </w:rPr>
            <w:t>Paulo</w:t>
          </w:r>
          <w:r w:rsidR="009B4C3C">
            <w:rPr>
              <w:rFonts w:cs="Arial"/>
              <w:i/>
              <w:sz w:val="20"/>
              <w:szCs w:val="20"/>
            </w:rPr>
            <w:t>-</w:t>
          </w:r>
          <w:r w:rsidR="00F55328">
            <w:rPr>
              <w:rFonts w:cs="Arial"/>
              <w:i/>
              <w:sz w:val="20"/>
              <w:szCs w:val="20"/>
            </w:rPr>
            <w:t>SP</w:t>
          </w:r>
          <w:proofErr w:type="spellEnd"/>
        </w:p>
      </w:tc>
      <w:tc>
        <w:tcPr>
          <w:tcW w:w="1559" w:type="dxa"/>
          <w:vAlign w:val="center"/>
        </w:tcPr>
        <w:p w14:paraId="2FEA9AE3" w14:textId="77777777" w:rsidR="00CC0258" w:rsidRPr="00CC0258" w:rsidRDefault="00CC0258" w:rsidP="00CC0258">
          <w:pPr>
            <w:pStyle w:val="Cabealho"/>
            <w:spacing w:after="0"/>
            <w:jc w:val="right"/>
            <w:rPr>
              <w:rFonts w:cs="Arial"/>
              <w:i/>
              <w:sz w:val="20"/>
              <w:szCs w:val="20"/>
            </w:rPr>
          </w:pPr>
          <w:r w:rsidRPr="00CC0258">
            <w:rPr>
              <w:rFonts w:cs="Arial"/>
              <w:i/>
              <w:sz w:val="20"/>
              <w:szCs w:val="20"/>
            </w:rPr>
            <w:t xml:space="preserve">Pág. </w:t>
          </w:r>
          <w:r w:rsidRPr="00CC0258">
            <w:rPr>
              <w:rFonts w:cs="Arial"/>
              <w:i/>
              <w:sz w:val="20"/>
              <w:szCs w:val="20"/>
            </w:rPr>
            <w:fldChar w:fldCharType="begin"/>
          </w:r>
          <w:r w:rsidRPr="00CC0258">
            <w:rPr>
              <w:rFonts w:cs="Arial"/>
              <w:i/>
              <w:sz w:val="20"/>
              <w:szCs w:val="20"/>
            </w:rPr>
            <w:instrText>PAGE   \* MERGEFORMAT</w:instrText>
          </w:r>
          <w:r w:rsidRPr="00CC0258">
            <w:rPr>
              <w:rFonts w:cs="Arial"/>
              <w:i/>
              <w:sz w:val="20"/>
              <w:szCs w:val="20"/>
            </w:rPr>
            <w:fldChar w:fldCharType="separate"/>
          </w:r>
          <w:r w:rsidR="00920C2D">
            <w:rPr>
              <w:rFonts w:cs="Arial"/>
              <w:i/>
              <w:noProof/>
              <w:sz w:val="20"/>
              <w:szCs w:val="20"/>
            </w:rPr>
            <w:t>4</w:t>
          </w:r>
          <w:r w:rsidRPr="00CC0258">
            <w:rPr>
              <w:rFonts w:cs="Arial"/>
              <w:i/>
              <w:sz w:val="20"/>
              <w:szCs w:val="20"/>
            </w:rPr>
            <w:fldChar w:fldCharType="end"/>
          </w:r>
        </w:p>
      </w:tc>
    </w:tr>
  </w:tbl>
  <w:p w14:paraId="293D0EE8" w14:textId="77777777" w:rsidR="00CC0258" w:rsidRDefault="00CC0258" w:rsidP="00CC0258">
    <w:pPr>
      <w:widowControl w:val="0"/>
      <w:tabs>
        <w:tab w:val="left" w:pos="2760"/>
      </w:tabs>
      <w:autoSpaceDE w:val="0"/>
      <w:autoSpaceDN w:val="0"/>
      <w:adjustRightInd w:val="0"/>
      <w:spacing w:after="0" w:line="200" w:lineRule="exact"/>
      <w:ind w:firstLine="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56EDD" w14:textId="77777777" w:rsidR="008743E6" w:rsidRDefault="008743E6">
      <w:pPr>
        <w:spacing w:after="0"/>
      </w:pPr>
      <w:r>
        <w:separator/>
      </w:r>
    </w:p>
  </w:footnote>
  <w:footnote w:type="continuationSeparator" w:id="0">
    <w:p w14:paraId="2AA6DE6C" w14:textId="77777777" w:rsidR="008743E6" w:rsidRDefault="008743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94D7" w14:textId="77777777" w:rsidR="00FE4F2B" w:rsidRDefault="00FE4F2B">
    <w:pPr>
      <w:pStyle w:val="Cabealho"/>
    </w:pPr>
    <w:r>
      <w:rPr>
        <w:noProof/>
      </w:rPr>
      <w:tab/>
    </w:r>
    <w:r>
      <w:rPr>
        <w:noProof/>
      </w:rPr>
      <w:tab/>
    </w:r>
    <w:r w:rsidRPr="00E93F26">
      <w:rPr>
        <w:noProof/>
      </w:rPr>
      <w:drawing>
        <wp:inline distT="0" distB="0" distL="0" distR="0" wp14:anchorId="67501FA4" wp14:editId="07DAB24B">
          <wp:extent cx="1104900" cy="527050"/>
          <wp:effectExtent l="0" t="0" r="0" b="0"/>
          <wp:docPr id="1483017092" name="Imagem 148301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5270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668F" w14:textId="17938476" w:rsidR="005048C2" w:rsidRDefault="005048C2">
    <w:pPr>
      <w:pStyle w:val="Cabealho"/>
    </w:pPr>
    <w:r>
      <w:rPr>
        <w:noProof/>
      </w:rPr>
      <w:tab/>
    </w:r>
    <w:r>
      <w:rPr>
        <w:noProof/>
      </w:rPr>
      <w:tab/>
    </w:r>
    <w:r w:rsidR="003A27E3" w:rsidRPr="00E93F26">
      <w:rPr>
        <w:noProof/>
      </w:rPr>
      <w:drawing>
        <wp:inline distT="0" distB="0" distL="0" distR="0" wp14:anchorId="5E25F13B" wp14:editId="145B8F42">
          <wp:extent cx="1104900" cy="527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5270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3A3D" w14:textId="65E25479" w:rsidR="00074B3A" w:rsidRPr="001E380A" w:rsidRDefault="003A27E3" w:rsidP="00074B3A">
    <w:pPr>
      <w:widowControl w:val="0"/>
      <w:autoSpaceDE w:val="0"/>
      <w:autoSpaceDN w:val="0"/>
      <w:adjustRightInd w:val="0"/>
      <w:spacing w:after="0" w:line="207" w:lineRule="exact"/>
      <w:ind w:right="-28"/>
      <w:jc w:val="center"/>
      <w:rPr>
        <w:rFonts w:cs="Arial"/>
        <w:i/>
        <w:sz w:val="19"/>
        <w:szCs w:val="19"/>
      </w:rPr>
    </w:pPr>
    <w:r>
      <w:rPr>
        <w:noProof/>
      </w:rPr>
      <mc:AlternateContent>
        <mc:Choice Requires="wpg">
          <w:drawing>
            <wp:anchor distT="0" distB="0" distL="114300" distR="114300" simplePos="0" relativeHeight="251658240" behindDoc="1" locked="0" layoutInCell="0" allowOverlap="1" wp14:anchorId="70A45B0B" wp14:editId="068E4E42">
              <wp:simplePos x="0" y="0"/>
              <wp:positionH relativeFrom="page">
                <wp:posOffset>911860</wp:posOffset>
              </wp:positionH>
              <wp:positionV relativeFrom="page">
                <wp:posOffset>784860</wp:posOffset>
              </wp:positionV>
              <wp:extent cx="5735955" cy="5080"/>
              <wp:effectExtent l="0" t="0" r="0" b="0"/>
              <wp:wrapNone/>
              <wp:docPr id="29684343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5955" cy="5080"/>
                        <a:chOff x="1436" y="1161"/>
                        <a:chExt cx="9033" cy="8"/>
                      </a:xfrm>
                    </wpg:grpSpPr>
                    <wps:wsp>
                      <wps:cNvPr id="267515053" name="Freeform 11"/>
                      <wps:cNvSpPr>
                        <a:spLocks/>
                      </wps:cNvSpPr>
                      <wps:spPr bwMode="auto">
                        <a:xfrm>
                          <a:off x="1440" y="1165"/>
                          <a:ext cx="9025" cy="0"/>
                        </a:xfrm>
                        <a:custGeom>
                          <a:avLst/>
                          <a:gdLst>
                            <a:gd name="T0" fmla="*/ 0 w 9025"/>
                            <a:gd name="T1" fmla="*/ 9025 w 9025"/>
                          </a:gdLst>
                          <a:ahLst/>
                          <a:cxnLst>
                            <a:cxn ang="0">
                              <a:pos x="T0" y="0"/>
                            </a:cxn>
                            <a:cxn ang="0">
                              <a:pos x="T1" y="0"/>
                            </a:cxn>
                          </a:cxnLst>
                          <a:rect l="0" t="0" r="r" b="b"/>
                          <a:pathLst>
                            <a:path w="9025">
                              <a:moveTo>
                                <a:pt x="0" y="0"/>
                              </a:moveTo>
                              <a:lnTo>
                                <a:pt x="9025"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606315" name="Freeform 12"/>
                      <wps:cNvSpPr>
                        <a:spLocks/>
                      </wps:cNvSpPr>
                      <wps:spPr bwMode="auto">
                        <a:xfrm>
                          <a:off x="1440" y="1165"/>
                          <a:ext cx="9025" cy="0"/>
                        </a:xfrm>
                        <a:custGeom>
                          <a:avLst/>
                          <a:gdLst>
                            <a:gd name="T0" fmla="*/ 9025 w 9025"/>
                            <a:gd name="T1" fmla="*/ 0 w 9025"/>
                          </a:gdLst>
                          <a:ahLst/>
                          <a:cxnLst>
                            <a:cxn ang="0">
                              <a:pos x="T0" y="0"/>
                            </a:cxn>
                            <a:cxn ang="0">
                              <a:pos x="T1" y="0"/>
                            </a:cxn>
                          </a:cxnLst>
                          <a:rect l="0" t="0" r="r" b="b"/>
                          <a:pathLst>
                            <a:path w="9025">
                              <a:moveTo>
                                <a:pt x="9025" y="0"/>
                              </a:moveTo>
                              <a:lnTo>
                                <a:pt x="0"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28F485FA" id="Group 10" o:spid="_x0000_s1026" style="position:absolute;margin-left:71.8pt;margin-top:61.8pt;width:451.65pt;height:.4pt;z-index:-251658240;mso-position-horizontal-relative:page;mso-position-vertical-relative:page" coordorigin="1436,1161" coordsize="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" o:allowincell="f">
              <v:shape id="Freeform 11" o:spid="_x0000_s1027"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" path="m,l9025,e" filled="f" strokeweight=".14039mm">
                <v:path arrowok="t" o:connecttype="custom" o:connectlocs="0,0;9025,0" o:connectangles="0,0"/>
              </v:shape>
              <v:shape id="Freeform 12" o:spid="_x0000_s1028"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" path="m9025,l,e" filled="f" strokeweight=".14039mm">
                <v:path arrowok="t" o:connecttype="custom" o:connectlocs="9025,0;0,0" o:connectangles="0,0"/>
              </v:shape>
              <w10:wrap anchorx="page" anchory="page"/>
            </v:group>
          </w:pict>
        </mc:Fallback>
      </mc:AlternateContent>
    </w:r>
    <w:r w:rsidR="00914A67">
      <w:rPr>
        <w:rFonts w:cs="Arial"/>
        <w:i/>
        <w:sz w:val="19"/>
        <w:szCs w:val="19"/>
      </w:rPr>
      <w:t>Equalização</w:t>
    </w:r>
    <w:r w:rsidR="00B72D17">
      <w:rPr>
        <w:rFonts w:cs="Arial"/>
        <w:i/>
        <w:sz w:val="19"/>
        <w:szCs w:val="19"/>
      </w:rPr>
      <w:t xml:space="preserve"> </w:t>
    </w:r>
    <w:r w:rsidR="00DE797B">
      <w:rPr>
        <w:rFonts w:cs="Arial"/>
        <w:i/>
        <w:sz w:val="19"/>
        <w:szCs w:val="19"/>
      </w:rPr>
      <w:t>e</w:t>
    </w:r>
    <w:r w:rsidR="00B72D17">
      <w:rPr>
        <w:rFonts w:cs="Arial"/>
        <w:i/>
        <w:sz w:val="19"/>
        <w:szCs w:val="19"/>
      </w:rPr>
      <w:t xml:space="preserve">ntre Diferentes Edições de uma Avaliação por meio </w:t>
    </w:r>
    <w:r w:rsidR="00AF5EBE">
      <w:rPr>
        <w:rFonts w:cs="Arial"/>
        <w:i/>
        <w:sz w:val="19"/>
        <w:szCs w:val="19"/>
      </w:rPr>
      <w:t>do Julgamento Comparativo de Itens: Uma Proposta Metodológica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3F46D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F447733"/>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10983557">
    <w:abstractNumId w:val="1"/>
  </w:num>
  <w:num w:numId="2" w16cid:durableId="148381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0A"/>
    <w:rsid w:val="00025D7E"/>
    <w:rsid w:val="00027437"/>
    <w:rsid w:val="00034CDD"/>
    <w:rsid w:val="00043407"/>
    <w:rsid w:val="00074B3A"/>
    <w:rsid w:val="000762C3"/>
    <w:rsid w:val="00087937"/>
    <w:rsid w:val="0009420F"/>
    <w:rsid w:val="000943BC"/>
    <w:rsid w:val="000A05A0"/>
    <w:rsid w:val="000A1648"/>
    <w:rsid w:val="000A238A"/>
    <w:rsid w:val="000C094F"/>
    <w:rsid w:val="000D377A"/>
    <w:rsid w:val="000E16AC"/>
    <w:rsid w:val="000E678B"/>
    <w:rsid w:val="000F104B"/>
    <w:rsid w:val="000F12A7"/>
    <w:rsid w:val="00133089"/>
    <w:rsid w:val="001843B6"/>
    <w:rsid w:val="001B5EA8"/>
    <w:rsid w:val="001C6965"/>
    <w:rsid w:val="001D1B03"/>
    <w:rsid w:val="001E0A1F"/>
    <w:rsid w:val="001E15AF"/>
    <w:rsid w:val="001E262D"/>
    <w:rsid w:val="001E380A"/>
    <w:rsid w:val="001E4C1E"/>
    <w:rsid w:val="00210046"/>
    <w:rsid w:val="0022500E"/>
    <w:rsid w:val="00231938"/>
    <w:rsid w:val="0024425C"/>
    <w:rsid w:val="0025001F"/>
    <w:rsid w:val="002776DC"/>
    <w:rsid w:val="00283425"/>
    <w:rsid w:val="002D4FC4"/>
    <w:rsid w:val="002F3E74"/>
    <w:rsid w:val="002F77B7"/>
    <w:rsid w:val="003119D6"/>
    <w:rsid w:val="00317423"/>
    <w:rsid w:val="00317E9A"/>
    <w:rsid w:val="003334AD"/>
    <w:rsid w:val="00350A15"/>
    <w:rsid w:val="00350A21"/>
    <w:rsid w:val="003716BE"/>
    <w:rsid w:val="00380F9E"/>
    <w:rsid w:val="00381C16"/>
    <w:rsid w:val="00381CE1"/>
    <w:rsid w:val="00392460"/>
    <w:rsid w:val="00393E43"/>
    <w:rsid w:val="00394F7C"/>
    <w:rsid w:val="003A140D"/>
    <w:rsid w:val="003A27E3"/>
    <w:rsid w:val="003C69B8"/>
    <w:rsid w:val="003E461E"/>
    <w:rsid w:val="003E7E8C"/>
    <w:rsid w:val="003F30AF"/>
    <w:rsid w:val="004349A0"/>
    <w:rsid w:val="004602DA"/>
    <w:rsid w:val="0046309E"/>
    <w:rsid w:val="00476E74"/>
    <w:rsid w:val="0048311B"/>
    <w:rsid w:val="004B3619"/>
    <w:rsid w:val="004C34CC"/>
    <w:rsid w:val="004F3A5F"/>
    <w:rsid w:val="00503753"/>
    <w:rsid w:val="005048C2"/>
    <w:rsid w:val="00515E2E"/>
    <w:rsid w:val="00524AEA"/>
    <w:rsid w:val="00527E57"/>
    <w:rsid w:val="0054754C"/>
    <w:rsid w:val="005629DE"/>
    <w:rsid w:val="0057420B"/>
    <w:rsid w:val="00577FBD"/>
    <w:rsid w:val="005A3854"/>
    <w:rsid w:val="005A5E01"/>
    <w:rsid w:val="005D0154"/>
    <w:rsid w:val="005D57E9"/>
    <w:rsid w:val="005E176D"/>
    <w:rsid w:val="005E6674"/>
    <w:rsid w:val="0063005A"/>
    <w:rsid w:val="006379C0"/>
    <w:rsid w:val="00642B29"/>
    <w:rsid w:val="00645C5A"/>
    <w:rsid w:val="006470A6"/>
    <w:rsid w:val="00665289"/>
    <w:rsid w:val="00670FCB"/>
    <w:rsid w:val="00675B80"/>
    <w:rsid w:val="00683171"/>
    <w:rsid w:val="00683902"/>
    <w:rsid w:val="0069424E"/>
    <w:rsid w:val="006B3AC8"/>
    <w:rsid w:val="006B592A"/>
    <w:rsid w:val="006B76DC"/>
    <w:rsid w:val="006D6C35"/>
    <w:rsid w:val="00725749"/>
    <w:rsid w:val="00727CFF"/>
    <w:rsid w:val="00770A21"/>
    <w:rsid w:val="00770AAF"/>
    <w:rsid w:val="00790FD8"/>
    <w:rsid w:val="007A6EAD"/>
    <w:rsid w:val="007B004D"/>
    <w:rsid w:val="007B057F"/>
    <w:rsid w:val="007B3B9F"/>
    <w:rsid w:val="007B3FED"/>
    <w:rsid w:val="007B456A"/>
    <w:rsid w:val="007B59FD"/>
    <w:rsid w:val="007C7664"/>
    <w:rsid w:val="007E5B14"/>
    <w:rsid w:val="007E6B66"/>
    <w:rsid w:val="007F7EF2"/>
    <w:rsid w:val="008158A9"/>
    <w:rsid w:val="008317BE"/>
    <w:rsid w:val="00841E41"/>
    <w:rsid w:val="008456F7"/>
    <w:rsid w:val="0086199B"/>
    <w:rsid w:val="00867E3B"/>
    <w:rsid w:val="008743E6"/>
    <w:rsid w:val="008836E2"/>
    <w:rsid w:val="008B3561"/>
    <w:rsid w:val="008B3853"/>
    <w:rsid w:val="008B3A88"/>
    <w:rsid w:val="008B466D"/>
    <w:rsid w:val="008D2124"/>
    <w:rsid w:val="008D5F9A"/>
    <w:rsid w:val="008D606C"/>
    <w:rsid w:val="008D743E"/>
    <w:rsid w:val="008E71ED"/>
    <w:rsid w:val="008F0554"/>
    <w:rsid w:val="00901305"/>
    <w:rsid w:val="00914A67"/>
    <w:rsid w:val="00917AB9"/>
    <w:rsid w:val="00920C2D"/>
    <w:rsid w:val="00941060"/>
    <w:rsid w:val="00941371"/>
    <w:rsid w:val="00965D46"/>
    <w:rsid w:val="00993C5A"/>
    <w:rsid w:val="009A12B8"/>
    <w:rsid w:val="009A2FF3"/>
    <w:rsid w:val="009A451C"/>
    <w:rsid w:val="009B4C3C"/>
    <w:rsid w:val="009B58AD"/>
    <w:rsid w:val="009B594E"/>
    <w:rsid w:val="009E55F3"/>
    <w:rsid w:val="009F0396"/>
    <w:rsid w:val="009F0AF8"/>
    <w:rsid w:val="00A01138"/>
    <w:rsid w:val="00A034CA"/>
    <w:rsid w:val="00A0361A"/>
    <w:rsid w:val="00A10486"/>
    <w:rsid w:val="00A52D9A"/>
    <w:rsid w:val="00A55B5A"/>
    <w:rsid w:val="00A61D38"/>
    <w:rsid w:val="00A630CE"/>
    <w:rsid w:val="00A7043B"/>
    <w:rsid w:val="00A76CE3"/>
    <w:rsid w:val="00A81352"/>
    <w:rsid w:val="00AA7231"/>
    <w:rsid w:val="00AB6ABE"/>
    <w:rsid w:val="00AC410B"/>
    <w:rsid w:val="00AD6E76"/>
    <w:rsid w:val="00AF10BB"/>
    <w:rsid w:val="00AF5E50"/>
    <w:rsid w:val="00AF5EBE"/>
    <w:rsid w:val="00B03597"/>
    <w:rsid w:val="00B1147D"/>
    <w:rsid w:val="00B72D17"/>
    <w:rsid w:val="00B8264E"/>
    <w:rsid w:val="00B87219"/>
    <w:rsid w:val="00BA6A04"/>
    <w:rsid w:val="00BE2B88"/>
    <w:rsid w:val="00C23A16"/>
    <w:rsid w:val="00C455C6"/>
    <w:rsid w:val="00C63648"/>
    <w:rsid w:val="00C821B1"/>
    <w:rsid w:val="00C878D1"/>
    <w:rsid w:val="00C9477E"/>
    <w:rsid w:val="00CB027A"/>
    <w:rsid w:val="00CC0258"/>
    <w:rsid w:val="00CD7C27"/>
    <w:rsid w:val="00CE48F9"/>
    <w:rsid w:val="00CF17F8"/>
    <w:rsid w:val="00CF78BE"/>
    <w:rsid w:val="00D04841"/>
    <w:rsid w:val="00D06DD8"/>
    <w:rsid w:val="00D23345"/>
    <w:rsid w:val="00D47917"/>
    <w:rsid w:val="00D534C4"/>
    <w:rsid w:val="00D551B9"/>
    <w:rsid w:val="00D55A6B"/>
    <w:rsid w:val="00D62738"/>
    <w:rsid w:val="00D84DDE"/>
    <w:rsid w:val="00D93B77"/>
    <w:rsid w:val="00DE797B"/>
    <w:rsid w:val="00DF0E8A"/>
    <w:rsid w:val="00DF1D24"/>
    <w:rsid w:val="00DF4D17"/>
    <w:rsid w:val="00E371F5"/>
    <w:rsid w:val="00E579E8"/>
    <w:rsid w:val="00E67545"/>
    <w:rsid w:val="00E70C88"/>
    <w:rsid w:val="00E73ED1"/>
    <w:rsid w:val="00E8661E"/>
    <w:rsid w:val="00E874D2"/>
    <w:rsid w:val="00EB4051"/>
    <w:rsid w:val="00EB407F"/>
    <w:rsid w:val="00EC2304"/>
    <w:rsid w:val="00EF0E9C"/>
    <w:rsid w:val="00F00270"/>
    <w:rsid w:val="00F23001"/>
    <w:rsid w:val="00F55328"/>
    <w:rsid w:val="00F661C9"/>
    <w:rsid w:val="00F72B5D"/>
    <w:rsid w:val="00F92ADC"/>
    <w:rsid w:val="00F97B00"/>
    <w:rsid w:val="00FA01A6"/>
    <w:rsid w:val="00FA4E75"/>
    <w:rsid w:val="00FA648F"/>
    <w:rsid w:val="00FE16F0"/>
    <w:rsid w:val="00FE4F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68BDDE"/>
  <w14:defaultImageDpi w14:val="0"/>
  <w15:chartTrackingRefBased/>
  <w15:docId w15:val="{D3939938-D98C-472E-BDFB-EA888803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FBD"/>
    <w:pPr>
      <w:spacing w:after="200"/>
      <w:ind w:firstLine="720"/>
      <w:jc w:val="both"/>
    </w:pPr>
    <w:rPr>
      <w:rFonts w:ascii="Arial" w:hAnsi="Arial"/>
      <w:sz w:val="24"/>
      <w:szCs w:val="22"/>
    </w:rPr>
  </w:style>
  <w:style w:type="paragraph" w:styleId="Ttulo1">
    <w:name w:val="heading 1"/>
    <w:aliases w:val="Sessão"/>
    <w:basedOn w:val="Normal"/>
    <w:next w:val="Normal"/>
    <w:link w:val="Ttulo1Char"/>
    <w:uiPriority w:val="9"/>
    <w:qFormat/>
    <w:rsid w:val="00727CFF"/>
    <w:pPr>
      <w:keepNext/>
      <w:numPr>
        <w:numId w:val="1"/>
      </w:numPr>
      <w:spacing w:before="240" w:after="60"/>
      <w:outlineLvl w:val="0"/>
    </w:pPr>
    <w:rPr>
      <w:b/>
      <w:bCs/>
      <w:kern w:val="32"/>
      <w:sz w:val="32"/>
      <w:szCs w:val="32"/>
    </w:rPr>
  </w:style>
  <w:style w:type="paragraph" w:styleId="Ttulo2">
    <w:name w:val="heading 2"/>
    <w:aliases w:val="Subsessão"/>
    <w:basedOn w:val="Normal"/>
    <w:next w:val="Normal"/>
    <w:link w:val="Ttulo2Char"/>
    <w:uiPriority w:val="9"/>
    <w:qFormat/>
    <w:rsid w:val="00727CFF"/>
    <w:pPr>
      <w:keepNext/>
      <w:numPr>
        <w:ilvl w:val="1"/>
        <w:numId w:val="1"/>
      </w:numPr>
      <w:spacing w:before="240" w:after="60"/>
      <w:outlineLvl w:val="1"/>
    </w:pPr>
    <w:rPr>
      <w:b/>
      <w:bCs/>
      <w:iCs/>
      <w:sz w:val="28"/>
      <w:szCs w:val="28"/>
    </w:rPr>
  </w:style>
  <w:style w:type="paragraph" w:styleId="Ttulo3">
    <w:name w:val="heading 3"/>
    <w:aliases w:val="Subsubsessão"/>
    <w:basedOn w:val="Normal"/>
    <w:next w:val="Normal"/>
    <w:link w:val="Ttulo3Char"/>
    <w:uiPriority w:val="9"/>
    <w:qFormat/>
    <w:rsid w:val="00727CFF"/>
    <w:pPr>
      <w:keepNext/>
      <w:numPr>
        <w:ilvl w:val="2"/>
        <w:numId w:val="1"/>
      </w:numPr>
      <w:spacing w:before="240" w:after="60"/>
      <w:outlineLvl w:val="2"/>
    </w:pPr>
    <w:rPr>
      <w:rFonts w:ascii="Cambria" w:hAnsi="Cambria"/>
      <w:b/>
      <w:bCs/>
      <w:sz w:val="26"/>
      <w:szCs w:val="26"/>
    </w:rPr>
  </w:style>
  <w:style w:type="paragraph" w:styleId="Ttulo4">
    <w:name w:val="heading 4"/>
    <w:basedOn w:val="Normal"/>
    <w:next w:val="Normal"/>
    <w:link w:val="Ttulo4Char"/>
    <w:uiPriority w:val="9"/>
    <w:qFormat/>
    <w:rsid w:val="00727CFF"/>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link w:val="Ttulo5Char"/>
    <w:uiPriority w:val="9"/>
    <w:qFormat/>
    <w:rsid w:val="00727CFF"/>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har"/>
    <w:uiPriority w:val="9"/>
    <w:qFormat/>
    <w:rsid w:val="00727CFF"/>
    <w:pPr>
      <w:numPr>
        <w:ilvl w:val="5"/>
        <w:numId w:val="1"/>
      </w:numPr>
      <w:spacing w:before="240" w:after="60"/>
      <w:outlineLvl w:val="5"/>
    </w:pPr>
    <w:rPr>
      <w:rFonts w:ascii="Calibri" w:hAnsi="Calibri"/>
      <w:b/>
      <w:bCs/>
      <w:sz w:val="22"/>
    </w:rPr>
  </w:style>
  <w:style w:type="paragraph" w:styleId="Ttulo7">
    <w:name w:val="heading 7"/>
    <w:basedOn w:val="Normal"/>
    <w:next w:val="Normal"/>
    <w:link w:val="Ttulo7Char"/>
    <w:uiPriority w:val="9"/>
    <w:qFormat/>
    <w:rsid w:val="00727CFF"/>
    <w:pPr>
      <w:numPr>
        <w:ilvl w:val="6"/>
        <w:numId w:val="1"/>
      </w:numPr>
      <w:spacing w:before="240" w:after="60"/>
      <w:outlineLvl w:val="6"/>
    </w:pPr>
    <w:rPr>
      <w:rFonts w:ascii="Calibri" w:hAnsi="Calibri"/>
      <w:szCs w:val="24"/>
    </w:rPr>
  </w:style>
  <w:style w:type="paragraph" w:styleId="Ttulo8">
    <w:name w:val="heading 8"/>
    <w:basedOn w:val="Normal"/>
    <w:next w:val="Normal"/>
    <w:link w:val="Ttulo8Char"/>
    <w:uiPriority w:val="9"/>
    <w:qFormat/>
    <w:rsid w:val="00727CFF"/>
    <w:pPr>
      <w:numPr>
        <w:ilvl w:val="7"/>
        <w:numId w:val="1"/>
      </w:numPr>
      <w:spacing w:before="240" w:after="60"/>
      <w:outlineLvl w:val="7"/>
    </w:pPr>
    <w:rPr>
      <w:rFonts w:ascii="Calibri" w:hAnsi="Calibri"/>
      <w:i/>
      <w:iCs/>
      <w:szCs w:val="24"/>
    </w:rPr>
  </w:style>
  <w:style w:type="paragraph" w:styleId="Ttulo9">
    <w:name w:val="heading 9"/>
    <w:basedOn w:val="Normal"/>
    <w:next w:val="Normal"/>
    <w:link w:val="Ttulo9Char"/>
    <w:uiPriority w:val="9"/>
    <w:qFormat/>
    <w:rsid w:val="00727CFF"/>
    <w:pPr>
      <w:numPr>
        <w:ilvl w:val="8"/>
        <w:numId w:val="1"/>
      </w:numPr>
      <w:spacing w:before="240" w:after="60"/>
      <w:outlineLvl w:val="8"/>
    </w:pPr>
    <w:rPr>
      <w:rFonts w:ascii="Cambria" w:hAnsi="Cambria"/>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380A"/>
    <w:pPr>
      <w:tabs>
        <w:tab w:val="center" w:pos="4252"/>
        <w:tab w:val="right" w:pos="8504"/>
      </w:tabs>
    </w:pPr>
  </w:style>
  <w:style w:type="character" w:customStyle="1" w:styleId="CabealhoChar">
    <w:name w:val="Cabeçalho Char"/>
    <w:link w:val="Cabealho"/>
    <w:uiPriority w:val="99"/>
    <w:rsid w:val="001E380A"/>
    <w:rPr>
      <w:rFonts w:ascii="Arial" w:hAnsi="Arial"/>
    </w:rPr>
  </w:style>
  <w:style w:type="paragraph" w:styleId="Rodap">
    <w:name w:val="footer"/>
    <w:basedOn w:val="Normal"/>
    <w:link w:val="RodapChar"/>
    <w:uiPriority w:val="99"/>
    <w:unhideWhenUsed/>
    <w:rsid w:val="001E380A"/>
    <w:pPr>
      <w:tabs>
        <w:tab w:val="center" w:pos="4252"/>
        <w:tab w:val="right" w:pos="8504"/>
      </w:tabs>
    </w:pPr>
  </w:style>
  <w:style w:type="character" w:customStyle="1" w:styleId="RodapChar">
    <w:name w:val="Rodapé Char"/>
    <w:link w:val="Rodap"/>
    <w:uiPriority w:val="99"/>
    <w:rsid w:val="001E380A"/>
    <w:rPr>
      <w:rFonts w:ascii="Arial" w:hAnsi="Arial"/>
    </w:rPr>
  </w:style>
  <w:style w:type="character" w:customStyle="1" w:styleId="Ttulo1Char">
    <w:name w:val="Título 1 Char"/>
    <w:aliases w:val="Sessão Char"/>
    <w:link w:val="Ttulo1"/>
    <w:uiPriority w:val="9"/>
    <w:rsid w:val="00727CFF"/>
    <w:rPr>
      <w:rFonts w:ascii="Arial" w:eastAsia="Times New Roman" w:hAnsi="Arial" w:cs="Times New Roman"/>
      <w:b/>
      <w:bCs/>
      <w:kern w:val="32"/>
      <w:sz w:val="32"/>
      <w:szCs w:val="32"/>
    </w:rPr>
  </w:style>
  <w:style w:type="paragraph" w:styleId="Ttulo">
    <w:name w:val="Title"/>
    <w:basedOn w:val="Normal"/>
    <w:next w:val="Normal"/>
    <w:link w:val="TtuloChar"/>
    <w:uiPriority w:val="10"/>
    <w:qFormat/>
    <w:rsid w:val="00087937"/>
    <w:pPr>
      <w:widowControl w:val="0"/>
      <w:autoSpaceDE w:val="0"/>
      <w:autoSpaceDN w:val="0"/>
      <w:adjustRightInd w:val="0"/>
      <w:spacing w:after="0" w:line="447" w:lineRule="exact"/>
      <w:ind w:left="2904" w:right="2884"/>
      <w:jc w:val="center"/>
    </w:pPr>
    <w:rPr>
      <w:rFonts w:cs="Arial"/>
      <w:position w:val="-1"/>
      <w:sz w:val="39"/>
      <w:szCs w:val="39"/>
    </w:rPr>
  </w:style>
  <w:style w:type="character" w:customStyle="1" w:styleId="TtuloChar">
    <w:name w:val="Título Char"/>
    <w:link w:val="Ttulo"/>
    <w:uiPriority w:val="10"/>
    <w:rsid w:val="00087937"/>
    <w:rPr>
      <w:rFonts w:ascii="Arial" w:hAnsi="Arial" w:cs="Arial"/>
      <w:position w:val="-1"/>
      <w:sz w:val="39"/>
      <w:szCs w:val="39"/>
    </w:rPr>
  </w:style>
  <w:style w:type="character" w:customStyle="1" w:styleId="Ttulo2Char">
    <w:name w:val="Título 2 Char"/>
    <w:aliases w:val="Subsessão Char"/>
    <w:link w:val="Ttulo2"/>
    <w:uiPriority w:val="9"/>
    <w:rsid w:val="00727CFF"/>
    <w:rPr>
      <w:rFonts w:ascii="Arial" w:eastAsia="Times New Roman" w:hAnsi="Arial" w:cs="Times New Roman"/>
      <w:b/>
      <w:bCs/>
      <w:iCs/>
      <w:sz w:val="28"/>
      <w:szCs w:val="28"/>
    </w:rPr>
  </w:style>
  <w:style w:type="paragraph" w:styleId="Subttulo">
    <w:name w:val="Subtitle"/>
    <w:basedOn w:val="Normal"/>
    <w:next w:val="Normal"/>
    <w:link w:val="SubttuloChar"/>
    <w:uiPriority w:val="11"/>
    <w:qFormat/>
    <w:rsid w:val="00087937"/>
    <w:pPr>
      <w:spacing w:after="60"/>
      <w:jc w:val="center"/>
      <w:outlineLvl w:val="1"/>
    </w:pPr>
    <w:rPr>
      <w:rFonts w:ascii="Cambria" w:hAnsi="Cambria"/>
      <w:szCs w:val="24"/>
    </w:rPr>
  </w:style>
  <w:style w:type="character" w:customStyle="1" w:styleId="SubttuloChar">
    <w:name w:val="Subtítulo Char"/>
    <w:link w:val="Subttulo"/>
    <w:uiPriority w:val="11"/>
    <w:rsid w:val="00087937"/>
    <w:rPr>
      <w:rFonts w:ascii="Cambria" w:eastAsia="Times New Roman" w:hAnsi="Cambria" w:cs="Times New Roman"/>
      <w:sz w:val="24"/>
      <w:szCs w:val="24"/>
    </w:rPr>
  </w:style>
  <w:style w:type="character" w:customStyle="1" w:styleId="Ttulo3Char">
    <w:name w:val="Título 3 Char"/>
    <w:aliases w:val="Subsubsessão Char"/>
    <w:link w:val="Ttulo3"/>
    <w:uiPriority w:val="9"/>
    <w:rsid w:val="00727CFF"/>
    <w:rPr>
      <w:rFonts w:ascii="Cambria" w:eastAsia="Times New Roman" w:hAnsi="Cambria" w:cs="Times New Roman"/>
      <w:b/>
      <w:bCs/>
      <w:sz w:val="26"/>
      <w:szCs w:val="26"/>
    </w:rPr>
  </w:style>
  <w:style w:type="character" w:customStyle="1" w:styleId="Ttulo4Char">
    <w:name w:val="Título 4 Char"/>
    <w:link w:val="Ttulo4"/>
    <w:uiPriority w:val="9"/>
    <w:semiHidden/>
    <w:rsid w:val="00727CFF"/>
    <w:rPr>
      <w:b/>
      <w:bCs/>
      <w:sz w:val="28"/>
      <w:szCs w:val="28"/>
    </w:rPr>
  </w:style>
  <w:style w:type="character" w:customStyle="1" w:styleId="Ttulo5Char">
    <w:name w:val="Título 5 Char"/>
    <w:link w:val="Ttulo5"/>
    <w:uiPriority w:val="9"/>
    <w:semiHidden/>
    <w:rsid w:val="00727CFF"/>
    <w:rPr>
      <w:b/>
      <w:bCs/>
      <w:i/>
      <w:iCs/>
      <w:sz w:val="26"/>
      <w:szCs w:val="26"/>
    </w:rPr>
  </w:style>
  <w:style w:type="character" w:customStyle="1" w:styleId="Ttulo6Char">
    <w:name w:val="Título 6 Char"/>
    <w:link w:val="Ttulo6"/>
    <w:uiPriority w:val="9"/>
    <w:semiHidden/>
    <w:rsid w:val="00727CFF"/>
    <w:rPr>
      <w:b/>
      <w:bCs/>
    </w:rPr>
  </w:style>
  <w:style w:type="character" w:customStyle="1" w:styleId="Ttulo7Char">
    <w:name w:val="Título 7 Char"/>
    <w:link w:val="Ttulo7"/>
    <w:uiPriority w:val="9"/>
    <w:semiHidden/>
    <w:rsid w:val="00727CFF"/>
    <w:rPr>
      <w:sz w:val="24"/>
      <w:szCs w:val="24"/>
    </w:rPr>
  </w:style>
  <w:style w:type="character" w:customStyle="1" w:styleId="Ttulo8Char">
    <w:name w:val="Título 8 Char"/>
    <w:link w:val="Ttulo8"/>
    <w:uiPriority w:val="9"/>
    <w:semiHidden/>
    <w:rsid w:val="00727CFF"/>
    <w:rPr>
      <w:i/>
      <w:iCs/>
      <w:sz w:val="24"/>
      <w:szCs w:val="24"/>
    </w:rPr>
  </w:style>
  <w:style w:type="character" w:customStyle="1" w:styleId="Ttulo9Char">
    <w:name w:val="Título 9 Char"/>
    <w:link w:val="Ttulo9"/>
    <w:uiPriority w:val="9"/>
    <w:semiHidden/>
    <w:rsid w:val="00727CFF"/>
    <w:rPr>
      <w:rFonts w:ascii="Cambria" w:eastAsia="Times New Roman" w:hAnsi="Cambria" w:cs="Times New Roman"/>
    </w:rPr>
  </w:style>
  <w:style w:type="table" w:styleId="Tabelacomgrade">
    <w:name w:val="Table Grid"/>
    <w:basedOn w:val="Tabelanormal"/>
    <w:uiPriority w:val="59"/>
    <w:rsid w:val="00CC0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F97B00"/>
    <w:rPr>
      <w:sz w:val="20"/>
      <w:szCs w:val="20"/>
    </w:rPr>
  </w:style>
  <w:style w:type="character" w:customStyle="1" w:styleId="TextodenotaderodapChar">
    <w:name w:val="Texto de nota de rodapé Char"/>
    <w:link w:val="Textodenotaderodap"/>
    <w:uiPriority w:val="99"/>
    <w:semiHidden/>
    <w:rsid w:val="00F97B00"/>
    <w:rPr>
      <w:rFonts w:ascii="Arial" w:hAnsi="Arial"/>
    </w:rPr>
  </w:style>
  <w:style w:type="character" w:styleId="Refdenotaderodap">
    <w:name w:val="footnote reference"/>
    <w:uiPriority w:val="99"/>
    <w:semiHidden/>
    <w:unhideWhenUsed/>
    <w:rsid w:val="00F97B00"/>
    <w:rPr>
      <w:vertAlign w:val="superscript"/>
    </w:rPr>
  </w:style>
  <w:style w:type="character" w:styleId="Hyperlink">
    <w:name w:val="Hyperlink"/>
    <w:uiPriority w:val="99"/>
    <w:unhideWhenUsed/>
    <w:rsid w:val="00F97B00"/>
    <w:rPr>
      <w:color w:val="0563C1"/>
      <w:u w:val="single"/>
    </w:rPr>
  </w:style>
  <w:style w:type="character" w:styleId="MenoPendente">
    <w:name w:val="Unresolved Mention"/>
    <w:uiPriority w:val="99"/>
    <w:semiHidden/>
    <w:unhideWhenUsed/>
    <w:rsid w:val="00F97B00"/>
    <w:rPr>
      <w:color w:val="605E5C"/>
      <w:shd w:val="clear" w:color="auto" w:fill="E1DFDD"/>
    </w:rPr>
  </w:style>
  <w:style w:type="character" w:styleId="TextodoEspaoReservado">
    <w:name w:val="Placeholder Text"/>
    <w:basedOn w:val="Fontepargpadro"/>
    <w:uiPriority w:val="99"/>
    <w:semiHidden/>
    <w:rsid w:val="00231938"/>
    <w:rPr>
      <w:color w:val="666666"/>
    </w:rPr>
  </w:style>
  <w:style w:type="paragraph" w:styleId="NormalWeb">
    <w:name w:val="Normal (Web)"/>
    <w:basedOn w:val="Normal"/>
    <w:uiPriority w:val="99"/>
    <w:unhideWhenUsed/>
    <w:rsid w:val="00A81352"/>
    <w:pPr>
      <w:spacing w:before="100" w:beforeAutospacing="1" w:after="100" w:afterAutospacing="1"/>
      <w:ind w:firstLine="0"/>
      <w:jc w:val="left"/>
    </w:pPr>
    <w:rPr>
      <w:rFonts w:ascii="Times New Roman" w:hAnsi="Times New Roman"/>
      <w:szCs w:val="24"/>
      <w:lang w:val="en-US"/>
    </w:rPr>
  </w:style>
  <w:style w:type="paragraph" w:styleId="Legenda">
    <w:name w:val="caption"/>
    <w:basedOn w:val="Normal"/>
    <w:next w:val="Normal"/>
    <w:uiPriority w:val="35"/>
    <w:unhideWhenUsed/>
    <w:qFormat/>
    <w:rsid w:val="00A81352"/>
    <w:pPr>
      <w:ind w:firstLine="0"/>
      <w:jc w:val="left"/>
    </w:pPr>
    <w:rPr>
      <w:rFonts w:asciiTheme="minorHAnsi" w:eastAsiaTheme="minorHAnsi" w:hAnsiTheme="minorHAnsi" w:cstheme="minorBidi"/>
      <w:b/>
      <w:bCs/>
      <w:color w:val="156082" w:themeColor="accent1"/>
      <w:sz w:val="18"/>
      <w:szCs w:val="18"/>
      <w:lang w:val="en-US" w:eastAsia="en-US"/>
    </w:rPr>
  </w:style>
  <w:style w:type="table" w:customStyle="1" w:styleId="SombreamentoClaro2">
    <w:name w:val="Sombreamento Claro2"/>
    <w:basedOn w:val="Tabelanormal"/>
    <w:uiPriority w:val="60"/>
    <w:rsid w:val="00A81352"/>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fia">
    <w:name w:val="Bibliography"/>
    <w:basedOn w:val="Normal"/>
    <w:next w:val="Normal"/>
    <w:uiPriority w:val="37"/>
    <w:unhideWhenUsed/>
    <w:rsid w:val="00A034CA"/>
    <w:pPr>
      <w:spacing w:after="240"/>
      <w:ind w:firstLine="0"/>
    </w:pPr>
  </w:style>
  <w:style w:type="paragraph" w:styleId="Reviso">
    <w:name w:val="Revision"/>
    <w:hidden/>
    <w:uiPriority w:val="99"/>
    <w:semiHidden/>
    <w:rsid w:val="007C7664"/>
    <w:rPr>
      <w:rFonts w:ascii="Arial" w:hAnsi="Arial"/>
      <w:sz w:val="24"/>
      <w:szCs w:val="22"/>
    </w:rPr>
  </w:style>
  <w:style w:type="character" w:styleId="Refdecomentrio">
    <w:name w:val="annotation reference"/>
    <w:basedOn w:val="Fontepargpadro"/>
    <w:uiPriority w:val="99"/>
    <w:semiHidden/>
    <w:unhideWhenUsed/>
    <w:rsid w:val="007C7664"/>
    <w:rPr>
      <w:sz w:val="16"/>
      <w:szCs w:val="16"/>
    </w:rPr>
  </w:style>
  <w:style w:type="paragraph" w:styleId="Textodecomentrio">
    <w:name w:val="annotation text"/>
    <w:basedOn w:val="Normal"/>
    <w:link w:val="TextodecomentrioChar"/>
    <w:uiPriority w:val="99"/>
    <w:unhideWhenUsed/>
    <w:rsid w:val="007C7664"/>
    <w:rPr>
      <w:sz w:val="20"/>
      <w:szCs w:val="20"/>
    </w:rPr>
  </w:style>
  <w:style w:type="character" w:customStyle="1" w:styleId="TextodecomentrioChar">
    <w:name w:val="Texto de comentário Char"/>
    <w:basedOn w:val="Fontepargpadro"/>
    <w:link w:val="Textodecomentrio"/>
    <w:uiPriority w:val="99"/>
    <w:rsid w:val="007C7664"/>
    <w:rPr>
      <w:rFonts w:ascii="Arial" w:hAnsi="Arial"/>
    </w:rPr>
  </w:style>
  <w:style w:type="paragraph" w:styleId="Assuntodocomentrio">
    <w:name w:val="annotation subject"/>
    <w:basedOn w:val="Textodecomentrio"/>
    <w:next w:val="Textodecomentrio"/>
    <w:link w:val="AssuntodocomentrioChar"/>
    <w:uiPriority w:val="99"/>
    <w:semiHidden/>
    <w:unhideWhenUsed/>
    <w:rsid w:val="007C7664"/>
    <w:rPr>
      <w:b/>
      <w:bCs/>
    </w:rPr>
  </w:style>
  <w:style w:type="character" w:customStyle="1" w:styleId="AssuntodocomentrioChar">
    <w:name w:val="Assunto do comentário Char"/>
    <w:basedOn w:val="TextodecomentrioChar"/>
    <w:link w:val="Assuntodocomentrio"/>
    <w:uiPriority w:val="99"/>
    <w:semiHidden/>
    <w:rsid w:val="007C7664"/>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5AA5F-453E-4FC9-B1D9-8668DAC7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3620</Words>
  <Characters>19551</Characters>
  <Application>Microsoft Office Word</Application>
  <DocSecurity>0</DocSecurity>
  <Lines>162</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Marino</dc:creator>
  <cp:keywords/>
  <dc:description>DocumentCreationInfo</dc:description>
  <cp:lastModifiedBy>Leonardo Morais</cp:lastModifiedBy>
  <cp:revision>4</cp:revision>
  <cp:lastPrinted>2013-09-13T18:20:00Z</cp:lastPrinted>
  <dcterms:created xsi:type="dcterms:W3CDTF">2026-08-31T23:09:00Z</dcterms:created>
  <dcterms:modified xsi:type="dcterms:W3CDTF">2026-08-31T23:17:00Z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id="fm0PVmE4"/&gt;&lt;style id="http://www.zotero.org/styles/associacao-brasileira-de-normas-tecnicas" hasBibliography="1" bibliographyStyleHasBeenSet="1"/&gt;&lt;prefs&gt;&lt;pref name="fieldType" value="Field"/&gt;&lt;/pre</vt:lpwstr>
  </property>
  <property fmtid="{D5CDD505-2E9C-101B-9397-08002B2CF9AE}" pid="3" name="ZOTERO_PREF_2">
    <vt:lpwstr>fs&gt;&lt;/data&gt;</vt:lpwstr>
  </property>
</Properties>
</file>