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16B5D" w14:textId="77777777" w:rsidR="00FD00B4" w:rsidRPr="0098083C" w:rsidRDefault="00FD00B4" w:rsidP="00FD00B4">
      <w:pPr>
        <w:spacing w:after="360"/>
        <w:jc w:val="center"/>
      </w:pPr>
      <w:r w:rsidRPr="00015CD9">
        <w:rPr>
          <w:b/>
        </w:rPr>
        <w:t>DESENVOLVIMENTO DE INSTRUMENTOS E ESCALAS DE PROFICIÊNCIA PARA A EDUCAÇÃO PROFISSIONAL E TECNOLÓGICA (EPT): MODELAGEM DE COMPETÊNCIAS COM A TEORIA DA RESPOSTA AO ITEM</w:t>
      </w:r>
    </w:p>
    <w:p w14:paraId="5390BDC1" w14:textId="5601C881" w:rsidR="00FD00B4" w:rsidRDefault="00FD00B4" w:rsidP="00FD00B4">
      <w:pPr>
        <w:autoSpaceDE w:val="0"/>
        <w:autoSpaceDN w:val="0"/>
        <w:adjustRightInd w:val="0"/>
        <w:spacing w:after="0"/>
        <w:jc w:val="center"/>
        <w:rPr>
          <w:szCs w:val="24"/>
          <w:vertAlign w:val="superscript"/>
        </w:rPr>
      </w:pPr>
      <w:r w:rsidRPr="0098083C">
        <w:rPr>
          <w:szCs w:val="24"/>
        </w:rPr>
        <w:t>Juliano Anderson Pacheco</w:t>
      </w:r>
      <w:r w:rsidRPr="00086DD3">
        <w:rPr>
          <w:szCs w:val="24"/>
          <w:vertAlign w:val="superscript"/>
        </w:rPr>
        <w:t>1</w:t>
      </w:r>
      <w:r w:rsidRPr="00086DD3">
        <w:rPr>
          <w:szCs w:val="24"/>
        </w:rPr>
        <w:t xml:space="preserve">, </w:t>
      </w:r>
      <w:r>
        <w:rPr>
          <w:szCs w:val="24"/>
        </w:rPr>
        <w:t>Dalton Francisco de Andrade</w:t>
      </w:r>
      <w:r w:rsidRPr="00086DD3">
        <w:rPr>
          <w:szCs w:val="24"/>
          <w:vertAlign w:val="superscript"/>
        </w:rPr>
        <w:t>2</w:t>
      </w:r>
      <w:r w:rsidRPr="00086DD3">
        <w:rPr>
          <w:szCs w:val="24"/>
        </w:rPr>
        <w:t xml:space="preserve">, </w:t>
      </w:r>
      <w:r>
        <w:rPr>
          <w:szCs w:val="24"/>
        </w:rPr>
        <w:t xml:space="preserve">Adriano </w:t>
      </w:r>
      <w:proofErr w:type="spellStart"/>
      <w:r>
        <w:rPr>
          <w:szCs w:val="24"/>
        </w:rPr>
        <w:t>Ferreti</w:t>
      </w:r>
      <w:proofErr w:type="spellEnd"/>
      <w:r>
        <w:rPr>
          <w:szCs w:val="24"/>
        </w:rPr>
        <w:t xml:space="preserve"> Borgatto</w:t>
      </w:r>
      <w:r w:rsidRPr="00086DD3">
        <w:rPr>
          <w:szCs w:val="24"/>
          <w:vertAlign w:val="superscript"/>
        </w:rPr>
        <w:t>3</w:t>
      </w:r>
      <w:r w:rsidRPr="00086DD3">
        <w:rPr>
          <w:szCs w:val="24"/>
        </w:rPr>
        <w:t>,</w:t>
      </w:r>
      <w:r w:rsidRPr="0074216A">
        <w:rPr>
          <w:szCs w:val="24"/>
        </w:rPr>
        <w:t xml:space="preserve"> </w:t>
      </w:r>
      <w:r>
        <w:rPr>
          <w:szCs w:val="24"/>
        </w:rPr>
        <w:t>Leonardo Morais</w:t>
      </w:r>
      <w:r>
        <w:rPr>
          <w:szCs w:val="24"/>
          <w:vertAlign w:val="superscript"/>
        </w:rPr>
        <w:t>4</w:t>
      </w:r>
    </w:p>
    <w:p w14:paraId="72CC6F53" w14:textId="77777777" w:rsidR="00FD00B4" w:rsidRPr="00086DD3" w:rsidRDefault="00FD00B4" w:rsidP="00FD00B4">
      <w:pPr>
        <w:autoSpaceDE w:val="0"/>
        <w:autoSpaceDN w:val="0"/>
        <w:adjustRightInd w:val="0"/>
        <w:spacing w:after="0"/>
        <w:jc w:val="center"/>
        <w:rPr>
          <w:szCs w:val="24"/>
          <w:vertAlign w:val="superscript"/>
        </w:rPr>
      </w:pPr>
    </w:p>
    <w:p w14:paraId="27D7B7AB" w14:textId="77777777" w:rsidR="00FD00B4" w:rsidRPr="00086DD3" w:rsidRDefault="00FD00B4" w:rsidP="00FD00B4">
      <w:pPr>
        <w:autoSpaceDE w:val="0"/>
        <w:autoSpaceDN w:val="0"/>
        <w:adjustRightInd w:val="0"/>
        <w:spacing w:after="0"/>
        <w:rPr>
          <w:szCs w:val="24"/>
        </w:rPr>
      </w:pPr>
      <w:r w:rsidRPr="00BB62BC">
        <w:rPr>
          <w:szCs w:val="24"/>
          <w:vertAlign w:val="superscript"/>
        </w:rPr>
        <w:t>1</w:t>
      </w:r>
      <w:r w:rsidRPr="00086DD3">
        <w:rPr>
          <w:szCs w:val="24"/>
        </w:rPr>
        <w:t xml:space="preserve"> </w:t>
      </w:r>
      <w:proofErr w:type="spellStart"/>
      <w:r>
        <w:rPr>
          <w:szCs w:val="24"/>
        </w:rPr>
        <w:t>Universidade</w:t>
      </w:r>
      <w:proofErr w:type="spellEnd"/>
      <w:r>
        <w:rPr>
          <w:szCs w:val="24"/>
        </w:rPr>
        <w:t xml:space="preserve"> Federal de Santa Catarina (UFSC) - juliano.pacheco@posgrad.ufsc.br</w:t>
      </w:r>
    </w:p>
    <w:p w14:paraId="19ADDFFC" w14:textId="77777777" w:rsidR="00FD00B4" w:rsidRPr="00086DD3" w:rsidRDefault="00FD00B4" w:rsidP="00FD00B4">
      <w:pPr>
        <w:autoSpaceDE w:val="0"/>
        <w:autoSpaceDN w:val="0"/>
        <w:adjustRightInd w:val="0"/>
        <w:spacing w:after="0"/>
        <w:rPr>
          <w:szCs w:val="24"/>
        </w:rPr>
      </w:pPr>
      <w:r w:rsidRPr="00BB62BC">
        <w:rPr>
          <w:szCs w:val="24"/>
          <w:vertAlign w:val="superscript"/>
        </w:rPr>
        <w:t>2</w:t>
      </w:r>
      <w:r w:rsidRPr="00086DD3">
        <w:rPr>
          <w:szCs w:val="24"/>
        </w:rPr>
        <w:t xml:space="preserve"> </w:t>
      </w:r>
      <w:proofErr w:type="spellStart"/>
      <w:r>
        <w:rPr>
          <w:szCs w:val="24"/>
        </w:rPr>
        <w:t>Universidade</w:t>
      </w:r>
      <w:proofErr w:type="spellEnd"/>
      <w:r>
        <w:rPr>
          <w:szCs w:val="24"/>
        </w:rPr>
        <w:t xml:space="preserve"> Federal de Santa Catarina (UFSC) - dalton.andrade@ufsc.br</w:t>
      </w:r>
    </w:p>
    <w:p w14:paraId="3E767740" w14:textId="77777777" w:rsidR="00FD00B4" w:rsidRPr="00086DD3" w:rsidRDefault="00FD00B4" w:rsidP="00FD00B4">
      <w:pPr>
        <w:autoSpaceDE w:val="0"/>
        <w:autoSpaceDN w:val="0"/>
        <w:adjustRightInd w:val="0"/>
        <w:spacing w:after="0"/>
        <w:rPr>
          <w:szCs w:val="24"/>
        </w:rPr>
      </w:pPr>
      <w:r w:rsidRPr="00BB62BC">
        <w:rPr>
          <w:szCs w:val="24"/>
          <w:vertAlign w:val="superscript"/>
        </w:rPr>
        <w:t>3</w:t>
      </w:r>
      <w:r w:rsidRPr="00086DD3">
        <w:rPr>
          <w:szCs w:val="24"/>
        </w:rPr>
        <w:t xml:space="preserve"> </w:t>
      </w:r>
      <w:proofErr w:type="spellStart"/>
      <w:r>
        <w:rPr>
          <w:szCs w:val="24"/>
        </w:rPr>
        <w:t>Universidade</w:t>
      </w:r>
      <w:proofErr w:type="spellEnd"/>
      <w:r>
        <w:rPr>
          <w:szCs w:val="24"/>
        </w:rPr>
        <w:t xml:space="preserve"> Federal de Santa Catarina (UFSC) - adriano.borgatto@ufsc.br</w:t>
      </w:r>
    </w:p>
    <w:p w14:paraId="61C9AEA3" w14:textId="77777777" w:rsidR="00FD00B4" w:rsidRPr="005048C2" w:rsidRDefault="00FD00B4" w:rsidP="00FD00B4">
      <w:pPr>
        <w:autoSpaceDE w:val="0"/>
        <w:autoSpaceDN w:val="0"/>
        <w:adjustRightInd w:val="0"/>
        <w:spacing w:after="0"/>
        <w:rPr>
          <w:szCs w:val="24"/>
        </w:rPr>
      </w:pPr>
      <w:r>
        <w:rPr>
          <w:szCs w:val="24"/>
          <w:vertAlign w:val="superscript"/>
        </w:rPr>
        <w:t>4</w:t>
      </w:r>
      <w:r>
        <w:rPr>
          <w:szCs w:val="24"/>
        </w:rPr>
        <w:t xml:space="preserve"> </w:t>
      </w:r>
      <w:proofErr w:type="spellStart"/>
      <w:r>
        <w:rPr>
          <w:szCs w:val="24"/>
        </w:rPr>
        <w:t>Universidade</w:t>
      </w:r>
      <w:proofErr w:type="spellEnd"/>
      <w:r>
        <w:rPr>
          <w:szCs w:val="24"/>
        </w:rPr>
        <w:t xml:space="preserve"> Federal de Santa Catarina (UFSC) - leonardo.morais@ifsc.edu.br</w:t>
      </w:r>
    </w:p>
    <w:p w14:paraId="57F8DB3C" w14:textId="77777777" w:rsidR="00DC3B99" w:rsidRPr="00040F78" w:rsidRDefault="00DC3B99">
      <w:pPr>
        <w:spacing w:after="240"/>
        <w:rPr>
          <w:lang w:val="pt-BR"/>
        </w:rPr>
      </w:pPr>
    </w:p>
    <w:p w14:paraId="00FF6E22" w14:textId="77777777" w:rsidR="00DC3B99" w:rsidRPr="00040F78" w:rsidRDefault="00000000">
      <w:pPr>
        <w:spacing w:before="120" w:after="80"/>
        <w:rPr>
          <w:lang w:val="pt-BR"/>
        </w:rPr>
      </w:pPr>
      <w:r w:rsidRPr="00040F78">
        <w:rPr>
          <w:b/>
          <w:lang w:val="pt-BR"/>
        </w:rPr>
        <w:t>Resumo</w:t>
      </w:r>
    </w:p>
    <w:p w14:paraId="6230BFF4" w14:textId="620D8930" w:rsidR="00DC3B99" w:rsidRPr="00040F78" w:rsidRDefault="00000000">
      <w:pPr>
        <w:rPr>
          <w:lang w:val="pt-BR"/>
        </w:rPr>
      </w:pPr>
      <w:r w:rsidRPr="00040F78">
        <w:rPr>
          <w:lang w:val="pt-BR"/>
        </w:rPr>
        <w:t>Este trabalho apresenta o percurso metodológico e psicométrico d</w:t>
      </w:r>
      <w:r w:rsidR="00956104">
        <w:rPr>
          <w:lang w:val="pt-BR"/>
        </w:rPr>
        <w:t>a medida de proficiência das</w:t>
      </w:r>
      <w:r w:rsidRPr="00040F78">
        <w:rPr>
          <w:lang w:val="pt-BR"/>
        </w:rPr>
        <w:t xml:space="preserve"> Habilidades Gerais </w:t>
      </w:r>
      <w:r w:rsidR="00040F78" w:rsidRPr="00040F78">
        <w:rPr>
          <w:lang w:val="pt-BR"/>
        </w:rPr>
        <w:t xml:space="preserve">e Específicas </w:t>
      </w:r>
      <w:r w:rsidRPr="00040F78">
        <w:rPr>
          <w:lang w:val="pt-BR"/>
        </w:rPr>
        <w:t>da avaliação piloto da Educação Profissional e Tecnológica (EPT) de 202</w:t>
      </w:r>
      <w:r w:rsidR="00040F78">
        <w:rPr>
          <w:lang w:val="pt-BR"/>
        </w:rPr>
        <w:t>5</w:t>
      </w:r>
      <w:r w:rsidRPr="00040F78">
        <w:rPr>
          <w:lang w:val="pt-BR"/>
        </w:rPr>
        <w:t xml:space="preserve">. A amostra contemplou </w:t>
      </w:r>
      <w:r w:rsidR="00FB264D" w:rsidRPr="00FB264D">
        <w:rPr>
          <w:lang w:val="pt-BR"/>
        </w:rPr>
        <w:t>16</w:t>
      </w:r>
      <w:r w:rsidR="00FB264D">
        <w:rPr>
          <w:lang w:val="pt-BR"/>
        </w:rPr>
        <w:t>.</w:t>
      </w:r>
      <w:r w:rsidR="00FB264D" w:rsidRPr="00FB264D">
        <w:rPr>
          <w:lang w:val="pt-BR"/>
        </w:rPr>
        <w:t>278</w:t>
      </w:r>
      <w:r w:rsidR="00FB264D">
        <w:rPr>
          <w:lang w:val="pt-BR"/>
        </w:rPr>
        <w:t xml:space="preserve"> </w:t>
      </w:r>
      <w:r w:rsidRPr="00040F78">
        <w:rPr>
          <w:lang w:val="pt-BR"/>
        </w:rPr>
        <w:t xml:space="preserve">estudantes de </w:t>
      </w:r>
      <w:r w:rsidR="00040F78">
        <w:rPr>
          <w:lang w:val="pt-BR"/>
        </w:rPr>
        <w:t>dez</w:t>
      </w:r>
      <w:r w:rsidRPr="00040F78">
        <w:rPr>
          <w:lang w:val="pt-BR"/>
        </w:rPr>
        <w:t xml:space="preserve"> cursos técnicos</w:t>
      </w:r>
      <w:r w:rsidR="00776445">
        <w:rPr>
          <w:lang w:val="pt-BR"/>
        </w:rPr>
        <w:t>,</w:t>
      </w:r>
      <w:r w:rsidRPr="00040F78">
        <w:rPr>
          <w:lang w:val="pt-BR"/>
        </w:rPr>
        <w:t xml:space="preserve"> submetidos a cadernos de prova </w:t>
      </w:r>
      <w:r w:rsidR="00EB2643">
        <w:rPr>
          <w:lang w:val="pt-BR"/>
        </w:rPr>
        <w:t>com</w:t>
      </w:r>
      <w:r w:rsidRPr="00040F78">
        <w:rPr>
          <w:lang w:val="pt-BR"/>
        </w:rPr>
        <w:t xml:space="preserve"> design de blocos incompletos</w:t>
      </w:r>
      <w:r w:rsidR="00235C5E">
        <w:rPr>
          <w:lang w:val="pt-BR"/>
        </w:rPr>
        <w:t>, itens gerais e específicos</w:t>
      </w:r>
      <w:r w:rsidRPr="00040F78">
        <w:rPr>
          <w:lang w:val="pt-BR"/>
        </w:rPr>
        <w:t xml:space="preserve">. Utilizou-se uma rotina de validação </w:t>
      </w:r>
      <w:r w:rsidR="00EB2643">
        <w:rPr>
          <w:lang w:val="pt-BR"/>
        </w:rPr>
        <w:t>híbrida</w:t>
      </w:r>
      <w:r w:rsidR="000146D5">
        <w:rPr>
          <w:lang w:val="pt-BR"/>
        </w:rPr>
        <w:t xml:space="preserve"> </w:t>
      </w:r>
      <w:r w:rsidR="00717A38">
        <w:rPr>
          <w:lang w:val="pt-BR"/>
        </w:rPr>
        <w:t xml:space="preserve">com iterações </w:t>
      </w:r>
      <w:r w:rsidR="000146D5">
        <w:rPr>
          <w:lang w:val="pt-BR"/>
        </w:rPr>
        <w:t xml:space="preserve">por exclusão de itens, </w:t>
      </w:r>
      <w:r w:rsidRPr="00040F78">
        <w:rPr>
          <w:lang w:val="pt-BR"/>
        </w:rPr>
        <w:t>acoplada ao modelo 1PL</w:t>
      </w:r>
      <w:r w:rsidR="00956104">
        <w:rPr>
          <w:lang w:val="pt-BR"/>
        </w:rPr>
        <w:t xml:space="preserve"> da TRI</w:t>
      </w:r>
      <w:r w:rsidRPr="00040F78">
        <w:rPr>
          <w:lang w:val="pt-BR"/>
        </w:rPr>
        <w:t xml:space="preserve"> para calcular o índice de discriminação clássico (D) </w:t>
      </w:r>
      <w:r w:rsidR="000146D5">
        <w:rPr>
          <w:lang w:val="pt-BR"/>
        </w:rPr>
        <w:t>sem a influência do item analisado (</w:t>
      </w:r>
      <w:r w:rsidR="00344354">
        <w:rPr>
          <w:lang w:val="pt-BR"/>
        </w:rPr>
        <w:t>todo-resto</w:t>
      </w:r>
      <w:r w:rsidR="000146D5">
        <w:rPr>
          <w:lang w:val="pt-BR"/>
        </w:rPr>
        <w:t>)</w:t>
      </w:r>
      <w:r w:rsidRPr="00040F78">
        <w:rPr>
          <w:lang w:val="pt-BR"/>
        </w:rPr>
        <w:t xml:space="preserve">. A premissa de discriminação constante do modelo </w:t>
      </w:r>
      <w:r w:rsidR="00344354">
        <w:rPr>
          <w:lang w:val="pt-BR"/>
        </w:rPr>
        <w:t>1</w:t>
      </w:r>
      <w:r w:rsidRPr="00040F78">
        <w:rPr>
          <w:lang w:val="pt-BR"/>
        </w:rPr>
        <w:t>PL foi rejeitada empiricamente</w:t>
      </w:r>
      <w:r w:rsidR="00956104">
        <w:rPr>
          <w:lang w:val="pt-BR"/>
        </w:rPr>
        <w:t xml:space="preserve"> e confirmada</w:t>
      </w:r>
      <w:r w:rsidRPr="00040F78">
        <w:rPr>
          <w:lang w:val="pt-BR"/>
        </w:rPr>
        <w:t xml:space="preserve"> pelas cargas fatoriais distintas obtidas na Análise Fatorial de Informação Completa (FIFA). A transição para os modelos 2PL e 3PL revelou que o mesmo escore bruto resulta em proficiências (</w:t>
      </w:r>
      <m:oMath>
        <m:r>
          <w:rPr>
            <w:rFonts w:ascii="Cambria Math" w:hAnsi="Cambria Math"/>
            <w:lang w:val="pt-BR"/>
          </w:rPr>
          <m:t>θ</m:t>
        </m:r>
      </m:oMath>
      <w:r w:rsidRPr="00040F78">
        <w:rPr>
          <w:lang w:val="pt-BR"/>
        </w:rPr>
        <w:t xml:space="preserve">) heterogêneas. O modelo 3PL demonstrou-se superior ao </w:t>
      </w:r>
      <w:r w:rsidR="00776445">
        <w:rPr>
          <w:lang w:val="pt-BR"/>
        </w:rPr>
        <w:t>mensurar</w:t>
      </w:r>
      <w:r w:rsidR="00956104">
        <w:rPr>
          <w:lang w:val="pt-BR"/>
        </w:rPr>
        <w:t>,</w:t>
      </w:r>
      <w:r w:rsidRPr="00040F78">
        <w:rPr>
          <w:lang w:val="pt-BR"/>
        </w:rPr>
        <w:t xml:space="preserve"> </w:t>
      </w:r>
      <w:r w:rsidR="00956104">
        <w:rPr>
          <w:lang w:val="pt-BR"/>
        </w:rPr>
        <w:t xml:space="preserve">além da discriminação, </w:t>
      </w:r>
      <w:r w:rsidRPr="00040F78">
        <w:rPr>
          <w:lang w:val="pt-BR"/>
        </w:rPr>
        <w:t xml:space="preserve">o impacto do acerto casual, consolidando uma avaliação </w:t>
      </w:r>
      <w:r w:rsidR="00344354">
        <w:rPr>
          <w:lang w:val="pt-BR"/>
        </w:rPr>
        <w:t xml:space="preserve">mais </w:t>
      </w:r>
      <w:r w:rsidRPr="00040F78">
        <w:rPr>
          <w:lang w:val="pt-BR"/>
        </w:rPr>
        <w:t xml:space="preserve">fidedigna </w:t>
      </w:r>
      <w:r w:rsidR="000346BD">
        <w:rPr>
          <w:lang w:val="pt-BR"/>
        </w:rPr>
        <w:t>à</w:t>
      </w:r>
      <w:r w:rsidRPr="00040F78">
        <w:rPr>
          <w:lang w:val="pt-BR"/>
        </w:rPr>
        <w:t xml:space="preserve"> EPT.</w:t>
      </w:r>
    </w:p>
    <w:p w14:paraId="0340D6ED" w14:textId="1BFDC75A" w:rsidR="00DC3B99" w:rsidRDefault="00000000">
      <w:pPr>
        <w:spacing w:after="360"/>
        <w:rPr>
          <w:lang w:val="pt-BR"/>
        </w:rPr>
      </w:pPr>
      <w:r w:rsidRPr="00040F78">
        <w:rPr>
          <w:b/>
          <w:lang w:val="pt-BR"/>
        </w:rPr>
        <w:t xml:space="preserve">Palavras-chave: </w:t>
      </w:r>
      <w:r w:rsidRPr="00040F78">
        <w:rPr>
          <w:lang w:val="pt-BR"/>
        </w:rPr>
        <w:t>Teoria da Resposta ao Item; Educação Profissional; Discriminação de Itens; Acerto Casual.</w:t>
      </w:r>
    </w:p>
    <w:p w14:paraId="4EBA8BA5" w14:textId="77777777" w:rsidR="00695BA1" w:rsidRDefault="00695BA1">
      <w:pPr>
        <w:spacing w:after="200" w:line="276" w:lineRule="auto"/>
        <w:jc w:val="left"/>
        <w:rPr>
          <w:lang w:val="pt-BR"/>
        </w:rPr>
        <w:sectPr w:rsidR="00695BA1" w:rsidSect="00034616">
          <w:headerReference w:type="default" r:id="rId8"/>
          <w:footerReference w:type="default" r:id="rId9"/>
          <w:pgSz w:w="11906" w:h="16838"/>
          <w:pgMar w:top="1701" w:right="1134" w:bottom="1134" w:left="1701" w:header="720" w:footer="720" w:gutter="0"/>
          <w:cols w:space="720"/>
          <w:docGrid w:linePitch="360"/>
        </w:sectPr>
      </w:pPr>
    </w:p>
    <w:p w14:paraId="6981F486" w14:textId="77777777" w:rsidR="00DC3B99" w:rsidRPr="00040F78" w:rsidRDefault="00000000">
      <w:pPr>
        <w:pStyle w:val="Ttulo1"/>
        <w:rPr>
          <w:lang w:val="pt-BR"/>
        </w:rPr>
      </w:pPr>
      <w:r w:rsidRPr="00040F78">
        <w:rPr>
          <w:lang w:val="pt-BR"/>
        </w:rPr>
        <w:lastRenderedPageBreak/>
        <w:t>Introdução</w:t>
      </w:r>
    </w:p>
    <w:p w14:paraId="398E9BE3" w14:textId="73383104" w:rsidR="00DC3B99" w:rsidRPr="00040F78" w:rsidRDefault="00000000">
      <w:pPr>
        <w:ind w:firstLine="709"/>
        <w:rPr>
          <w:lang w:val="pt-BR"/>
        </w:rPr>
      </w:pPr>
      <w:r w:rsidRPr="00040F78">
        <w:rPr>
          <w:lang w:val="pt-BR"/>
        </w:rPr>
        <w:t>A Educação Profissional e Tecnológica (EPT) no Brasil tem passado por expressivas transformações nas últimas décadas, impulsionada pela expansão das políticas públicas federais (como o Pronatec e o Novo Ensino Médio) e pela institucionalização de sistemas de acompanhamento estatístico, a exemplo da Plataforma Nilo Peçanha (PNP)</w:t>
      </w:r>
      <w:r w:rsidR="00312B5F">
        <w:rPr>
          <w:lang w:val="pt-BR"/>
        </w:rPr>
        <w:t xml:space="preserve"> (BRASIL, 2024)</w:t>
      </w:r>
      <w:r w:rsidRPr="00040F78">
        <w:rPr>
          <w:lang w:val="pt-BR"/>
        </w:rPr>
        <w:t>. Contudo, historicamente, a modalidade carece de uma cultura consolidada de avaliação padronizada em larga escala</w:t>
      </w:r>
      <w:r w:rsidR="00776445">
        <w:rPr>
          <w:lang w:val="pt-BR"/>
        </w:rPr>
        <w:t>,</w:t>
      </w:r>
      <w:r w:rsidRPr="00040F78">
        <w:rPr>
          <w:lang w:val="pt-BR"/>
        </w:rPr>
        <w:t xml:space="preserve"> que seja capaz de capturar suas especificidades formativas (</w:t>
      </w:r>
      <w:r w:rsidR="00776445">
        <w:rPr>
          <w:lang w:val="pt-BR"/>
        </w:rPr>
        <w:t>MORAES</w:t>
      </w:r>
      <w:r w:rsidRPr="00040F78">
        <w:rPr>
          <w:lang w:val="pt-BR"/>
        </w:rPr>
        <w:t xml:space="preserve"> </w:t>
      </w:r>
      <w:r w:rsidRPr="00344354">
        <w:rPr>
          <w:i/>
          <w:iCs/>
          <w:lang w:val="pt-BR"/>
        </w:rPr>
        <w:t>et al.</w:t>
      </w:r>
      <w:r w:rsidRPr="00040F78">
        <w:rPr>
          <w:lang w:val="pt-BR"/>
        </w:rPr>
        <w:t>, 2020).</w:t>
      </w:r>
    </w:p>
    <w:p w14:paraId="2EFF30D4" w14:textId="75B6E6CD" w:rsidR="00DC3B99" w:rsidRPr="00040F78" w:rsidRDefault="00000000">
      <w:pPr>
        <w:ind w:firstLine="709"/>
        <w:rPr>
          <w:lang w:val="pt-BR"/>
        </w:rPr>
      </w:pPr>
      <w:r w:rsidRPr="00040F78">
        <w:rPr>
          <w:lang w:val="pt-BR"/>
        </w:rPr>
        <w:t>Diferentemente do ensino médio regular, de caráter predominantemente propedêutico, a EPT exige a mensuração do "saber-fazer", isto é, a integração entre as competências gerais teóricas e as habilidades técnicas aplicadas</w:t>
      </w:r>
      <w:r w:rsidR="00B92E45">
        <w:rPr>
          <w:lang w:val="pt-BR"/>
        </w:rPr>
        <w:t xml:space="preserve"> </w:t>
      </w:r>
      <w:r w:rsidR="00B92E45" w:rsidRPr="00B92E45">
        <w:rPr>
          <w:lang w:val="pt-BR"/>
        </w:rPr>
        <w:t>(LE BOTERF, 2003</w:t>
      </w:r>
      <w:r w:rsidR="00B92E45">
        <w:rPr>
          <w:lang w:val="pt-BR"/>
        </w:rPr>
        <w:t>)</w:t>
      </w:r>
      <w:r w:rsidRPr="00040F78">
        <w:rPr>
          <w:lang w:val="pt-BR"/>
        </w:rPr>
        <w:t xml:space="preserve">. Desenvolver avaliações robustas para este segmento impõe desafios psicométricos </w:t>
      </w:r>
      <w:r w:rsidR="00776445">
        <w:rPr>
          <w:lang w:val="pt-BR"/>
        </w:rPr>
        <w:t xml:space="preserve">com maior </w:t>
      </w:r>
      <w:r w:rsidRPr="00040F78">
        <w:rPr>
          <w:lang w:val="pt-BR"/>
        </w:rPr>
        <w:t>complex</w:t>
      </w:r>
      <w:r w:rsidR="00776445">
        <w:rPr>
          <w:lang w:val="pt-BR"/>
        </w:rPr>
        <w:t>idade</w:t>
      </w:r>
      <w:r w:rsidR="00A64797">
        <w:rPr>
          <w:lang w:val="pt-BR"/>
        </w:rPr>
        <w:t xml:space="preserve"> (</w:t>
      </w:r>
      <w:r w:rsidR="00A64797" w:rsidRPr="00A64797">
        <w:rPr>
          <w:lang w:val="pt-BR"/>
        </w:rPr>
        <w:t>KORB</w:t>
      </w:r>
      <w:r w:rsidR="00A64797">
        <w:rPr>
          <w:lang w:val="pt-BR"/>
        </w:rPr>
        <w:t>, 2019)</w:t>
      </w:r>
      <w:r w:rsidRPr="00040F78">
        <w:rPr>
          <w:lang w:val="pt-BR"/>
        </w:rPr>
        <w:t>. A Teoria Clássica dos Testes (TCT), embora de fácil comunicação pedagógica, mostra-se limitada diante da aplicação de múltiplos cadernos</w:t>
      </w:r>
      <w:r w:rsidR="00E25AA0">
        <w:rPr>
          <w:lang w:val="pt-BR"/>
        </w:rPr>
        <w:t>, com diferentes dificuldades,</w:t>
      </w:r>
      <w:r w:rsidRPr="00040F78">
        <w:rPr>
          <w:lang w:val="pt-BR"/>
        </w:rPr>
        <w:t xml:space="preserve"> e na ponderação do peso específico de cada item. Este trabalho propõe uma metodologia integrada de calibração e análise de escalas para o componente de Habilidades Gerais </w:t>
      </w:r>
      <w:r w:rsidR="00E25AA0">
        <w:rPr>
          <w:lang w:val="pt-BR"/>
        </w:rPr>
        <w:t xml:space="preserve">e Específicas </w:t>
      </w:r>
      <w:r w:rsidRPr="00040F78">
        <w:rPr>
          <w:lang w:val="pt-BR"/>
        </w:rPr>
        <w:t>da avaliação piloto da EPT de 202</w:t>
      </w:r>
      <w:r w:rsidR="00E25AA0">
        <w:rPr>
          <w:lang w:val="pt-BR"/>
        </w:rPr>
        <w:t>5</w:t>
      </w:r>
      <w:r w:rsidR="00B260EA">
        <w:rPr>
          <w:lang w:val="pt-BR"/>
        </w:rPr>
        <w:t xml:space="preserve"> aplicada pelo </w:t>
      </w:r>
      <w:r w:rsidR="00B92E45" w:rsidRPr="00B92E45">
        <w:rPr>
          <w:lang w:val="pt-BR"/>
        </w:rPr>
        <w:t xml:space="preserve">Instituto Nacional de Estudos e Pesquisas Educacionais Anísio Teixeira </w:t>
      </w:r>
      <w:r w:rsidR="00E9192C" w:rsidRPr="00E9192C">
        <w:rPr>
          <w:lang w:val="pt-BR"/>
        </w:rPr>
        <w:t xml:space="preserve">vinculado ao Ministério da Educação </w:t>
      </w:r>
      <w:r w:rsidR="00B92E45">
        <w:rPr>
          <w:lang w:val="pt-BR"/>
        </w:rPr>
        <w:t>(</w:t>
      </w:r>
      <w:r w:rsidR="00B260EA">
        <w:rPr>
          <w:lang w:val="pt-BR"/>
        </w:rPr>
        <w:t>INEP</w:t>
      </w:r>
      <w:r w:rsidR="00E9192C">
        <w:rPr>
          <w:lang w:val="pt-BR"/>
        </w:rPr>
        <w:t>/MEC</w:t>
      </w:r>
      <w:r w:rsidR="00B92E45">
        <w:rPr>
          <w:lang w:val="pt-BR"/>
        </w:rPr>
        <w:t>)</w:t>
      </w:r>
      <w:r w:rsidRPr="00040F78">
        <w:rPr>
          <w:lang w:val="pt-BR"/>
        </w:rPr>
        <w:t xml:space="preserve">, comparando as modelagens clássicas e modernas de mensuração educacional </w:t>
      </w:r>
      <w:r w:rsidR="00E25AA0" w:rsidRPr="00E25AA0">
        <w:rPr>
          <w:lang w:val="pt-BR"/>
        </w:rPr>
        <w:t>(ANDRADE, TAVARES e VALLE, 2000)</w:t>
      </w:r>
      <w:r w:rsidRPr="00040F78">
        <w:rPr>
          <w:lang w:val="pt-BR"/>
        </w:rPr>
        <w:t>.</w:t>
      </w:r>
    </w:p>
    <w:p w14:paraId="0F00F4EF" w14:textId="77777777" w:rsidR="00DC3B99" w:rsidRPr="00040F78" w:rsidRDefault="00000000">
      <w:pPr>
        <w:pStyle w:val="Ttulo1"/>
        <w:rPr>
          <w:lang w:val="pt-BR"/>
        </w:rPr>
      </w:pPr>
      <w:r w:rsidRPr="00040F78">
        <w:rPr>
          <w:lang w:val="pt-BR"/>
        </w:rPr>
        <w:t>Objetivos</w:t>
      </w:r>
    </w:p>
    <w:p w14:paraId="0A3294FB" w14:textId="77777777" w:rsidR="00A54740" w:rsidRDefault="00000000" w:rsidP="00A54740">
      <w:pPr>
        <w:ind w:firstLine="709"/>
        <w:rPr>
          <w:lang w:val="pt-BR"/>
        </w:rPr>
      </w:pPr>
      <w:r w:rsidRPr="00040F78">
        <w:rPr>
          <w:lang w:val="pt-BR"/>
        </w:rPr>
        <w:t xml:space="preserve">O objetivo geral deste estudo é avaliar e propor o modelo psicométrico da Teoria da Resposta ao Item (TRI) mais adequado para a estimação da proficiência dos estudantes de EPT a partir dos dados do </w:t>
      </w:r>
      <w:r w:rsidR="00776445">
        <w:rPr>
          <w:lang w:val="pt-BR"/>
        </w:rPr>
        <w:t>teste piloto</w:t>
      </w:r>
      <w:r w:rsidRPr="00040F78">
        <w:rPr>
          <w:lang w:val="pt-BR"/>
        </w:rPr>
        <w:t xml:space="preserve"> de 202</w:t>
      </w:r>
      <w:r w:rsidR="00776445">
        <w:rPr>
          <w:lang w:val="pt-BR"/>
        </w:rPr>
        <w:t>5</w:t>
      </w:r>
      <w:r w:rsidRPr="00040F78">
        <w:rPr>
          <w:lang w:val="pt-BR"/>
        </w:rPr>
        <w:t>.</w:t>
      </w:r>
    </w:p>
    <w:p w14:paraId="36DAC7A8" w14:textId="11E49B9D" w:rsidR="00DC3B99" w:rsidRPr="00040F78" w:rsidRDefault="00000000" w:rsidP="00A54740">
      <w:pPr>
        <w:ind w:firstLine="709"/>
        <w:rPr>
          <w:lang w:val="pt-BR"/>
        </w:rPr>
      </w:pPr>
      <w:r w:rsidRPr="00040F78">
        <w:rPr>
          <w:lang w:val="pt-BR"/>
        </w:rPr>
        <w:t>Os objetivos específicos compreendem:</w:t>
      </w:r>
    </w:p>
    <w:p w14:paraId="022A37B9" w14:textId="35E18EBF" w:rsidR="00DC3B99" w:rsidRPr="00040F78" w:rsidRDefault="00000000">
      <w:pPr>
        <w:spacing w:after="80"/>
        <w:ind w:left="709" w:hanging="283"/>
        <w:rPr>
          <w:lang w:val="pt-BR"/>
        </w:rPr>
      </w:pPr>
      <w:r w:rsidRPr="00040F78">
        <w:rPr>
          <w:b/>
          <w:lang w:val="pt-BR"/>
        </w:rPr>
        <w:t xml:space="preserve">1. </w:t>
      </w:r>
      <w:r w:rsidRPr="00040F78">
        <w:rPr>
          <w:lang w:val="pt-BR"/>
        </w:rPr>
        <w:t xml:space="preserve">Analisar as propriedades clássicas e a variação empírica do índice de discriminação dos itens gerais utilizando uma rotina de </w:t>
      </w:r>
      <w:r w:rsidR="00B92E45" w:rsidRPr="00040F78">
        <w:rPr>
          <w:lang w:val="pt-BR"/>
        </w:rPr>
        <w:t xml:space="preserve">validação </w:t>
      </w:r>
      <w:r w:rsidR="00B92E45">
        <w:rPr>
          <w:lang w:val="pt-BR"/>
        </w:rPr>
        <w:t>cruzada com iterações por exclusão de itens</w:t>
      </w:r>
      <w:r w:rsidRPr="00040F78">
        <w:rPr>
          <w:lang w:val="pt-BR"/>
        </w:rPr>
        <w:t>;</w:t>
      </w:r>
    </w:p>
    <w:p w14:paraId="28A876D2" w14:textId="0FF44F64" w:rsidR="00DC3B99" w:rsidRPr="00040F78" w:rsidRDefault="00000000">
      <w:pPr>
        <w:spacing w:after="80"/>
        <w:ind w:left="709" w:hanging="283"/>
        <w:rPr>
          <w:lang w:val="pt-BR"/>
        </w:rPr>
      </w:pPr>
      <w:r w:rsidRPr="00040F78">
        <w:rPr>
          <w:b/>
          <w:lang w:val="pt-BR"/>
        </w:rPr>
        <w:t xml:space="preserve">2. </w:t>
      </w:r>
      <w:r w:rsidRPr="00040F78">
        <w:rPr>
          <w:lang w:val="pt-BR"/>
        </w:rPr>
        <w:t>Investigar as limitações estatísticas do modelo logístico de 1 parâmetro (1PL) frente à heterogeneidade dos dados do teste;</w:t>
      </w:r>
    </w:p>
    <w:p w14:paraId="61E31C1F" w14:textId="58024B8A" w:rsidR="00DC3B99" w:rsidRPr="00040F78" w:rsidRDefault="00000000">
      <w:pPr>
        <w:spacing w:after="80"/>
        <w:ind w:left="709" w:hanging="283"/>
        <w:rPr>
          <w:lang w:val="pt-BR"/>
        </w:rPr>
      </w:pPr>
      <w:r w:rsidRPr="00040F78">
        <w:rPr>
          <w:b/>
          <w:lang w:val="pt-BR"/>
        </w:rPr>
        <w:lastRenderedPageBreak/>
        <w:t xml:space="preserve">3. </w:t>
      </w:r>
      <w:r w:rsidRPr="00040F78">
        <w:rPr>
          <w:lang w:val="pt-BR"/>
        </w:rPr>
        <w:t xml:space="preserve">Comparar o ajuste e o comportamento das estimativas de habilidade </w:t>
      </w:r>
      <w:r w:rsidR="00B92E45" w:rsidRPr="00040F78">
        <w:rPr>
          <w:lang w:val="pt-BR"/>
        </w:rPr>
        <w:t>(</w:t>
      </w:r>
      <m:oMath>
        <m:r>
          <w:rPr>
            <w:rFonts w:ascii="Cambria Math" w:hAnsi="Cambria Math"/>
            <w:lang w:val="pt-BR"/>
          </w:rPr>
          <m:t>θ</m:t>
        </m:r>
      </m:oMath>
      <w:r w:rsidR="00B92E45" w:rsidRPr="00040F78">
        <w:rPr>
          <w:lang w:val="pt-BR"/>
        </w:rPr>
        <w:t xml:space="preserve">) </w:t>
      </w:r>
      <w:r w:rsidRPr="00040F78">
        <w:rPr>
          <w:lang w:val="pt-BR"/>
        </w:rPr>
        <w:t>sob os modelos logísticos de 2 e 3 parâmetros (2PL e 3PL), avaliando o impacto do parâmetro de acerto casual (chute) nas estimativas finais de proficiência.</w:t>
      </w:r>
    </w:p>
    <w:p w14:paraId="795EBB45" w14:textId="77777777" w:rsidR="00DC3B99" w:rsidRPr="00040F78" w:rsidRDefault="00000000">
      <w:pPr>
        <w:pStyle w:val="Ttulo1"/>
        <w:rPr>
          <w:lang w:val="pt-BR"/>
        </w:rPr>
      </w:pPr>
      <w:r w:rsidRPr="00040F78">
        <w:rPr>
          <w:lang w:val="pt-BR"/>
        </w:rPr>
        <w:t>Metodologia</w:t>
      </w:r>
    </w:p>
    <w:p w14:paraId="42434A8A" w14:textId="20565D1F" w:rsidR="00DC3B99" w:rsidRDefault="00000000">
      <w:pPr>
        <w:ind w:firstLine="709"/>
        <w:rPr>
          <w:lang w:val="pt-BR"/>
        </w:rPr>
      </w:pPr>
      <w:r w:rsidRPr="00040F78">
        <w:rPr>
          <w:lang w:val="pt-BR"/>
        </w:rPr>
        <w:t xml:space="preserve">O estudo analisou </w:t>
      </w:r>
      <w:r w:rsidR="00895530">
        <w:rPr>
          <w:lang w:val="pt-BR"/>
        </w:rPr>
        <w:t xml:space="preserve">as </w:t>
      </w:r>
      <w:r w:rsidRPr="00040F78">
        <w:rPr>
          <w:lang w:val="pt-BR"/>
        </w:rPr>
        <w:t xml:space="preserve">Habilidades Gerais </w:t>
      </w:r>
      <w:r w:rsidR="00895530">
        <w:rPr>
          <w:lang w:val="pt-BR"/>
        </w:rPr>
        <w:t xml:space="preserve">e Específicas </w:t>
      </w:r>
      <w:r w:rsidRPr="00040F78">
        <w:rPr>
          <w:lang w:val="pt-BR"/>
        </w:rPr>
        <w:t>avalia</w:t>
      </w:r>
      <w:r w:rsidR="00895530">
        <w:rPr>
          <w:lang w:val="pt-BR"/>
        </w:rPr>
        <w:t>d</w:t>
      </w:r>
      <w:r w:rsidR="00AA4DDA">
        <w:rPr>
          <w:lang w:val="pt-BR"/>
        </w:rPr>
        <w:t>a</w:t>
      </w:r>
      <w:r w:rsidR="00895530">
        <w:rPr>
          <w:lang w:val="pt-BR"/>
        </w:rPr>
        <w:t xml:space="preserve">s no teste </w:t>
      </w:r>
      <w:r w:rsidRPr="00040F78">
        <w:rPr>
          <w:lang w:val="pt-BR"/>
        </w:rPr>
        <w:t>piloto da EPT em 202</w:t>
      </w:r>
      <w:r w:rsidR="00895530">
        <w:rPr>
          <w:lang w:val="pt-BR"/>
        </w:rPr>
        <w:t>5 por intermédio da</w:t>
      </w:r>
      <w:r w:rsidRPr="00040F78">
        <w:rPr>
          <w:lang w:val="pt-BR"/>
        </w:rPr>
        <w:t xml:space="preserve"> Plataforma Digital TAO </w:t>
      </w:r>
      <w:r w:rsidR="00895530">
        <w:rPr>
          <w:lang w:val="pt-BR"/>
        </w:rPr>
        <w:t xml:space="preserve">do </w:t>
      </w:r>
      <w:r w:rsidR="00E9192C" w:rsidRPr="00E9192C">
        <w:rPr>
          <w:lang w:val="pt-BR"/>
        </w:rPr>
        <w:t xml:space="preserve">Centro de Políticas Públicas e Avaliação da Educação da Universidade Federal de Juiz de Fora </w:t>
      </w:r>
      <w:r w:rsidR="00E9192C">
        <w:rPr>
          <w:lang w:val="pt-BR"/>
        </w:rPr>
        <w:t>(</w:t>
      </w:r>
      <w:r w:rsidR="00E9192C" w:rsidRPr="00E9192C">
        <w:rPr>
          <w:lang w:val="pt-BR"/>
        </w:rPr>
        <w:t>CAED</w:t>
      </w:r>
      <w:r w:rsidR="00E9192C">
        <w:rPr>
          <w:lang w:val="pt-BR"/>
        </w:rPr>
        <w:t>/</w:t>
      </w:r>
      <w:r w:rsidR="00E9192C" w:rsidRPr="00E9192C">
        <w:rPr>
          <w:lang w:val="pt-BR"/>
        </w:rPr>
        <w:t>UFJF</w:t>
      </w:r>
      <w:r w:rsidR="00E9192C">
        <w:rPr>
          <w:lang w:val="pt-BR"/>
        </w:rPr>
        <w:t>)</w:t>
      </w:r>
      <w:r w:rsidRPr="00040F78">
        <w:rPr>
          <w:lang w:val="pt-BR"/>
        </w:rPr>
        <w:t xml:space="preserve">. O banco de dados </w:t>
      </w:r>
      <w:r w:rsidR="00E9192C">
        <w:rPr>
          <w:lang w:val="pt-BR"/>
        </w:rPr>
        <w:t>representa os</w:t>
      </w:r>
      <w:r w:rsidRPr="00040F78">
        <w:rPr>
          <w:lang w:val="pt-BR"/>
        </w:rPr>
        <w:t xml:space="preserve"> </w:t>
      </w:r>
      <w:r w:rsidR="00E9192C">
        <w:rPr>
          <w:lang w:val="pt-BR"/>
        </w:rPr>
        <w:t xml:space="preserve">cadernos de prova compostos com </w:t>
      </w:r>
      <w:r w:rsidR="007C68AC">
        <w:rPr>
          <w:lang w:val="pt-BR"/>
        </w:rPr>
        <w:t>6</w:t>
      </w:r>
      <w:r w:rsidRPr="00040F78">
        <w:rPr>
          <w:lang w:val="pt-BR"/>
        </w:rPr>
        <w:t xml:space="preserve"> itens de conhecimentos gerais </w:t>
      </w:r>
      <w:r w:rsidR="00E9192C">
        <w:rPr>
          <w:lang w:val="pt-BR"/>
        </w:rPr>
        <w:t xml:space="preserve">e 26 itens específicos </w:t>
      </w:r>
      <w:r w:rsidRPr="00040F78">
        <w:rPr>
          <w:lang w:val="pt-BR"/>
        </w:rPr>
        <w:t xml:space="preserve">aplicados sob um delineamento de blocos incompletos (BI) em </w:t>
      </w:r>
      <w:r w:rsidR="00E9192C">
        <w:rPr>
          <w:lang w:val="pt-BR"/>
        </w:rPr>
        <w:t>dez</w:t>
      </w:r>
      <w:r w:rsidRPr="00040F78">
        <w:rPr>
          <w:lang w:val="pt-BR"/>
        </w:rPr>
        <w:t xml:space="preserve"> cursos técnicos: Administração, Agropecuária, </w:t>
      </w:r>
      <w:r w:rsidR="00E9192C">
        <w:rPr>
          <w:lang w:val="pt-BR"/>
        </w:rPr>
        <w:t xml:space="preserve">Desenvolvimento de Sistemas, </w:t>
      </w:r>
      <w:r w:rsidRPr="00040F78">
        <w:rPr>
          <w:lang w:val="pt-BR"/>
        </w:rPr>
        <w:t xml:space="preserve">Edificações, Eletromecânica, </w:t>
      </w:r>
      <w:r w:rsidR="00E9192C" w:rsidRPr="00040F78">
        <w:rPr>
          <w:lang w:val="pt-BR"/>
        </w:rPr>
        <w:t>Eletro</w:t>
      </w:r>
      <w:r w:rsidR="00E9192C">
        <w:rPr>
          <w:lang w:val="pt-BR"/>
        </w:rPr>
        <w:t xml:space="preserve">técnica, </w:t>
      </w:r>
      <w:r w:rsidRPr="00040F78">
        <w:rPr>
          <w:lang w:val="pt-BR"/>
        </w:rPr>
        <w:t>Enfermagem, Informátic</w:t>
      </w:r>
      <w:r w:rsidR="00E9192C">
        <w:rPr>
          <w:lang w:val="pt-BR"/>
        </w:rPr>
        <w:t>a, Química e Segurança do Trabalho</w:t>
      </w:r>
      <w:r w:rsidR="005274CC">
        <w:rPr>
          <w:lang w:val="pt-BR"/>
        </w:rPr>
        <w:t xml:space="preserve">, que juntos totalizam uma </w:t>
      </w:r>
      <w:r w:rsidR="005274CC" w:rsidRPr="00040F78">
        <w:rPr>
          <w:lang w:val="pt-BR"/>
        </w:rPr>
        <w:t xml:space="preserve">amostra </w:t>
      </w:r>
      <w:r w:rsidR="005274CC">
        <w:rPr>
          <w:lang w:val="pt-BR"/>
        </w:rPr>
        <w:t>de</w:t>
      </w:r>
      <w:r w:rsidR="005274CC" w:rsidRPr="00040F78">
        <w:rPr>
          <w:lang w:val="pt-BR"/>
        </w:rPr>
        <w:t xml:space="preserve"> </w:t>
      </w:r>
      <w:r w:rsidR="005274CC" w:rsidRPr="00FB264D">
        <w:rPr>
          <w:lang w:val="pt-BR"/>
        </w:rPr>
        <w:t>16</w:t>
      </w:r>
      <w:r w:rsidR="005274CC">
        <w:rPr>
          <w:lang w:val="pt-BR"/>
        </w:rPr>
        <w:t>.</w:t>
      </w:r>
      <w:r w:rsidR="005274CC" w:rsidRPr="00FB264D">
        <w:rPr>
          <w:lang w:val="pt-BR"/>
        </w:rPr>
        <w:t>278</w:t>
      </w:r>
      <w:r w:rsidR="005274CC">
        <w:rPr>
          <w:lang w:val="pt-BR"/>
        </w:rPr>
        <w:t xml:space="preserve"> </w:t>
      </w:r>
      <w:r w:rsidR="005274CC" w:rsidRPr="00040F78">
        <w:rPr>
          <w:lang w:val="pt-BR"/>
        </w:rPr>
        <w:t>estudantes</w:t>
      </w:r>
      <w:r w:rsidRPr="00040F78">
        <w:rPr>
          <w:lang w:val="pt-BR"/>
        </w:rPr>
        <w:t xml:space="preserve">. Cada curso contou com 6 tipos de cadernos rotacionados em 6 blocos, contendo </w:t>
      </w:r>
      <w:r w:rsidR="007C68AC">
        <w:rPr>
          <w:lang w:val="pt-BR"/>
        </w:rPr>
        <w:t>6</w:t>
      </w:r>
      <w:r w:rsidRPr="00040F78">
        <w:rPr>
          <w:lang w:val="pt-BR"/>
        </w:rPr>
        <w:t xml:space="preserve"> itens </w:t>
      </w:r>
      <w:r w:rsidR="00957206">
        <w:rPr>
          <w:lang w:val="pt-BR"/>
        </w:rPr>
        <w:t xml:space="preserve">Gerais </w:t>
      </w:r>
      <w:r w:rsidRPr="00040F78">
        <w:rPr>
          <w:lang w:val="pt-BR"/>
        </w:rPr>
        <w:t>por caderno</w:t>
      </w:r>
      <w:r w:rsidR="000C16AF">
        <w:rPr>
          <w:lang w:val="pt-BR"/>
        </w:rPr>
        <w:t xml:space="preserve">, compostos com 2 </w:t>
      </w:r>
      <w:r w:rsidR="00973410">
        <w:rPr>
          <w:lang w:val="pt-BR"/>
        </w:rPr>
        <w:t>B</w:t>
      </w:r>
      <w:r w:rsidR="000C16AF">
        <w:rPr>
          <w:lang w:val="pt-BR"/>
        </w:rPr>
        <w:t xml:space="preserve">locos </w:t>
      </w:r>
      <w:r w:rsidR="00973410">
        <w:rPr>
          <w:lang w:val="pt-BR"/>
        </w:rPr>
        <w:t>Gerais (</w:t>
      </w:r>
      <w:proofErr w:type="spellStart"/>
      <w:r w:rsidR="00973410">
        <w:rPr>
          <w:lang w:val="pt-BR"/>
        </w:rPr>
        <w:t>bg</w:t>
      </w:r>
      <w:proofErr w:type="spellEnd"/>
      <w:r w:rsidR="00973410">
        <w:rPr>
          <w:lang w:val="pt-BR"/>
        </w:rPr>
        <w:t xml:space="preserve">) </w:t>
      </w:r>
      <w:r w:rsidR="000C16AF">
        <w:rPr>
          <w:lang w:val="pt-BR"/>
        </w:rPr>
        <w:t>com 3 itens cada,</w:t>
      </w:r>
      <w:r w:rsidRPr="00040F78">
        <w:rPr>
          <w:lang w:val="pt-BR"/>
        </w:rPr>
        <w:t xml:space="preserve"> </w:t>
      </w:r>
      <w:r w:rsidR="00173855">
        <w:rPr>
          <w:lang w:val="pt-BR"/>
        </w:rPr>
        <w:t xml:space="preserve">totalizando 18 itens Gerais. Já para os </w:t>
      </w:r>
      <w:r w:rsidR="00957206" w:rsidRPr="00040F78">
        <w:rPr>
          <w:lang w:val="pt-BR"/>
        </w:rPr>
        <w:t xml:space="preserve">itens </w:t>
      </w:r>
      <w:r w:rsidR="00957206">
        <w:rPr>
          <w:lang w:val="pt-BR"/>
        </w:rPr>
        <w:t>Específicos</w:t>
      </w:r>
      <w:r w:rsidR="00A64797">
        <w:rPr>
          <w:lang w:val="pt-BR"/>
        </w:rPr>
        <w:t xml:space="preserve">, </w:t>
      </w:r>
      <w:r w:rsidR="00173855">
        <w:rPr>
          <w:lang w:val="pt-BR"/>
        </w:rPr>
        <w:t>os cadernos possuem 26</w:t>
      </w:r>
      <w:r w:rsidR="00173855" w:rsidRPr="00040F78">
        <w:rPr>
          <w:lang w:val="pt-BR"/>
        </w:rPr>
        <w:t xml:space="preserve"> </w:t>
      </w:r>
      <w:r w:rsidR="00173855">
        <w:rPr>
          <w:lang w:val="pt-BR"/>
        </w:rPr>
        <w:t xml:space="preserve">itens, </w:t>
      </w:r>
      <w:r w:rsidR="00A64797">
        <w:rPr>
          <w:lang w:val="pt-BR"/>
        </w:rPr>
        <w:t xml:space="preserve">compostos por 2 </w:t>
      </w:r>
      <w:r w:rsidR="00973410">
        <w:rPr>
          <w:lang w:val="pt-BR"/>
        </w:rPr>
        <w:t>B</w:t>
      </w:r>
      <w:r w:rsidR="00A64797">
        <w:rPr>
          <w:lang w:val="pt-BR"/>
        </w:rPr>
        <w:t xml:space="preserve">locos </w:t>
      </w:r>
      <w:r w:rsidR="00973410">
        <w:rPr>
          <w:lang w:val="pt-BR"/>
        </w:rPr>
        <w:t>Específicos (</w:t>
      </w:r>
      <w:proofErr w:type="spellStart"/>
      <w:r w:rsidR="00973410">
        <w:rPr>
          <w:lang w:val="pt-BR"/>
        </w:rPr>
        <w:t>be</w:t>
      </w:r>
      <w:proofErr w:type="spellEnd"/>
      <w:r w:rsidR="00973410">
        <w:rPr>
          <w:lang w:val="pt-BR"/>
        </w:rPr>
        <w:t xml:space="preserve">) </w:t>
      </w:r>
      <w:r w:rsidR="00A64797">
        <w:rPr>
          <w:lang w:val="pt-BR"/>
        </w:rPr>
        <w:t>de 13 itens com as especificidades de cada curso</w:t>
      </w:r>
      <w:r w:rsidR="00173855">
        <w:rPr>
          <w:lang w:val="pt-BR"/>
        </w:rPr>
        <w:t>, que totalizam 78 itens</w:t>
      </w:r>
      <w:r w:rsidRPr="00040F78">
        <w:rPr>
          <w:lang w:val="pt-BR"/>
        </w:rPr>
        <w:t>.</w:t>
      </w:r>
      <w:r w:rsidR="00741C6D">
        <w:rPr>
          <w:lang w:val="pt-BR"/>
        </w:rPr>
        <w:t xml:space="preserve"> No </w:t>
      </w:r>
      <w:r w:rsidR="000C16AF">
        <w:rPr>
          <w:lang w:val="pt-BR"/>
        </w:rPr>
        <w:fldChar w:fldCharType="begin"/>
      </w:r>
      <w:r w:rsidR="000C16AF">
        <w:rPr>
          <w:lang w:val="pt-BR"/>
        </w:rPr>
        <w:instrText xml:space="preserve"> REF Quadro \h </w:instrText>
      </w:r>
      <w:r w:rsidR="000C16AF">
        <w:rPr>
          <w:lang w:val="pt-BR"/>
        </w:rPr>
      </w:r>
      <w:r w:rsidR="000C16AF">
        <w:rPr>
          <w:lang w:val="pt-BR"/>
        </w:rPr>
        <w:fldChar w:fldCharType="separate"/>
      </w:r>
      <w:r w:rsidR="000C16AF" w:rsidRPr="00171B26">
        <w:t>Quadro</w:t>
      </w:r>
      <w:r w:rsidR="000C16AF">
        <w:t xml:space="preserve"> </w:t>
      </w:r>
      <w:r w:rsidR="000C16AF">
        <w:rPr>
          <w:noProof/>
        </w:rPr>
        <w:t>1</w:t>
      </w:r>
      <w:r w:rsidR="000C16AF">
        <w:rPr>
          <w:lang w:val="pt-BR"/>
        </w:rPr>
        <w:fldChar w:fldCharType="end"/>
      </w:r>
      <w:r w:rsidR="000C16AF">
        <w:rPr>
          <w:lang w:val="pt-BR"/>
        </w:rPr>
        <w:t xml:space="preserve"> </w:t>
      </w:r>
      <w:r w:rsidR="00741C6D">
        <w:rPr>
          <w:lang w:val="pt-BR"/>
        </w:rPr>
        <w:t xml:space="preserve">está o delineamento dos 6 cadernos </w:t>
      </w:r>
      <w:r w:rsidR="000C16AF">
        <w:rPr>
          <w:lang w:val="pt-BR"/>
        </w:rPr>
        <w:t xml:space="preserve">de prova </w:t>
      </w:r>
      <w:r w:rsidR="00741C6D">
        <w:rPr>
          <w:lang w:val="pt-BR"/>
        </w:rPr>
        <w:t>compostos por blocos incompletos</w:t>
      </w:r>
      <w:r w:rsidR="00173855">
        <w:rPr>
          <w:lang w:val="pt-BR"/>
        </w:rPr>
        <w:t xml:space="preserve">, forma </w:t>
      </w:r>
      <w:r w:rsidR="00973410">
        <w:rPr>
          <w:lang w:val="pt-BR"/>
        </w:rPr>
        <w:t>de</w:t>
      </w:r>
      <w:r w:rsidR="00173855">
        <w:rPr>
          <w:lang w:val="pt-BR"/>
        </w:rPr>
        <w:t xml:space="preserve"> distribu</w:t>
      </w:r>
      <w:r w:rsidR="00973410">
        <w:rPr>
          <w:lang w:val="pt-BR"/>
        </w:rPr>
        <w:t>ição</w:t>
      </w:r>
      <w:r w:rsidR="00173855">
        <w:rPr>
          <w:lang w:val="pt-BR"/>
        </w:rPr>
        <w:t xml:space="preserve"> </w:t>
      </w:r>
      <w:r w:rsidR="00973410">
        <w:rPr>
          <w:lang w:val="pt-BR"/>
        </w:rPr>
        <w:t>d</w:t>
      </w:r>
      <w:r w:rsidR="000C16AF">
        <w:rPr>
          <w:lang w:val="pt-BR"/>
        </w:rPr>
        <w:t xml:space="preserve">os </w:t>
      </w:r>
      <w:r w:rsidR="00173855">
        <w:rPr>
          <w:lang w:val="pt-BR"/>
        </w:rPr>
        <w:t xml:space="preserve">18 </w:t>
      </w:r>
      <w:r w:rsidR="000C16AF">
        <w:rPr>
          <w:lang w:val="pt-BR"/>
        </w:rPr>
        <w:t xml:space="preserve">itens Gerais e </w:t>
      </w:r>
      <w:r w:rsidR="00973410">
        <w:rPr>
          <w:lang w:val="pt-BR"/>
        </w:rPr>
        <w:t>d</w:t>
      </w:r>
      <w:r w:rsidR="00173855">
        <w:rPr>
          <w:lang w:val="pt-BR"/>
        </w:rPr>
        <w:t xml:space="preserve">os 78 </w:t>
      </w:r>
      <w:r w:rsidR="000C16AF">
        <w:rPr>
          <w:lang w:val="pt-BR"/>
        </w:rPr>
        <w:t>Específicos</w:t>
      </w:r>
      <w:r w:rsidR="00741C6D">
        <w:rPr>
          <w:lang w:val="pt-BR"/>
        </w:rPr>
        <w:t>.</w:t>
      </w:r>
    </w:p>
    <w:p w14:paraId="4CA0A3D1" w14:textId="0B0AE2FF" w:rsidR="00741C6D" w:rsidRPr="005048C2" w:rsidRDefault="00171B26" w:rsidP="00A54740">
      <w:pPr>
        <w:pStyle w:val="Legenda"/>
        <w:rPr>
          <w:lang w:val="en-US"/>
        </w:rPr>
      </w:pPr>
      <w:bookmarkStart w:id="0" w:name="Quadro"/>
      <w:r w:rsidRPr="00171B26">
        <w:t>Quadro</w:t>
      </w:r>
      <w:r>
        <w:t xml:space="preserve"> </w:t>
      </w:r>
      <w:r>
        <w:fldChar w:fldCharType="begin"/>
      </w:r>
      <w:r>
        <w:instrText xml:space="preserve"> SEQ Quadro \* ARABIC </w:instrText>
      </w:r>
      <w:r>
        <w:fldChar w:fldCharType="separate"/>
      </w:r>
      <w:r>
        <w:rPr>
          <w:noProof/>
        </w:rPr>
        <w:t>1</w:t>
      </w:r>
      <w:r>
        <w:fldChar w:fldCharType="end"/>
      </w:r>
      <w:bookmarkEnd w:id="0"/>
      <w:r w:rsidR="00741C6D" w:rsidRPr="005048C2">
        <w:rPr>
          <w:lang w:val="en-US"/>
        </w:rPr>
        <w:t xml:space="preserve">: </w:t>
      </w:r>
      <w:r>
        <w:t>Delineamento dos Cadernos de Prova</w:t>
      </w:r>
      <w:r w:rsidR="000C16AF">
        <w:t>.</w:t>
      </w:r>
    </w:p>
    <w:p w14:paraId="29C60302" w14:textId="54CE720E" w:rsidR="00741C6D" w:rsidRPr="00040F78" w:rsidRDefault="00741C6D" w:rsidP="005274CC">
      <w:pPr>
        <w:jc w:val="center"/>
        <w:rPr>
          <w:lang w:val="pt-BR"/>
        </w:rPr>
      </w:pPr>
      <w:r w:rsidRPr="00741C6D">
        <w:rPr>
          <w:noProof/>
        </w:rPr>
        <w:drawing>
          <wp:inline distT="0" distB="0" distL="0" distR="0" wp14:anchorId="6EF553B7" wp14:editId="5298DBC7">
            <wp:extent cx="3797300" cy="130129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2240" cy="1313264"/>
                    </a:xfrm>
                    <a:prstGeom prst="rect">
                      <a:avLst/>
                    </a:prstGeom>
                    <a:noFill/>
                    <a:ln>
                      <a:noFill/>
                    </a:ln>
                  </pic:spPr>
                </pic:pic>
              </a:graphicData>
            </a:graphic>
          </wp:inline>
        </w:drawing>
      </w:r>
    </w:p>
    <w:p w14:paraId="2A8F6F5E" w14:textId="427C5CAF" w:rsidR="00DC3B99" w:rsidRPr="00040F78" w:rsidRDefault="00000000">
      <w:pPr>
        <w:ind w:firstLine="709"/>
        <w:rPr>
          <w:lang w:val="pt-BR"/>
        </w:rPr>
      </w:pPr>
      <w:r w:rsidRPr="00040F78">
        <w:rPr>
          <w:lang w:val="pt-BR"/>
        </w:rPr>
        <w:t xml:space="preserve">O fluxo metodológico estruturou-se em três etapas computacionais principais utilizando a linguagem R e o pacote especializado </w:t>
      </w:r>
      <w:proofErr w:type="spellStart"/>
      <w:r w:rsidRPr="00040F78">
        <w:rPr>
          <w:lang w:val="pt-BR"/>
        </w:rPr>
        <w:t>mirt</w:t>
      </w:r>
      <w:proofErr w:type="spellEnd"/>
      <w:r w:rsidRPr="00040F78">
        <w:rPr>
          <w:lang w:val="pt-BR"/>
        </w:rPr>
        <w:t xml:space="preserve"> (</w:t>
      </w:r>
      <w:r w:rsidR="00A64797" w:rsidRPr="00040F78">
        <w:rPr>
          <w:lang w:val="pt-BR"/>
        </w:rPr>
        <w:t>CHALMERS</w:t>
      </w:r>
      <w:r w:rsidRPr="00040F78">
        <w:rPr>
          <w:lang w:val="pt-BR"/>
        </w:rPr>
        <w:t>, 2012)</w:t>
      </w:r>
      <w:r w:rsidR="00A2186C">
        <w:rPr>
          <w:lang w:val="pt-BR"/>
        </w:rPr>
        <w:t>. Para a execução desse fluxo metodológico</w:t>
      </w:r>
      <w:r w:rsidR="00A00EC3">
        <w:rPr>
          <w:lang w:val="pt-BR"/>
        </w:rPr>
        <w:t>,</w:t>
      </w:r>
      <w:r w:rsidR="00695BA1">
        <w:rPr>
          <w:lang w:val="pt-BR"/>
        </w:rPr>
        <w:t xml:space="preserve"> foram utilizados os </w:t>
      </w:r>
      <w:r w:rsidR="00173855">
        <w:rPr>
          <w:lang w:val="pt-BR"/>
        </w:rPr>
        <w:t>78</w:t>
      </w:r>
      <w:r w:rsidR="00A00EC3">
        <w:rPr>
          <w:lang w:val="pt-BR"/>
        </w:rPr>
        <w:t xml:space="preserve"> </w:t>
      </w:r>
      <w:r w:rsidR="00695BA1">
        <w:rPr>
          <w:lang w:val="pt-BR"/>
        </w:rPr>
        <w:t xml:space="preserve">Itens Gerais do curso técnico em Química para fins de </w:t>
      </w:r>
      <w:r w:rsidR="00A00EC3">
        <w:rPr>
          <w:lang w:val="pt-BR"/>
        </w:rPr>
        <w:t>atingimento dos objetivos específicos. Esses são os passos do fluxo metodológico proposto</w:t>
      </w:r>
      <w:r w:rsidRPr="00040F78">
        <w:rPr>
          <w:lang w:val="pt-BR"/>
        </w:rPr>
        <w:t>:</w:t>
      </w:r>
    </w:p>
    <w:p w14:paraId="5BB03DD1" w14:textId="4E1A663A" w:rsidR="00DC3B99" w:rsidRPr="00040F78" w:rsidRDefault="00000000" w:rsidP="00A54740">
      <w:pPr>
        <w:spacing w:after="80"/>
        <w:ind w:left="426" w:hanging="142"/>
        <w:rPr>
          <w:lang w:val="pt-BR"/>
        </w:rPr>
      </w:pPr>
      <w:r w:rsidRPr="00040F78">
        <w:rPr>
          <w:b/>
          <w:lang w:val="pt-BR"/>
        </w:rPr>
        <w:t xml:space="preserve">- Rotina </w:t>
      </w:r>
      <w:r w:rsidR="00092B22">
        <w:rPr>
          <w:b/>
          <w:lang w:val="pt-BR"/>
        </w:rPr>
        <w:t>h</w:t>
      </w:r>
      <w:r w:rsidRPr="00040F78">
        <w:rPr>
          <w:b/>
          <w:lang w:val="pt-BR"/>
        </w:rPr>
        <w:t xml:space="preserve">íbrida </w:t>
      </w:r>
      <w:r w:rsidR="00092B22">
        <w:rPr>
          <w:b/>
          <w:lang w:val="pt-BR"/>
        </w:rPr>
        <w:t xml:space="preserve">com </w:t>
      </w:r>
      <w:r w:rsidR="00092B22" w:rsidRPr="00092B22">
        <w:rPr>
          <w:b/>
          <w:lang w:val="pt-BR"/>
        </w:rPr>
        <w:t xml:space="preserve">iterações por exclusão de itens, acoplada ao modelo </w:t>
      </w:r>
      <w:r w:rsidR="00247222">
        <w:rPr>
          <w:b/>
          <w:lang w:val="pt-BR"/>
        </w:rPr>
        <w:t>1PL</w:t>
      </w:r>
      <w:r w:rsidRPr="00040F78">
        <w:rPr>
          <w:b/>
          <w:lang w:val="pt-BR"/>
        </w:rPr>
        <w:t xml:space="preserve"> para Discriminação: </w:t>
      </w:r>
      <w:r w:rsidR="00092B22">
        <w:rPr>
          <w:lang w:val="pt-BR"/>
        </w:rPr>
        <w:t>p</w:t>
      </w:r>
      <w:r w:rsidRPr="00040F78">
        <w:rPr>
          <w:lang w:val="pt-BR"/>
        </w:rPr>
        <w:t xml:space="preserve">ara eliminar o </w:t>
      </w:r>
      <w:r w:rsidR="00092B22">
        <w:rPr>
          <w:lang w:val="pt-BR"/>
        </w:rPr>
        <w:t>efeito</w:t>
      </w:r>
      <w:r w:rsidRPr="00040F78">
        <w:rPr>
          <w:lang w:val="pt-BR"/>
        </w:rPr>
        <w:t xml:space="preserve"> de autocorrelação parte-todo (no qual o item avaliado contamina a própria estimativa do traço latente), implementou-se um algoritmo iterativo de exclusão</w:t>
      </w:r>
      <w:r w:rsidR="00255397">
        <w:rPr>
          <w:lang w:val="pt-BR"/>
        </w:rPr>
        <w:t xml:space="preserve"> de item</w:t>
      </w:r>
      <w:r w:rsidRPr="00040F78">
        <w:rPr>
          <w:lang w:val="pt-BR"/>
        </w:rPr>
        <w:t xml:space="preserve">. Para cada item i dos </w:t>
      </w:r>
      <w:r w:rsidR="00A00EC3">
        <w:rPr>
          <w:lang w:val="pt-BR"/>
        </w:rPr>
        <w:t>18</w:t>
      </w:r>
      <w:r w:rsidRPr="00040F78">
        <w:rPr>
          <w:lang w:val="pt-BR"/>
        </w:rPr>
        <w:t xml:space="preserve"> analisados</w:t>
      </w:r>
      <w:r w:rsidR="00092B22">
        <w:rPr>
          <w:lang w:val="pt-BR"/>
        </w:rPr>
        <w:t xml:space="preserve"> </w:t>
      </w:r>
      <w:r w:rsidR="00A00EC3">
        <w:rPr>
          <w:lang w:val="pt-BR"/>
        </w:rPr>
        <w:t xml:space="preserve">do </w:t>
      </w:r>
      <w:r w:rsidR="00092B22">
        <w:rPr>
          <w:lang w:val="pt-BR"/>
        </w:rPr>
        <w:t>curso</w:t>
      </w:r>
      <w:r w:rsidR="00A00EC3">
        <w:rPr>
          <w:lang w:val="pt-BR"/>
        </w:rPr>
        <w:t xml:space="preserve"> em questão</w:t>
      </w:r>
      <w:r w:rsidRPr="00040F78">
        <w:rPr>
          <w:lang w:val="pt-BR"/>
        </w:rPr>
        <w:t xml:space="preserve">, o </w:t>
      </w:r>
      <w:r w:rsidRPr="00040F78">
        <w:rPr>
          <w:lang w:val="pt-BR"/>
        </w:rPr>
        <w:lastRenderedPageBreak/>
        <w:t xml:space="preserve">item foi ocultado e calibrou-se um modelo </w:t>
      </w:r>
      <w:r w:rsidR="00247222">
        <w:rPr>
          <w:lang w:val="pt-BR"/>
        </w:rPr>
        <w:t>de 1 parâmetro (1PL)</w:t>
      </w:r>
      <w:r w:rsidRPr="00040F78">
        <w:rPr>
          <w:lang w:val="pt-BR"/>
        </w:rPr>
        <w:t xml:space="preserve"> com os </w:t>
      </w:r>
      <w:r w:rsidR="00A00EC3">
        <w:rPr>
          <w:lang w:val="pt-BR"/>
        </w:rPr>
        <w:t>17</w:t>
      </w:r>
      <w:r w:rsidRPr="00040F78">
        <w:rPr>
          <w:lang w:val="pt-BR"/>
        </w:rPr>
        <w:t xml:space="preserve"> restantes para estimar as habilidades dos alunos. Segmentou-se a amostra em grupo inferior (</w:t>
      </w:r>
      <w:proofErr w:type="spellStart"/>
      <w:r w:rsidR="00092B22">
        <w:rPr>
          <w:lang w:val="pt-BR"/>
        </w:rPr>
        <w:t>Pinf</w:t>
      </w:r>
      <w:proofErr w:type="spellEnd"/>
      <w:r w:rsidR="00956104">
        <w:rPr>
          <w:lang w:val="pt-BR"/>
        </w:rPr>
        <w:t>)</w:t>
      </w:r>
      <w:r w:rsidR="00092B22">
        <w:rPr>
          <w:lang w:val="pt-BR"/>
        </w:rPr>
        <w:t xml:space="preserve"> com </w:t>
      </w:r>
      <w:r w:rsidR="00956104">
        <w:rPr>
          <w:lang w:val="pt-BR"/>
        </w:rPr>
        <w:t>os 27% percentil menores (</w:t>
      </w:r>
      <w:r w:rsidR="00247222">
        <w:rPr>
          <w:rFonts w:cs="Times New Roman"/>
          <w:lang w:val="pt-BR"/>
        </w:rPr>
        <w:t>≤</w:t>
      </w:r>
      <w:r w:rsidR="00247222">
        <w:rPr>
          <w:lang w:val="pt-BR"/>
        </w:rPr>
        <w:t xml:space="preserve"> </w:t>
      </w:r>
      <w:r w:rsidRPr="00040F78">
        <w:rPr>
          <w:lang w:val="pt-BR"/>
        </w:rPr>
        <w:t xml:space="preserve">P27) e superior </w:t>
      </w:r>
      <w:r w:rsidR="00956104">
        <w:rPr>
          <w:lang w:val="pt-BR"/>
        </w:rPr>
        <w:t>(</w:t>
      </w:r>
      <w:proofErr w:type="spellStart"/>
      <w:r w:rsidR="00956104">
        <w:rPr>
          <w:lang w:val="pt-BR"/>
        </w:rPr>
        <w:t>Psup</w:t>
      </w:r>
      <w:proofErr w:type="spellEnd"/>
      <w:r w:rsidR="00956104">
        <w:rPr>
          <w:lang w:val="pt-BR"/>
        </w:rPr>
        <w:t xml:space="preserve">) com os 27% percentil maiores </w:t>
      </w:r>
      <w:r w:rsidRPr="00040F78">
        <w:rPr>
          <w:lang w:val="pt-BR"/>
        </w:rPr>
        <w:t>(</w:t>
      </w:r>
      <w:r w:rsidR="00247222">
        <w:rPr>
          <w:rFonts w:cs="Times New Roman"/>
          <w:lang w:val="pt-BR"/>
        </w:rPr>
        <w:t>≥</w:t>
      </w:r>
      <w:r w:rsidRPr="00040F78">
        <w:rPr>
          <w:lang w:val="pt-BR"/>
        </w:rPr>
        <w:t xml:space="preserve"> P73) diretamente na escala latente </w:t>
      </w:r>
      <w:r w:rsidR="00092B22">
        <w:rPr>
          <w:lang w:val="pt-BR"/>
        </w:rPr>
        <w:t>de proficiência</w:t>
      </w:r>
      <w:r w:rsidRPr="00040F78">
        <w:rPr>
          <w:lang w:val="pt-BR"/>
        </w:rPr>
        <w:t xml:space="preserve">. O índice de discriminação corrigido foi obtido por D = </w:t>
      </w:r>
      <w:proofErr w:type="spellStart"/>
      <w:r w:rsidRPr="00040F78">
        <w:rPr>
          <w:lang w:val="pt-BR"/>
        </w:rPr>
        <w:t>Psup</w:t>
      </w:r>
      <w:proofErr w:type="spellEnd"/>
      <w:r w:rsidRPr="00040F78">
        <w:rPr>
          <w:lang w:val="pt-BR"/>
        </w:rPr>
        <w:t xml:space="preserve"> - </w:t>
      </w:r>
      <w:proofErr w:type="spellStart"/>
      <w:r w:rsidRPr="00040F78">
        <w:rPr>
          <w:lang w:val="pt-BR"/>
        </w:rPr>
        <w:t>Pinf</w:t>
      </w:r>
      <w:proofErr w:type="spellEnd"/>
      <w:r w:rsidRPr="00040F78">
        <w:rPr>
          <w:lang w:val="pt-BR"/>
        </w:rPr>
        <w:t>.</w:t>
      </w:r>
    </w:p>
    <w:p w14:paraId="13405E82" w14:textId="41A0E297" w:rsidR="00DC3B99" w:rsidRPr="00040F78" w:rsidRDefault="00000000" w:rsidP="00A54740">
      <w:pPr>
        <w:spacing w:after="80"/>
        <w:ind w:left="426" w:hanging="142"/>
        <w:rPr>
          <w:lang w:val="pt-BR"/>
        </w:rPr>
      </w:pPr>
      <w:r w:rsidRPr="00040F78">
        <w:rPr>
          <w:b/>
          <w:lang w:val="pt-BR"/>
        </w:rPr>
        <w:t xml:space="preserve">- Avaliação do Modelo 1PL e Análise FIFA: </w:t>
      </w:r>
      <w:r w:rsidR="00247222">
        <w:rPr>
          <w:lang w:val="pt-BR"/>
        </w:rPr>
        <w:t>a</w:t>
      </w:r>
      <w:r w:rsidRPr="00040F78">
        <w:rPr>
          <w:lang w:val="pt-BR"/>
        </w:rPr>
        <w:t>justou-se o modelo 1PL de linha de base e extraíram-se as cargas fatoriais de cada item por meio de uma Análise Fatorial de Informação Completa (FIFA) (</w:t>
      </w:r>
      <w:r w:rsidR="000346BD" w:rsidRPr="000346BD">
        <w:rPr>
          <w:lang w:val="pt-BR"/>
        </w:rPr>
        <w:t>MISLEVY</w:t>
      </w:r>
      <w:r w:rsidRPr="00040F78">
        <w:rPr>
          <w:lang w:val="pt-BR"/>
        </w:rPr>
        <w:t xml:space="preserve">, 1986). A dispersão entre o escore bruto de acertos e a proficiência latente </w:t>
      </w:r>
      <w:r w:rsidR="00247222" w:rsidRPr="00040F78">
        <w:rPr>
          <w:lang w:val="pt-BR"/>
        </w:rPr>
        <w:t>(</w:t>
      </w:r>
      <m:oMath>
        <m:r>
          <w:rPr>
            <w:rFonts w:ascii="Cambria Math" w:hAnsi="Cambria Math"/>
            <w:lang w:val="pt-BR"/>
          </w:rPr>
          <m:t>θ</m:t>
        </m:r>
      </m:oMath>
      <w:r w:rsidR="00247222" w:rsidRPr="00040F78">
        <w:rPr>
          <w:lang w:val="pt-BR"/>
        </w:rPr>
        <w:t>)</w:t>
      </w:r>
      <w:r w:rsidR="00255397">
        <w:rPr>
          <w:lang w:val="pt-BR"/>
        </w:rPr>
        <w:t>,</w:t>
      </w:r>
      <w:r w:rsidR="00247222" w:rsidRPr="00040F78">
        <w:rPr>
          <w:lang w:val="pt-BR"/>
        </w:rPr>
        <w:t xml:space="preserve"> </w:t>
      </w:r>
      <w:r w:rsidRPr="00040F78">
        <w:rPr>
          <w:lang w:val="pt-BR"/>
        </w:rPr>
        <w:t>estimada via EAP</w:t>
      </w:r>
      <w:r w:rsidR="00255397">
        <w:rPr>
          <w:lang w:val="pt-BR"/>
        </w:rPr>
        <w:t>,</w:t>
      </w:r>
      <w:r w:rsidRPr="00040F78">
        <w:rPr>
          <w:lang w:val="pt-BR"/>
        </w:rPr>
        <w:t xml:space="preserve"> foi avaliada para demonstrar as limitações de assumir </w:t>
      </w:r>
      <w:r w:rsidR="00AA4DDA">
        <w:rPr>
          <w:lang w:val="pt-BR"/>
        </w:rPr>
        <w:t xml:space="preserve">mesma </w:t>
      </w:r>
      <w:r w:rsidRPr="00040F78">
        <w:rPr>
          <w:lang w:val="pt-BR"/>
        </w:rPr>
        <w:t xml:space="preserve">discriminação </w:t>
      </w:r>
      <w:r w:rsidR="00AA4DDA">
        <w:rPr>
          <w:lang w:val="pt-BR"/>
        </w:rPr>
        <w:t>para todos os itens</w:t>
      </w:r>
      <w:r w:rsidRPr="00040F78">
        <w:rPr>
          <w:lang w:val="pt-BR"/>
        </w:rPr>
        <w:t>.</w:t>
      </w:r>
    </w:p>
    <w:p w14:paraId="27766410" w14:textId="414F8993" w:rsidR="00DC3B99" w:rsidRPr="00040F78" w:rsidRDefault="00000000" w:rsidP="00A54740">
      <w:pPr>
        <w:spacing w:after="80"/>
        <w:ind w:left="426" w:hanging="142"/>
        <w:rPr>
          <w:lang w:val="pt-BR"/>
        </w:rPr>
      </w:pPr>
      <w:r w:rsidRPr="00040F78">
        <w:rPr>
          <w:b/>
          <w:lang w:val="pt-BR"/>
        </w:rPr>
        <w:t xml:space="preserve">- Calibração Incremental (2PL e 3PL): </w:t>
      </w:r>
      <w:r w:rsidR="004C66A9">
        <w:rPr>
          <w:lang w:val="pt-BR"/>
        </w:rPr>
        <w:t>i</w:t>
      </w:r>
      <w:r w:rsidRPr="00040F78">
        <w:rPr>
          <w:lang w:val="pt-BR"/>
        </w:rPr>
        <w:t>ncorporou-se uma priori Log-Normal para estabilizar a discriminação no modelo 2PL. Efetuou-se a exclusão de itens problemáticos</w:t>
      </w:r>
      <w:r w:rsidR="004C66A9">
        <w:rPr>
          <w:lang w:val="pt-BR"/>
        </w:rPr>
        <w:t>, com base em critérios baseados n</w:t>
      </w:r>
      <w:r w:rsidR="00FB22BC">
        <w:rPr>
          <w:lang w:val="pt-BR"/>
        </w:rPr>
        <w:t>a</w:t>
      </w:r>
      <w:r w:rsidR="004C66A9">
        <w:rPr>
          <w:lang w:val="pt-BR"/>
        </w:rPr>
        <w:t xml:space="preserve">s </w:t>
      </w:r>
      <w:r w:rsidR="00FB22BC">
        <w:rPr>
          <w:lang w:val="pt-BR"/>
        </w:rPr>
        <w:t xml:space="preserve">estimativas dos </w:t>
      </w:r>
      <w:r w:rsidR="004C66A9">
        <w:rPr>
          <w:lang w:val="pt-BR"/>
        </w:rPr>
        <w:t>parâmetros</w:t>
      </w:r>
      <w:r w:rsidRPr="00040F78">
        <w:rPr>
          <w:lang w:val="pt-BR"/>
        </w:rPr>
        <w:t xml:space="preserve">, consolidando </w:t>
      </w:r>
      <w:r w:rsidR="004C66A9">
        <w:rPr>
          <w:lang w:val="pt-BR"/>
        </w:rPr>
        <w:t xml:space="preserve">somente </w:t>
      </w:r>
      <w:r w:rsidRPr="00040F78">
        <w:rPr>
          <w:lang w:val="pt-BR"/>
        </w:rPr>
        <w:t>itens válidos</w:t>
      </w:r>
      <w:r w:rsidR="004C66A9">
        <w:rPr>
          <w:lang w:val="pt-BR"/>
        </w:rPr>
        <w:t xml:space="preserve"> para cada curso</w:t>
      </w:r>
      <w:r w:rsidRPr="00040F78">
        <w:rPr>
          <w:lang w:val="pt-BR"/>
        </w:rPr>
        <w:t xml:space="preserve">. Em seguida, calibrou-se o modelo 3PL adicionando uma priori Normal na escala </w:t>
      </w:r>
      <w:proofErr w:type="spellStart"/>
      <w:r w:rsidR="004C66A9">
        <w:rPr>
          <w:lang w:val="pt-BR"/>
        </w:rPr>
        <w:t>L</w:t>
      </w:r>
      <w:r w:rsidRPr="00040F78">
        <w:rPr>
          <w:lang w:val="pt-BR"/>
        </w:rPr>
        <w:t>ogit</w:t>
      </w:r>
      <w:proofErr w:type="spellEnd"/>
      <w:r w:rsidRPr="00040F78">
        <w:rPr>
          <w:lang w:val="pt-BR"/>
        </w:rPr>
        <w:t xml:space="preserve"> para o parâmetro de </w:t>
      </w:r>
      <w:r w:rsidR="004C66A9">
        <w:rPr>
          <w:lang w:val="pt-BR"/>
        </w:rPr>
        <w:t xml:space="preserve">acerto casual </w:t>
      </w:r>
      <w:r w:rsidRPr="00040F78">
        <w:rPr>
          <w:lang w:val="pt-BR"/>
        </w:rPr>
        <w:t>(c), comparando o ajuste global dos modelos via testes formais de hipótese (ANOVA) e indicadores de informação (AIC e BIC).</w:t>
      </w:r>
    </w:p>
    <w:p w14:paraId="32F4BDCA" w14:textId="77777777" w:rsidR="00DC3B99" w:rsidRPr="00040F78" w:rsidRDefault="00000000">
      <w:pPr>
        <w:pStyle w:val="Ttulo1"/>
        <w:rPr>
          <w:lang w:val="pt-BR"/>
        </w:rPr>
      </w:pPr>
      <w:r w:rsidRPr="00040F78">
        <w:rPr>
          <w:lang w:val="pt-BR"/>
        </w:rPr>
        <w:t>Resultados e Discussão</w:t>
      </w:r>
    </w:p>
    <w:p w14:paraId="7221BCAE" w14:textId="73969BDD" w:rsidR="00DC3B99" w:rsidRDefault="00000000">
      <w:pPr>
        <w:ind w:firstLine="709"/>
        <w:rPr>
          <w:lang w:val="pt-BR"/>
        </w:rPr>
      </w:pPr>
      <w:r w:rsidRPr="008F6E13">
        <w:rPr>
          <w:lang w:val="pt-BR"/>
        </w:rPr>
        <w:t xml:space="preserve">A rotina de validação </w:t>
      </w:r>
      <w:r w:rsidR="00255397" w:rsidRPr="008F6E13">
        <w:rPr>
          <w:lang w:val="pt-BR"/>
        </w:rPr>
        <w:t xml:space="preserve">híbrida com iterações por exclusão de itens, usando a proficiência estimada a partir do modelo 1PL para calcular o índice de discriminação clássico (D) sem a influência do item analisado, </w:t>
      </w:r>
      <w:r w:rsidRPr="008F6E13">
        <w:rPr>
          <w:lang w:val="pt-BR"/>
        </w:rPr>
        <w:t xml:space="preserve">revelou que a discriminação dos itens </w:t>
      </w:r>
      <w:r w:rsidR="00255397" w:rsidRPr="008F6E13">
        <w:rPr>
          <w:lang w:val="pt-BR"/>
        </w:rPr>
        <w:t>varia</w:t>
      </w:r>
      <w:r w:rsidRPr="008F6E13">
        <w:rPr>
          <w:lang w:val="pt-BR"/>
        </w:rPr>
        <w:t xml:space="preserve"> </w:t>
      </w:r>
      <w:r w:rsidR="001F6B64" w:rsidRPr="008F6E13">
        <w:rPr>
          <w:lang w:val="pt-BR"/>
        </w:rPr>
        <w:t>mesmo em questões com a mesma dificuldade</w:t>
      </w:r>
      <w:r w:rsidRPr="008F6E13">
        <w:rPr>
          <w:lang w:val="pt-BR"/>
        </w:rPr>
        <w:t xml:space="preserve">, </w:t>
      </w:r>
      <w:r w:rsidR="001F6B64" w:rsidRPr="008F6E13">
        <w:rPr>
          <w:lang w:val="pt-BR"/>
        </w:rPr>
        <w:t xml:space="preserve">assim a </w:t>
      </w:r>
      <w:r w:rsidRPr="008F6E13">
        <w:rPr>
          <w:lang w:val="pt-BR"/>
        </w:rPr>
        <w:t xml:space="preserve">premissa de </w:t>
      </w:r>
      <w:r w:rsidR="006547D3">
        <w:rPr>
          <w:lang w:val="pt-BR"/>
        </w:rPr>
        <w:t>mesma discriminação para todos os itens no</w:t>
      </w:r>
      <w:r w:rsidR="006547D3" w:rsidRPr="008F6E13">
        <w:rPr>
          <w:lang w:val="pt-BR"/>
        </w:rPr>
        <w:t xml:space="preserve"> </w:t>
      </w:r>
      <w:r w:rsidRPr="008F6E13">
        <w:rPr>
          <w:lang w:val="pt-BR"/>
        </w:rPr>
        <w:t>modelo 1PL</w:t>
      </w:r>
      <w:r w:rsidR="001F6B64" w:rsidRPr="008F6E13">
        <w:rPr>
          <w:lang w:val="pt-BR"/>
        </w:rPr>
        <w:t xml:space="preserve"> não é sustentável</w:t>
      </w:r>
      <w:r w:rsidR="00733588">
        <w:rPr>
          <w:lang w:val="pt-BR"/>
        </w:rPr>
        <w:t xml:space="preserve">, conforme apresentado na </w:t>
      </w:r>
      <w:r w:rsidR="00733588">
        <w:rPr>
          <w:lang w:val="pt-BR"/>
        </w:rPr>
        <w:fldChar w:fldCharType="begin"/>
      </w:r>
      <w:r w:rsidR="00733588">
        <w:rPr>
          <w:lang w:val="pt-BR"/>
        </w:rPr>
        <w:instrText xml:space="preserve"> REF _Ref240750429 \h </w:instrText>
      </w:r>
      <w:r w:rsidR="00733588">
        <w:rPr>
          <w:lang w:val="pt-BR"/>
        </w:rPr>
      </w:r>
      <w:r w:rsidR="00733588">
        <w:rPr>
          <w:lang w:val="pt-BR"/>
        </w:rPr>
        <w:fldChar w:fldCharType="separate"/>
      </w:r>
      <w:proofErr w:type="spellStart"/>
      <w:r w:rsidR="00733588">
        <w:t>Tabela</w:t>
      </w:r>
      <w:proofErr w:type="spellEnd"/>
      <w:r w:rsidR="00733588">
        <w:t xml:space="preserve"> </w:t>
      </w:r>
      <w:r w:rsidR="00733588">
        <w:rPr>
          <w:noProof/>
        </w:rPr>
        <w:t>1</w:t>
      </w:r>
      <w:r w:rsidR="00733588">
        <w:rPr>
          <w:lang w:val="pt-BR"/>
        </w:rPr>
        <w:fldChar w:fldCharType="end"/>
      </w:r>
      <w:r w:rsidRPr="008F6E13">
        <w:rPr>
          <w:lang w:val="pt-BR"/>
        </w:rPr>
        <w:t>. Sob a modelagem d</w:t>
      </w:r>
      <w:r w:rsidR="001F6B64" w:rsidRPr="008F6E13">
        <w:rPr>
          <w:lang w:val="pt-BR"/>
        </w:rPr>
        <w:t xml:space="preserve">o </w:t>
      </w:r>
      <w:r w:rsidRPr="008F6E13">
        <w:rPr>
          <w:lang w:val="pt-BR"/>
        </w:rPr>
        <w:t>1PL, indivíduos com o mesmo número de acertos brutos receberam exatamente a mesma estimativa de proficiência</w:t>
      </w:r>
      <w:r w:rsidR="00F301AF" w:rsidRPr="008F6E13">
        <w:rPr>
          <w:lang w:val="pt-BR"/>
        </w:rPr>
        <w:t xml:space="preserve"> (</w:t>
      </w:r>
      <m:oMath>
        <m:r>
          <w:rPr>
            <w:rFonts w:ascii="Cambria Math" w:hAnsi="Cambria Math"/>
            <w:lang w:val="pt-BR"/>
          </w:rPr>
          <m:t>θ</m:t>
        </m:r>
      </m:oMath>
      <w:r w:rsidR="00F301AF" w:rsidRPr="008F6E13">
        <w:rPr>
          <w:lang w:val="pt-BR"/>
        </w:rPr>
        <w:t>)</w:t>
      </w:r>
      <w:r w:rsidRPr="008F6E13">
        <w:rPr>
          <w:lang w:val="pt-BR"/>
        </w:rPr>
        <w:t>, ignorando o peso discriminatório diferencial dos itens</w:t>
      </w:r>
      <w:r w:rsidR="00733588">
        <w:rPr>
          <w:lang w:val="pt-BR"/>
        </w:rPr>
        <w:t>.</w:t>
      </w:r>
    </w:p>
    <w:p w14:paraId="0DDF1626" w14:textId="65D12A81" w:rsidR="00733588" w:rsidRPr="005048C2" w:rsidRDefault="00733588" w:rsidP="00A54740">
      <w:pPr>
        <w:pStyle w:val="Legenda"/>
      </w:pPr>
      <w:bookmarkStart w:id="1" w:name="_Ref240750429"/>
      <w:r>
        <w:t xml:space="preserve">Tabela </w:t>
      </w:r>
      <w:r>
        <w:fldChar w:fldCharType="begin"/>
      </w:r>
      <w:r>
        <w:instrText xml:space="preserve"> SEQ Tabela \* ARABIC </w:instrText>
      </w:r>
      <w:r>
        <w:fldChar w:fldCharType="separate"/>
      </w:r>
      <w:r>
        <w:rPr>
          <w:noProof/>
        </w:rPr>
        <w:t>1</w:t>
      </w:r>
      <w:r>
        <w:fldChar w:fldCharType="end"/>
      </w:r>
      <w:bookmarkEnd w:id="1"/>
      <w:r w:rsidRPr="005048C2">
        <w:t xml:space="preserve">: </w:t>
      </w:r>
      <w:r>
        <w:t>Variação da Discriminação em função da Dificuldade dos Itens.</w:t>
      </w:r>
    </w:p>
    <w:tbl>
      <w:tblPr>
        <w:tblW w:w="6769" w:type="dxa"/>
        <w:jc w:val="center"/>
        <w:tblBorders>
          <w:top w:val="single" w:sz="4" w:space="0" w:color="000000"/>
          <w:bottom w:val="single" w:sz="4" w:space="0" w:color="000000"/>
          <w:insideH w:val="single" w:sz="4" w:space="0" w:color="000000"/>
        </w:tblBorders>
        <w:tblCellMar>
          <w:left w:w="70" w:type="dxa"/>
          <w:right w:w="70" w:type="dxa"/>
        </w:tblCellMar>
        <w:tblLook w:val="04A0" w:firstRow="1" w:lastRow="0" w:firstColumn="1" w:lastColumn="0" w:noHBand="0" w:noVBand="1"/>
      </w:tblPr>
      <w:tblGrid>
        <w:gridCol w:w="2489"/>
        <w:gridCol w:w="1020"/>
        <w:gridCol w:w="900"/>
        <w:gridCol w:w="1060"/>
        <w:gridCol w:w="1300"/>
      </w:tblGrid>
      <w:tr w:rsidR="00733588" w:rsidRPr="00A54740" w14:paraId="57149658" w14:textId="77777777" w:rsidTr="00D871E7">
        <w:trPr>
          <w:trHeight w:val="288"/>
          <w:jc w:val="center"/>
        </w:trPr>
        <w:tc>
          <w:tcPr>
            <w:tcW w:w="2489" w:type="dxa"/>
            <w:shd w:val="clear" w:color="auto" w:fill="000000" w:themeFill="text1"/>
            <w:noWrap/>
            <w:vAlign w:val="bottom"/>
            <w:hideMark/>
          </w:tcPr>
          <w:p w14:paraId="2C78AD71" w14:textId="77777777" w:rsidR="00733588" w:rsidRPr="00733588" w:rsidRDefault="00733588" w:rsidP="00633FAB">
            <w:pPr>
              <w:spacing w:after="0" w:line="240" w:lineRule="auto"/>
              <w:jc w:val="center"/>
              <w:rPr>
                <w:rFonts w:eastAsia="Times New Roman" w:cs="Times New Roman"/>
                <w:b/>
                <w:bCs/>
                <w:sz w:val="22"/>
                <w:lang w:val="pt-BR" w:eastAsia="pt-BR"/>
              </w:rPr>
            </w:pPr>
            <w:r w:rsidRPr="00733588">
              <w:rPr>
                <w:rFonts w:eastAsia="Times New Roman" w:cs="Times New Roman"/>
                <w:b/>
                <w:bCs/>
                <w:sz w:val="22"/>
                <w:lang w:val="pt-BR" w:eastAsia="pt-BR"/>
              </w:rPr>
              <w:t>Grupos do % Acerto</w:t>
            </w:r>
          </w:p>
        </w:tc>
        <w:tc>
          <w:tcPr>
            <w:tcW w:w="1020" w:type="dxa"/>
            <w:shd w:val="clear" w:color="auto" w:fill="000000" w:themeFill="text1"/>
            <w:noWrap/>
            <w:vAlign w:val="bottom"/>
            <w:hideMark/>
          </w:tcPr>
          <w:p w14:paraId="2CA28738" w14:textId="77777777" w:rsidR="00733588" w:rsidRPr="00733588" w:rsidRDefault="00733588" w:rsidP="00633FAB">
            <w:pPr>
              <w:spacing w:after="0" w:line="240" w:lineRule="auto"/>
              <w:jc w:val="center"/>
              <w:rPr>
                <w:rFonts w:eastAsia="Times New Roman" w:cs="Times New Roman"/>
                <w:b/>
                <w:bCs/>
                <w:sz w:val="22"/>
                <w:lang w:val="pt-BR" w:eastAsia="pt-BR"/>
              </w:rPr>
            </w:pPr>
            <w:r w:rsidRPr="00733588">
              <w:rPr>
                <w:rFonts w:eastAsia="Times New Roman" w:cs="Times New Roman"/>
                <w:b/>
                <w:bCs/>
                <w:sz w:val="22"/>
                <w:lang w:val="pt-BR" w:eastAsia="pt-BR"/>
              </w:rPr>
              <w:t>Mínimo</w:t>
            </w:r>
          </w:p>
        </w:tc>
        <w:tc>
          <w:tcPr>
            <w:tcW w:w="900" w:type="dxa"/>
            <w:shd w:val="clear" w:color="auto" w:fill="000000" w:themeFill="text1"/>
            <w:noWrap/>
            <w:vAlign w:val="bottom"/>
            <w:hideMark/>
          </w:tcPr>
          <w:p w14:paraId="722A278A" w14:textId="77777777" w:rsidR="00733588" w:rsidRPr="00733588" w:rsidRDefault="00733588" w:rsidP="00633FAB">
            <w:pPr>
              <w:spacing w:after="0" w:line="240" w:lineRule="auto"/>
              <w:jc w:val="center"/>
              <w:rPr>
                <w:rFonts w:eastAsia="Times New Roman" w:cs="Times New Roman"/>
                <w:b/>
                <w:bCs/>
                <w:sz w:val="22"/>
                <w:lang w:val="pt-BR" w:eastAsia="pt-BR"/>
              </w:rPr>
            </w:pPr>
            <w:r w:rsidRPr="00733588">
              <w:rPr>
                <w:rFonts w:eastAsia="Times New Roman" w:cs="Times New Roman"/>
                <w:b/>
                <w:bCs/>
                <w:sz w:val="22"/>
                <w:lang w:val="pt-BR" w:eastAsia="pt-BR"/>
              </w:rPr>
              <w:t>Média</w:t>
            </w:r>
          </w:p>
        </w:tc>
        <w:tc>
          <w:tcPr>
            <w:tcW w:w="1060" w:type="dxa"/>
            <w:shd w:val="clear" w:color="auto" w:fill="000000" w:themeFill="text1"/>
            <w:noWrap/>
            <w:vAlign w:val="bottom"/>
            <w:hideMark/>
          </w:tcPr>
          <w:p w14:paraId="563BBBD0" w14:textId="77777777" w:rsidR="00733588" w:rsidRPr="00733588" w:rsidRDefault="00733588" w:rsidP="00633FAB">
            <w:pPr>
              <w:spacing w:after="0" w:line="240" w:lineRule="auto"/>
              <w:jc w:val="center"/>
              <w:rPr>
                <w:rFonts w:eastAsia="Times New Roman" w:cs="Times New Roman"/>
                <w:b/>
                <w:bCs/>
                <w:sz w:val="22"/>
                <w:lang w:val="pt-BR" w:eastAsia="pt-BR"/>
              </w:rPr>
            </w:pPr>
            <w:r w:rsidRPr="00733588">
              <w:rPr>
                <w:rFonts w:eastAsia="Times New Roman" w:cs="Times New Roman"/>
                <w:b/>
                <w:bCs/>
                <w:sz w:val="22"/>
                <w:lang w:val="pt-BR" w:eastAsia="pt-BR"/>
              </w:rPr>
              <w:t>Máximo</w:t>
            </w:r>
          </w:p>
        </w:tc>
        <w:tc>
          <w:tcPr>
            <w:tcW w:w="1300" w:type="dxa"/>
            <w:shd w:val="clear" w:color="auto" w:fill="000000" w:themeFill="text1"/>
            <w:noWrap/>
            <w:vAlign w:val="bottom"/>
            <w:hideMark/>
          </w:tcPr>
          <w:p w14:paraId="4CA0FCF1" w14:textId="77777777" w:rsidR="00733588" w:rsidRPr="00733588" w:rsidRDefault="00733588" w:rsidP="00633FAB">
            <w:pPr>
              <w:spacing w:after="0" w:line="240" w:lineRule="auto"/>
              <w:jc w:val="center"/>
              <w:rPr>
                <w:rFonts w:eastAsia="Times New Roman" w:cs="Times New Roman"/>
                <w:b/>
                <w:bCs/>
                <w:sz w:val="22"/>
                <w:lang w:val="pt-BR" w:eastAsia="pt-BR"/>
              </w:rPr>
            </w:pPr>
            <w:r w:rsidRPr="00733588">
              <w:rPr>
                <w:rFonts w:eastAsia="Times New Roman" w:cs="Times New Roman"/>
                <w:b/>
                <w:bCs/>
                <w:sz w:val="22"/>
                <w:lang w:val="pt-BR" w:eastAsia="pt-BR"/>
              </w:rPr>
              <w:t>Amplitude</w:t>
            </w:r>
          </w:p>
        </w:tc>
      </w:tr>
      <w:tr w:rsidR="00733588" w:rsidRPr="00733588" w14:paraId="6E0B0416" w14:textId="77777777" w:rsidTr="00A54740">
        <w:trPr>
          <w:trHeight w:val="288"/>
          <w:jc w:val="center"/>
        </w:trPr>
        <w:tc>
          <w:tcPr>
            <w:tcW w:w="2489" w:type="dxa"/>
            <w:shd w:val="clear" w:color="auto" w:fill="auto"/>
            <w:noWrap/>
            <w:vAlign w:val="bottom"/>
            <w:hideMark/>
          </w:tcPr>
          <w:p w14:paraId="4BD8A448" w14:textId="2E479FBB" w:rsidR="00733588" w:rsidRPr="00733588" w:rsidRDefault="00733588" w:rsidP="00633FAB">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Muito Difícil [0-20] %</w:t>
            </w:r>
          </w:p>
        </w:tc>
        <w:tc>
          <w:tcPr>
            <w:tcW w:w="1020" w:type="dxa"/>
            <w:shd w:val="clear" w:color="auto" w:fill="auto"/>
            <w:noWrap/>
            <w:vAlign w:val="bottom"/>
            <w:hideMark/>
          </w:tcPr>
          <w:p w14:paraId="512330BA"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-0,044</w:t>
            </w:r>
          </w:p>
        </w:tc>
        <w:tc>
          <w:tcPr>
            <w:tcW w:w="900" w:type="dxa"/>
            <w:shd w:val="clear" w:color="auto" w:fill="auto"/>
            <w:noWrap/>
            <w:vAlign w:val="bottom"/>
            <w:hideMark/>
          </w:tcPr>
          <w:p w14:paraId="4E112FDA"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0,131</w:t>
            </w:r>
          </w:p>
        </w:tc>
        <w:tc>
          <w:tcPr>
            <w:tcW w:w="1060" w:type="dxa"/>
            <w:shd w:val="clear" w:color="auto" w:fill="auto"/>
            <w:noWrap/>
            <w:vAlign w:val="bottom"/>
            <w:hideMark/>
          </w:tcPr>
          <w:p w14:paraId="0465A7B3"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0,391</w:t>
            </w:r>
          </w:p>
        </w:tc>
        <w:tc>
          <w:tcPr>
            <w:tcW w:w="1300" w:type="dxa"/>
            <w:shd w:val="clear" w:color="auto" w:fill="auto"/>
            <w:noWrap/>
            <w:vAlign w:val="bottom"/>
            <w:hideMark/>
          </w:tcPr>
          <w:p w14:paraId="4ADF27E9"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0,435</w:t>
            </w:r>
          </w:p>
        </w:tc>
      </w:tr>
      <w:tr w:rsidR="00733588" w:rsidRPr="00733588" w14:paraId="46D06D33" w14:textId="77777777" w:rsidTr="00A54740">
        <w:trPr>
          <w:trHeight w:val="288"/>
          <w:jc w:val="center"/>
        </w:trPr>
        <w:tc>
          <w:tcPr>
            <w:tcW w:w="2489" w:type="dxa"/>
            <w:shd w:val="clear" w:color="auto" w:fill="auto"/>
            <w:noWrap/>
            <w:vAlign w:val="bottom"/>
            <w:hideMark/>
          </w:tcPr>
          <w:p w14:paraId="37A8B628" w14:textId="0CC789E6" w:rsidR="00733588" w:rsidRPr="00733588" w:rsidRDefault="00733588" w:rsidP="00633FAB">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Difícil ]20-40] %</w:t>
            </w:r>
          </w:p>
        </w:tc>
        <w:tc>
          <w:tcPr>
            <w:tcW w:w="1020" w:type="dxa"/>
            <w:shd w:val="clear" w:color="auto" w:fill="auto"/>
            <w:noWrap/>
            <w:vAlign w:val="bottom"/>
            <w:hideMark/>
          </w:tcPr>
          <w:p w14:paraId="5E60E13D"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-0,142</w:t>
            </w:r>
          </w:p>
        </w:tc>
        <w:tc>
          <w:tcPr>
            <w:tcW w:w="900" w:type="dxa"/>
            <w:shd w:val="clear" w:color="auto" w:fill="auto"/>
            <w:noWrap/>
            <w:vAlign w:val="bottom"/>
            <w:hideMark/>
          </w:tcPr>
          <w:p w14:paraId="45ADD0A7"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0,169</w:t>
            </w:r>
          </w:p>
        </w:tc>
        <w:tc>
          <w:tcPr>
            <w:tcW w:w="1060" w:type="dxa"/>
            <w:shd w:val="clear" w:color="auto" w:fill="auto"/>
            <w:noWrap/>
            <w:vAlign w:val="bottom"/>
            <w:hideMark/>
          </w:tcPr>
          <w:p w14:paraId="382A7B4C"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0,386</w:t>
            </w:r>
          </w:p>
        </w:tc>
        <w:tc>
          <w:tcPr>
            <w:tcW w:w="1300" w:type="dxa"/>
            <w:shd w:val="clear" w:color="auto" w:fill="auto"/>
            <w:noWrap/>
            <w:vAlign w:val="bottom"/>
            <w:hideMark/>
          </w:tcPr>
          <w:p w14:paraId="50C8EA46"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0,528</w:t>
            </w:r>
          </w:p>
        </w:tc>
      </w:tr>
      <w:tr w:rsidR="00733588" w:rsidRPr="00733588" w14:paraId="1F1C7912" w14:textId="77777777" w:rsidTr="00A54740">
        <w:trPr>
          <w:trHeight w:val="288"/>
          <w:jc w:val="center"/>
        </w:trPr>
        <w:tc>
          <w:tcPr>
            <w:tcW w:w="2489" w:type="dxa"/>
            <w:shd w:val="clear" w:color="auto" w:fill="auto"/>
            <w:noWrap/>
            <w:vAlign w:val="bottom"/>
            <w:hideMark/>
          </w:tcPr>
          <w:p w14:paraId="44FA1B56" w14:textId="5E020289" w:rsidR="00733588" w:rsidRPr="00733588" w:rsidRDefault="00733588" w:rsidP="00633FAB">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Médio ]40-60] %</w:t>
            </w:r>
          </w:p>
        </w:tc>
        <w:tc>
          <w:tcPr>
            <w:tcW w:w="1020" w:type="dxa"/>
            <w:shd w:val="clear" w:color="auto" w:fill="auto"/>
            <w:noWrap/>
            <w:vAlign w:val="bottom"/>
            <w:hideMark/>
          </w:tcPr>
          <w:p w14:paraId="49F79BF7"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0,134</w:t>
            </w:r>
          </w:p>
        </w:tc>
        <w:tc>
          <w:tcPr>
            <w:tcW w:w="900" w:type="dxa"/>
            <w:shd w:val="clear" w:color="auto" w:fill="auto"/>
            <w:noWrap/>
            <w:vAlign w:val="bottom"/>
            <w:hideMark/>
          </w:tcPr>
          <w:p w14:paraId="3B2737E2"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0,308</w:t>
            </w:r>
          </w:p>
        </w:tc>
        <w:tc>
          <w:tcPr>
            <w:tcW w:w="1060" w:type="dxa"/>
            <w:shd w:val="clear" w:color="auto" w:fill="auto"/>
            <w:noWrap/>
            <w:vAlign w:val="bottom"/>
            <w:hideMark/>
          </w:tcPr>
          <w:p w14:paraId="6A97BB2E"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0,489</w:t>
            </w:r>
          </w:p>
        </w:tc>
        <w:tc>
          <w:tcPr>
            <w:tcW w:w="1300" w:type="dxa"/>
            <w:shd w:val="clear" w:color="auto" w:fill="auto"/>
            <w:noWrap/>
            <w:vAlign w:val="bottom"/>
            <w:hideMark/>
          </w:tcPr>
          <w:p w14:paraId="59F4CAFF"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0,355</w:t>
            </w:r>
          </w:p>
        </w:tc>
      </w:tr>
      <w:tr w:rsidR="00733588" w:rsidRPr="00733588" w14:paraId="532163C0" w14:textId="77777777" w:rsidTr="00A54740">
        <w:trPr>
          <w:trHeight w:val="288"/>
          <w:jc w:val="center"/>
        </w:trPr>
        <w:tc>
          <w:tcPr>
            <w:tcW w:w="2489" w:type="dxa"/>
            <w:shd w:val="clear" w:color="auto" w:fill="auto"/>
            <w:noWrap/>
            <w:vAlign w:val="bottom"/>
            <w:hideMark/>
          </w:tcPr>
          <w:p w14:paraId="225D789D" w14:textId="0E2834A3" w:rsidR="00733588" w:rsidRPr="00733588" w:rsidRDefault="00733588" w:rsidP="00633FAB">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Fácil ]60-80] %</w:t>
            </w:r>
          </w:p>
        </w:tc>
        <w:tc>
          <w:tcPr>
            <w:tcW w:w="1020" w:type="dxa"/>
            <w:shd w:val="clear" w:color="auto" w:fill="auto"/>
            <w:noWrap/>
            <w:vAlign w:val="bottom"/>
            <w:hideMark/>
          </w:tcPr>
          <w:p w14:paraId="76E8E70A"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0,095</w:t>
            </w:r>
          </w:p>
        </w:tc>
        <w:tc>
          <w:tcPr>
            <w:tcW w:w="900" w:type="dxa"/>
            <w:shd w:val="clear" w:color="auto" w:fill="auto"/>
            <w:noWrap/>
            <w:vAlign w:val="bottom"/>
            <w:hideMark/>
          </w:tcPr>
          <w:p w14:paraId="5FF459D3" w14:textId="1CB019F8"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w:t>
            </w:r>
            <w:r w:rsidR="00633FAB" w:rsidRPr="00E2263D">
              <w:rPr>
                <w:rFonts w:eastAsia="Times New Roman" w:cs="Times New Roman"/>
                <w:color w:val="000000"/>
                <w:sz w:val="22"/>
                <w:lang w:val="pt-BR" w:eastAsia="pt-BR"/>
              </w:rPr>
              <w:t>00</w:t>
            </w:r>
          </w:p>
        </w:tc>
        <w:tc>
          <w:tcPr>
            <w:tcW w:w="1060" w:type="dxa"/>
            <w:shd w:val="clear" w:color="auto" w:fill="auto"/>
            <w:noWrap/>
            <w:vAlign w:val="bottom"/>
            <w:hideMark/>
          </w:tcPr>
          <w:p w14:paraId="3C26E2C6"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0,387</w:t>
            </w:r>
          </w:p>
        </w:tc>
        <w:tc>
          <w:tcPr>
            <w:tcW w:w="1300" w:type="dxa"/>
            <w:shd w:val="clear" w:color="auto" w:fill="auto"/>
            <w:noWrap/>
            <w:vAlign w:val="bottom"/>
            <w:hideMark/>
          </w:tcPr>
          <w:p w14:paraId="3AD687B8"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0,292</w:t>
            </w:r>
          </w:p>
        </w:tc>
      </w:tr>
      <w:tr w:rsidR="00733588" w:rsidRPr="00733588" w14:paraId="163E1309" w14:textId="77777777" w:rsidTr="00A54740">
        <w:trPr>
          <w:trHeight w:val="288"/>
          <w:jc w:val="center"/>
        </w:trPr>
        <w:tc>
          <w:tcPr>
            <w:tcW w:w="2489" w:type="dxa"/>
            <w:shd w:val="clear" w:color="auto" w:fill="auto"/>
            <w:noWrap/>
            <w:vAlign w:val="bottom"/>
            <w:hideMark/>
          </w:tcPr>
          <w:p w14:paraId="42FCA8A6" w14:textId="37781626" w:rsidR="00733588" w:rsidRPr="00733588" w:rsidRDefault="00733588" w:rsidP="00633FAB">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Muito Fácil [80-100] %</w:t>
            </w:r>
          </w:p>
        </w:tc>
        <w:tc>
          <w:tcPr>
            <w:tcW w:w="1020" w:type="dxa"/>
            <w:shd w:val="clear" w:color="auto" w:fill="auto"/>
            <w:noWrap/>
            <w:vAlign w:val="bottom"/>
            <w:hideMark/>
          </w:tcPr>
          <w:p w14:paraId="71DEB15B"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0,047</w:t>
            </w:r>
          </w:p>
        </w:tc>
        <w:tc>
          <w:tcPr>
            <w:tcW w:w="900" w:type="dxa"/>
            <w:shd w:val="clear" w:color="auto" w:fill="auto"/>
            <w:noWrap/>
            <w:vAlign w:val="bottom"/>
            <w:hideMark/>
          </w:tcPr>
          <w:p w14:paraId="0746F416"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0,187</w:t>
            </w:r>
          </w:p>
        </w:tc>
        <w:tc>
          <w:tcPr>
            <w:tcW w:w="1060" w:type="dxa"/>
            <w:shd w:val="clear" w:color="auto" w:fill="auto"/>
            <w:noWrap/>
            <w:vAlign w:val="bottom"/>
            <w:hideMark/>
          </w:tcPr>
          <w:p w14:paraId="480EA591" w14:textId="77777777"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0,337</w:t>
            </w:r>
          </w:p>
        </w:tc>
        <w:tc>
          <w:tcPr>
            <w:tcW w:w="1300" w:type="dxa"/>
            <w:shd w:val="clear" w:color="auto" w:fill="auto"/>
            <w:noWrap/>
            <w:vAlign w:val="bottom"/>
            <w:hideMark/>
          </w:tcPr>
          <w:p w14:paraId="74F280A4" w14:textId="2AE0F92A" w:rsidR="00733588" w:rsidRPr="00733588" w:rsidRDefault="00733588" w:rsidP="00733588">
            <w:pPr>
              <w:spacing w:after="0" w:line="240" w:lineRule="auto"/>
              <w:jc w:val="right"/>
              <w:rPr>
                <w:rFonts w:eastAsia="Times New Roman" w:cs="Times New Roman"/>
                <w:color w:val="000000"/>
                <w:sz w:val="22"/>
                <w:lang w:val="pt-BR" w:eastAsia="pt-BR"/>
              </w:rPr>
            </w:pPr>
            <w:r w:rsidRPr="00733588">
              <w:rPr>
                <w:rFonts w:eastAsia="Times New Roman" w:cs="Times New Roman"/>
                <w:color w:val="000000"/>
                <w:sz w:val="22"/>
                <w:lang w:val="pt-BR" w:eastAsia="pt-BR"/>
              </w:rPr>
              <w:t>0,29</w:t>
            </w:r>
            <w:r w:rsidR="00633FAB" w:rsidRPr="00E2263D">
              <w:rPr>
                <w:rFonts w:eastAsia="Times New Roman" w:cs="Times New Roman"/>
                <w:color w:val="000000"/>
                <w:sz w:val="22"/>
                <w:lang w:val="pt-BR" w:eastAsia="pt-BR"/>
              </w:rPr>
              <w:t>0</w:t>
            </w:r>
          </w:p>
        </w:tc>
      </w:tr>
      <w:tr w:rsidR="00733588" w:rsidRPr="00733588" w14:paraId="56BAA207" w14:textId="77777777" w:rsidTr="00D871E7">
        <w:trPr>
          <w:trHeight w:val="288"/>
          <w:jc w:val="center"/>
        </w:trPr>
        <w:tc>
          <w:tcPr>
            <w:tcW w:w="2489" w:type="dxa"/>
            <w:shd w:val="clear" w:color="auto" w:fill="F2F2F2" w:themeFill="background1" w:themeFillShade="F2"/>
            <w:noWrap/>
            <w:vAlign w:val="bottom"/>
            <w:hideMark/>
          </w:tcPr>
          <w:p w14:paraId="666CF2B2" w14:textId="77777777" w:rsidR="00733588" w:rsidRPr="00733588" w:rsidRDefault="00733588" w:rsidP="00633FAB">
            <w:pPr>
              <w:spacing w:after="0" w:line="240" w:lineRule="auto"/>
              <w:jc w:val="right"/>
              <w:rPr>
                <w:rFonts w:eastAsia="Times New Roman" w:cs="Times New Roman"/>
                <w:b/>
                <w:bCs/>
                <w:color w:val="000000"/>
                <w:sz w:val="22"/>
                <w:lang w:val="pt-BR" w:eastAsia="pt-BR"/>
              </w:rPr>
            </w:pPr>
            <w:r w:rsidRPr="00733588">
              <w:rPr>
                <w:rFonts w:eastAsia="Times New Roman" w:cs="Times New Roman"/>
                <w:b/>
                <w:bCs/>
                <w:color w:val="000000"/>
                <w:sz w:val="22"/>
                <w:lang w:val="pt-BR" w:eastAsia="pt-BR"/>
              </w:rPr>
              <w:t>Geral</w:t>
            </w:r>
          </w:p>
        </w:tc>
        <w:tc>
          <w:tcPr>
            <w:tcW w:w="1020" w:type="dxa"/>
            <w:shd w:val="clear" w:color="auto" w:fill="F2F2F2" w:themeFill="background1" w:themeFillShade="F2"/>
            <w:noWrap/>
            <w:vAlign w:val="bottom"/>
            <w:hideMark/>
          </w:tcPr>
          <w:p w14:paraId="7CA779DE" w14:textId="77777777" w:rsidR="00733588" w:rsidRPr="00733588" w:rsidRDefault="00733588" w:rsidP="00733588">
            <w:pPr>
              <w:spacing w:after="0" w:line="240" w:lineRule="auto"/>
              <w:jc w:val="right"/>
              <w:rPr>
                <w:rFonts w:eastAsia="Times New Roman" w:cs="Times New Roman"/>
                <w:b/>
                <w:bCs/>
                <w:color w:val="000000"/>
                <w:sz w:val="22"/>
                <w:lang w:val="pt-BR" w:eastAsia="pt-BR"/>
              </w:rPr>
            </w:pPr>
            <w:r w:rsidRPr="00733588">
              <w:rPr>
                <w:rFonts w:eastAsia="Times New Roman" w:cs="Times New Roman"/>
                <w:b/>
                <w:bCs/>
                <w:color w:val="000000"/>
                <w:sz w:val="22"/>
                <w:lang w:val="pt-BR" w:eastAsia="pt-BR"/>
              </w:rPr>
              <w:t>-0,142</w:t>
            </w:r>
          </w:p>
        </w:tc>
        <w:tc>
          <w:tcPr>
            <w:tcW w:w="900" w:type="dxa"/>
            <w:shd w:val="clear" w:color="auto" w:fill="F2F2F2" w:themeFill="background1" w:themeFillShade="F2"/>
            <w:noWrap/>
            <w:vAlign w:val="bottom"/>
            <w:hideMark/>
          </w:tcPr>
          <w:p w14:paraId="3FFB265F" w14:textId="77777777" w:rsidR="00733588" w:rsidRPr="00733588" w:rsidRDefault="00733588" w:rsidP="00733588">
            <w:pPr>
              <w:spacing w:after="0" w:line="240" w:lineRule="auto"/>
              <w:jc w:val="right"/>
              <w:rPr>
                <w:rFonts w:eastAsia="Times New Roman" w:cs="Times New Roman"/>
                <w:b/>
                <w:bCs/>
                <w:color w:val="000000"/>
                <w:sz w:val="22"/>
                <w:lang w:val="pt-BR" w:eastAsia="pt-BR"/>
              </w:rPr>
            </w:pPr>
            <w:r w:rsidRPr="00733588">
              <w:rPr>
                <w:rFonts w:eastAsia="Times New Roman" w:cs="Times New Roman"/>
                <w:b/>
                <w:bCs/>
                <w:color w:val="000000"/>
                <w:sz w:val="22"/>
                <w:lang w:val="pt-BR" w:eastAsia="pt-BR"/>
              </w:rPr>
              <w:t>0,214</w:t>
            </w:r>
          </w:p>
        </w:tc>
        <w:tc>
          <w:tcPr>
            <w:tcW w:w="1060" w:type="dxa"/>
            <w:shd w:val="clear" w:color="auto" w:fill="F2F2F2" w:themeFill="background1" w:themeFillShade="F2"/>
            <w:noWrap/>
            <w:vAlign w:val="bottom"/>
            <w:hideMark/>
          </w:tcPr>
          <w:p w14:paraId="20FBD392" w14:textId="77777777" w:rsidR="00733588" w:rsidRPr="00733588" w:rsidRDefault="00733588" w:rsidP="00733588">
            <w:pPr>
              <w:spacing w:after="0" w:line="240" w:lineRule="auto"/>
              <w:jc w:val="right"/>
              <w:rPr>
                <w:rFonts w:eastAsia="Times New Roman" w:cs="Times New Roman"/>
                <w:b/>
                <w:bCs/>
                <w:color w:val="000000"/>
                <w:sz w:val="22"/>
                <w:lang w:val="pt-BR" w:eastAsia="pt-BR"/>
              </w:rPr>
            </w:pPr>
            <w:r w:rsidRPr="00733588">
              <w:rPr>
                <w:rFonts w:eastAsia="Times New Roman" w:cs="Times New Roman"/>
                <w:b/>
                <w:bCs/>
                <w:color w:val="000000"/>
                <w:sz w:val="22"/>
                <w:lang w:val="pt-BR" w:eastAsia="pt-BR"/>
              </w:rPr>
              <w:t>0,489</w:t>
            </w:r>
          </w:p>
        </w:tc>
        <w:tc>
          <w:tcPr>
            <w:tcW w:w="1300" w:type="dxa"/>
            <w:shd w:val="clear" w:color="auto" w:fill="F2F2F2" w:themeFill="background1" w:themeFillShade="F2"/>
            <w:noWrap/>
            <w:vAlign w:val="bottom"/>
            <w:hideMark/>
          </w:tcPr>
          <w:p w14:paraId="77F03F55" w14:textId="77777777" w:rsidR="00733588" w:rsidRPr="00733588" w:rsidRDefault="00733588" w:rsidP="00733588">
            <w:pPr>
              <w:spacing w:after="0" w:line="240" w:lineRule="auto"/>
              <w:jc w:val="right"/>
              <w:rPr>
                <w:rFonts w:eastAsia="Times New Roman" w:cs="Times New Roman"/>
                <w:b/>
                <w:bCs/>
                <w:color w:val="000000"/>
                <w:sz w:val="22"/>
                <w:lang w:val="pt-BR" w:eastAsia="pt-BR"/>
              </w:rPr>
            </w:pPr>
            <w:r w:rsidRPr="00733588">
              <w:rPr>
                <w:rFonts w:eastAsia="Times New Roman" w:cs="Times New Roman"/>
                <w:b/>
                <w:bCs/>
                <w:color w:val="000000"/>
                <w:sz w:val="22"/>
                <w:lang w:val="pt-BR" w:eastAsia="pt-BR"/>
              </w:rPr>
              <w:t>0,631</w:t>
            </w:r>
          </w:p>
        </w:tc>
      </w:tr>
    </w:tbl>
    <w:p w14:paraId="1350584C" w14:textId="49A8774E" w:rsidR="00DC3B99" w:rsidRDefault="00000000">
      <w:pPr>
        <w:ind w:firstLine="709"/>
        <w:rPr>
          <w:lang w:val="pt-BR"/>
        </w:rPr>
      </w:pPr>
      <w:r w:rsidRPr="008F6E13">
        <w:rPr>
          <w:lang w:val="pt-BR"/>
        </w:rPr>
        <w:lastRenderedPageBreak/>
        <w:t xml:space="preserve">A transição para o modelo de 2 parâmetros (2PL) flexibilizou a inclinação das Curvas Características dos Itens (CCI), permitindo </w:t>
      </w:r>
      <w:r w:rsidR="008F6E13" w:rsidRPr="008F6E13">
        <w:rPr>
          <w:lang w:val="pt-BR"/>
        </w:rPr>
        <w:t>identificar os</w:t>
      </w:r>
      <w:r w:rsidRPr="008F6E13">
        <w:rPr>
          <w:lang w:val="pt-BR"/>
        </w:rPr>
        <w:t xml:space="preserve"> itens com forte poder de discriminação</w:t>
      </w:r>
      <w:r w:rsidR="008F6E13" w:rsidRPr="008F6E13">
        <w:rPr>
          <w:lang w:val="pt-BR"/>
        </w:rPr>
        <w:t xml:space="preserve">, bem como os itens com baixa discriminação, que </w:t>
      </w:r>
      <w:r w:rsidRPr="008F6E13">
        <w:rPr>
          <w:lang w:val="pt-BR"/>
        </w:rPr>
        <w:t xml:space="preserve">contribuem </w:t>
      </w:r>
      <w:r w:rsidR="008F6E13" w:rsidRPr="008F6E13">
        <w:rPr>
          <w:lang w:val="pt-BR"/>
        </w:rPr>
        <w:t xml:space="preserve">com diferentes pesos </w:t>
      </w:r>
      <w:r w:rsidRPr="008F6E13">
        <w:rPr>
          <w:lang w:val="pt-BR"/>
        </w:rPr>
        <w:t xml:space="preserve">para a definição do traço latente. Sob o modelo 2PL, estudantes com o mesmo escore bruto de acertos apresentaram estimativas de proficiência bastante distintas. </w:t>
      </w:r>
      <w:r w:rsidR="00E702AF">
        <w:rPr>
          <w:lang w:val="pt-BR"/>
        </w:rPr>
        <w:t xml:space="preserve">Na </w:t>
      </w:r>
      <w:r w:rsidR="00E702AF">
        <w:rPr>
          <w:lang w:val="pt-BR"/>
        </w:rPr>
        <w:fldChar w:fldCharType="begin"/>
      </w:r>
      <w:r w:rsidR="00E702AF">
        <w:rPr>
          <w:lang w:val="pt-BR"/>
        </w:rPr>
        <w:instrText xml:space="preserve"> REF _Ref240757164 \h </w:instrText>
      </w:r>
      <w:r w:rsidR="00E702AF">
        <w:rPr>
          <w:lang w:val="pt-BR"/>
        </w:rPr>
      </w:r>
      <w:r w:rsidR="00E702AF">
        <w:rPr>
          <w:lang w:val="pt-BR"/>
        </w:rPr>
        <w:fldChar w:fldCharType="separate"/>
      </w:r>
      <w:proofErr w:type="spellStart"/>
      <w:r w:rsidR="00E702AF">
        <w:t>Tabela</w:t>
      </w:r>
      <w:proofErr w:type="spellEnd"/>
      <w:r w:rsidR="00E702AF">
        <w:t xml:space="preserve"> </w:t>
      </w:r>
      <w:r w:rsidR="00E702AF">
        <w:rPr>
          <w:noProof/>
        </w:rPr>
        <w:t>2</w:t>
      </w:r>
      <w:r w:rsidR="00E702AF">
        <w:rPr>
          <w:lang w:val="pt-BR"/>
        </w:rPr>
        <w:fldChar w:fldCharType="end"/>
      </w:r>
      <w:r w:rsidR="00E702AF">
        <w:rPr>
          <w:lang w:val="pt-BR"/>
        </w:rPr>
        <w:t xml:space="preserve"> tem-se uma amostra de alunos com 5 acertos que tiveram a mesma proficiência no modelo 1PL, mas que com um modelo 2PL, a proficiência é distinta entre eles. </w:t>
      </w:r>
      <w:r w:rsidRPr="008F6E13">
        <w:rPr>
          <w:lang w:val="pt-BR"/>
        </w:rPr>
        <w:t xml:space="preserve">Este resultado empírico comprova que a consideração das discriminações individuais é mandatória para garantir uma avaliação </w:t>
      </w:r>
      <w:r w:rsidR="008F6E13" w:rsidRPr="008F6E13">
        <w:rPr>
          <w:lang w:val="pt-BR"/>
        </w:rPr>
        <w:t>mais fidedigna</w:t>
      </w:r>
      <w:r w:rsidRPr="008F6E13">
        <w:rPr>
          <w:lang w:val="pt-BR"/>
        </w:rPr>
        <w:t>.</w:t>
      </w:r>
    </w:p>
    <w:p w14:paraId="12E64A47" w14:textId="5C0DBDE9" w:rsidR="00E702AF" w:rsidRPr="005048C2" w:rsidRDefault="00E702AF" w:rsidP="00E702AF">
      <w:pPr>
        <w:pStyle w:val="Legenda"/>
      </w:pPr>
      <w:bookmarkStart w:id="2" w:name="_Ref240757164"/>
      <w:r>
        <w:t xml:space="preserve">Tabela </w:t>
      </w:r>
      <w:r>
        <w:fldChar w:fldCharType="begin"/>
      </w:r>
      <w:r>
        <w:instrText xml:space="preserve"> SEQ Tabela \* ARABIC </w:instrText>
      </w:r>
      <w:r>
        <w:fldChar w:fldCharType="separate"/>
      </w:r>
      <w:r>
        <w:rPr>
          <w:noProof/>
        </w:rPr>
        <w:t>2</w:t>
      </w:r>
      <w:r>
        <w:fldChar w:fldCharType="end"/>
      </w:r>
      <w:bookmarkEnd w:id="2"/>
      <w:r w:rsidRPr="005048C2">
        <w:t xml:space="preserve">: </w:t>
      </w:r>
      <w:r>
        <w:t>Variação da Discriminação em função da Dificuldade dos Itens.</w:t>
      </w:r>
    </w:p>
    <w:tbl>
      <w:tblPr>
        <w:tblW w:w="5986" w:type="dxa"/>
        <w:jc w:val="center"/>
        <w:tblCellMar>
          <w:left w:w="70" w:type="dxa"/>
          <w:right w:w="70" w:type="dxa"/>
        </w:tblCellMar>
        <w:tblLook w:val="04A0" w:firstRow="1" w:lastRow="0" w:firstColumn="1" w:lastColumn="0" w:noHBand="0" w:noVBand="1"/>
      </w:tblPr>
      <w:tblGrid>
        <w:gridCol w:w="70"/>
        <w:gridCol w:w="1705"/>
        <w:gridCol w:w="1827"/>
        <w:gridCol w:w="1192"/>
        <w:gridCol w:w="1192"/>
      </w:tblGrid>
      <w:tr w:rsidR="00E702AF" w:rsidRPr="00E702AF" w14:paraId="77BC129F" w14:textId="77777777" w:rsidTr="00E702AF">
        <w:trPr>
          <w:gridBefore w:val="1"/>
          <w:wBefore w:w="70" w:type="dxa"/>
          <w:trHeight w:val="288"/>
          <w:jc w:val="center"/>
        </w:trPr>
        <w:tc>
          <w:tcPr>
            <w:tcW w:w="1705" w:type="dxa"/>
            <w:tcBorders>
              <w:top w:val="single" w:sz="4" w:space="0" w:color="000000"/>
              <w:left w:val="nil"/>
              <w:bottom w:val="nil"/>
              <w:right w:val="nil"/>
            </w:tcBorders>
            <w:shd w:val="clear" w:color="000000" w:fill="000000"/>
            <w:noWrap/>
            <w:vAlign w:val="center"/>
            <w:hideMark/>
          </w:tcPr>
          <w:p w14:paraId="7BF0B18E" w14:textId="77777777" w:rsidR="00E702AF" w:rsidRPr="00E702AF" w:rsidRDefault="00E702AF" w:rsidP="00E702AF">
            <w:pPr>
              <w:spacing w:after="0" w:line="240" w:lineRule="auto"/>
              <w:jc w:val="left"/>
              <w:rPr>
                <w:rFonts w:eastAsia="Times New Roman" w:cs="Times New Roman"/>
                <w:b/>
                <w:bCs/>
                <w:color w:val="FFFFFF"/>
                <w:sz w:val="22"/>
                <w:lang w:val="pt-BR" w:eastAsia="pt-BR"/>
              </w:rPr>
            </w:pPr>
            <w:proofErr w:type="spellStart"/>
            <w:r w:rsidRPr="00E702AF">
              <w:rPr>
                <w:rFonts w:eastAsia="Times New Roman" w:cs="Times New Roman"/>
                <w:b/>
                <w:bCs/>
                <w:color w:val="FFFFFF"/>
                <w:sz w:val="22"/>
                <w:lang w:val="pt-BR" w:eastAsia="pt-BR"/>
              </w:rPr>
              <w:t>ID_Respondente</w:t>
            </w:r>
            <w:proofErr w:type="spellEnd"/>
          </w:p>
        </w:tc>
        <w:tc>
          <w:tcPr>
            <w:tcW w:w="1827" w:type="dxa"/>
            <w:tcBorders>
              <w:top w:val="single" w:sz="4" w:space="0" w:color="000000"/>
              <w:left w:val="nil"/>
              <w:bottom w:val="nil"/>
              <w:right w:val="nil"/>
            </w:tcBorders>
            <w:shd w:val="clear" w:color="000000" w:fill="000000"/>
            <w:noWrap/>
            <w:vAlign w:val="center"/>
            <w:hideMark/>
          </w:tcPr>
          <w:p w14:paraId="5BD8873A" w14:textId="77777777" w:rsidR="00E702AF" w:rsidRPr="00E702AF" w:rsidRDefault="00E702AF" w:rsidP="00E702AF">
            <w:pPr>
              <w:spacing w:after="0" w:line="240" w:lineRule="auto"/>
              <w:jc w:val="left"/>
              <w:rPr>
                <w:rFonts w:eastAsia="Times New Roman" w:cs="Times New Roman"/>
                <w:b/>
                <w:bCs/>
                <w:color w:val="FFFFFF"/>
                <w:sz w:val="22"/>
                <w:lang w:val="pt-BR" w:eastAsia="pt-BR"/>
              </w:rPr>
            </w:pPr>
            <w:proofErr w:type="spellStart"/>
            <w:r w:rsidRPr="00E702AF">
              <w:rPr>
                <w:rFonts w:eastAsia="Times New Roman" w:cs="Times New Roman"/>
                <w:b/>
                <w:bCs/>
                <w:color w:val="FFFFFF"/>
                <w:sz w:val="22"/>
                <w:lang w:val="pt-BR" w:eastAsia="pt-BR"/>
              </w:rPr>
              <w:t>Proficiencia_TCT</w:t>
            </w:r>
            <w:proofErr w:type="spellEnd"/>
          </w:p>
        </w:tc>
        <w:tc>
          <w:tcPr>
            <w:tcW w:w="1192" w:type="dxa"/>
            <w:tcBorders>
              <w:top w:val="single" w:sz="4" w:space="0" w:color="000000"/>
              <w:left w:val="nil"/>
              <w:bottom w:val="nil"/>
              <w:right w:val="nil"/>
            </w:tcBorders>
            <w:shd w:val="clear" w:color="000000" w:fill="000000"/>
            <w:noWrap/>
            <w:vAlign w:val="center"/>
            <w:hideMark/>
          </w:tcPr>
          <w:p w14:paraId="1CC8929D" w14:textId="77777777" w:rsidR="00E702AF" w:rsidRPr="00E702AF" w:rsidRDefault="00E702AF" w:rsidP="00E702AF">
            <w:pPr>
              <w:spacing w:after="0" w:line="240" w:lineRule="auto"/>
              <w:jc w:val="left"/>
              <w:rPr>
                <w:rFonts w:eastAsia="Times New Roman" w:cs="Times New Roman"/>
                <w:b/>
                <w:bCs/>
                <w:color w:val="FFFFFF"/>
                <w:sz w:val="22"/>
                <w:lang w:val="pt-BR" w:eastAsia="pt-BR"/>
              </w:rPr>
            </w:pPr>
            <w:r w:rsidRPr="00E702AF">
              <w:rPr>
                <w:rFonts w:eastAsia="Times New Roman" w:cs="Times New Roman"/>
                <w:b/>
                <w:bCs/>
                <w:color w:val="FFFFFF"/>
                <w:sz w:val="22"/>
                <w:lang w:val="pt-BR" w:eastAsia="pt-BR"/>
              </w:rPr>
              <w:t>Theta_1PL</w:t>
            </w:r>
          </w:p>
        </w:tc>
        <w:tc>
          <w:tcPr>
            <w:tcW w:w="1192" w:type="dxa"/>
            <w:tcBorders>
              <w:top w:val="single" w:sz="4" w:space="0" w:color="000000"/>
              <w:left w:val="nil"/>
              <w:bottom w:val="nil"/>
              <w:right w:val="nil"/>
            </w:tcBorders>
            <w:shd w:val="clear" w:color="000000" w:fill="000000"/>
            <w:noWrap/>
            <w:vAlign w:val="center"/>
            <w:hideMark/>
          </w:tcPr>
          <w:p w14:paraId="55AD6301" w14:textId="77777777" w:rsidR="00E702AF" w:rsidRPr="00E702AF" w:rsidRDefault="00E702AF" w:rsidP="00E702AF">
            <w:pPr>
              <w:spacing w:after="0" w:line="240" w:lineRule="auto"/>
              <w:jc w:val="left"/>
              <w:rPr>
                <w:rFonts w:eastAsia="Times New Roman" w:cs="Times New Roman"/>
                <w:b/>
                <w:bCs/>
                <w:color w:val="FFFFFF"/>
                <w:sz w:val="22"/>
                <w:lang w:val="pt-BR" w:eastAsia="pt-BR"/>
              </w:rPr>
            </w:pPr>
            <w:r w:rsidRPr="00E702AF">
              <w:rPr>
                <w:rFonts w:eastAsia="Times New Roman" w:cs="Times New Roman"/>
                <w:b/>
                <w:bCs/>
                <w:color w:val="FFFFFF"/>
                <w:sz w:val="22"/>
                <w:lang w:val="pt-BR" w:eastAsia="pt-BR"/>
              </w:rPr>
              <w:t>Theta_2PL</w:t>
            </w:r>
          </w:p>
        </w:tc>
      </w:tr>
      <w:tr w:rsidR="00E702AF" w:rsidRPr="00E702AF" w14:paraId="7B75A7F9" w14:textId="77777777" w:rsidTr="00FF3827">
        <w:trPr>
          <w:gridBefore w:val="1"/>
          <w:wBefore w:w="70" w:type="dxa"/>
          <w:trHeight w:val="288"/>
          <w:jc w:val="center"/>
        </w:trPr>
        <w:tc>
          <w:tcPr>
            <w:tcW w:w="1705" w:type="dxa"/>
            <w:tcBorders>
              <w:top w:val="single" w:sz="4" w:space="0" w:color="000000"/>
              <w:left w:val="nil"/>
              <w:bottom w:val="nil"/>
              <w:right w:val="nil"/>
            </w:tcBorders>
            <w:shd w:val="clear" w:color="auto" w:fill="auto"/>
            <w:noWrap/>
            <w:vAlign w:val="center"/>
            <w:hideMark/>
          </w:tcPr>
          <w:p w14:paraId="0523683C"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1445</w:t>
            </w:r>
          </w:p>
        </w:tc>
        <w:tc>
          <w:tcPr>
            <w:tcW w:w="1827" w:type="dxa"/>
            <w:tcBorders>
              <w:top w:val="single" w:sz="4" w:space="0" w:color="000000"/>
              <w:left w:val="nil"/>
              <w:bottom w:val="nil"/>
              <w:right w:val="nil"/>
            </w:tcBorders>
            <w:shd w:val="clear" w:color="auto" w:fill="F2F2F2" w:themeFill="background1" w:themeFillShade="F2"/>
            <w:noWrap/>
            <w:vAlign w:val="center"/>
            <w:hideMark/>
          </w:tcPr>
          <w:p w14:paraId="3A626CAF" w14:textId="77777777" w:rsidR="00E702AF" w:rsidRPr="00E702AF" w:rsidRDefault="00E702AF" w:rsidP="00E702AF">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nil"/>
              <w:right w:val="nil"/>
            </w:tcBorders>
            <w:shd w:val="clear" w:color="auto" w:fill="F2F2F2" w:themeFill="background1" w:themeFillShade="F2"/>
            <w:noWrap/>
            <w:vAlign w:val="center"/>
            <w:hideMark/>
          </w:tcPr>
          <w:p w14:paraId="6CF059D3"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nil"/>
              <w:right w:val="nil"/>
            </w:tcBorders>
            <w:shd w:val="clear" w:color="auto" w:fill="auto"/>
            <w:noWrap/>
            <w:vAlign w:val="center"/>
            <w:hideMark/>
          </w:tcPr>
          <w:p w14:paraId="5BB2F534"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-1,7577</w:t>
            </w:r>
          </w:p>
        </w:tc>
      </w:tr>
      <w:tr w:rsidR="00E702AF" w:rsidRPr="00E702AF" w14:paraId="1957F836" w14:textId="77777777" w:rsidTr="00FF3827">
        <w:trPr>
          <w:gridBefore w:val="1"/>
          <w:wBefore w:w="70" w:type="dxa"/>
          <w:trHeight w:val="288"/>
          <w:jc w:val="center"/>
        </w:trPr>
        <w:tc>
          <w:tcPr>
            <w:tcW w:w="1705" w:type="dxa"/>
            <w:tcBorders>
              <w:top w:val="single" w:sz="4" w:space="0" w:color="000000"/>
              <w:left w:val="nil"/>
              <w:bottom w:val="nil"/>
              <w:right w:val="nil"/>
            </w:tcBorders>
            <w:shd w:val="clear" w:color="auto" w:fill="auto"/>
            <w:noWrap/>
            <w:vAlign w:val="center"/>
            <w:hideMark/>
          </w:tcPr>
          <w:p w14:paraId="6BBA04B9"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1605</w:t>
            </w:r>
          </w:p>
        </w:tc>
        <w:tc>
          <w:tcPr>
            <w:tcW w:w="1827" w:type="dxa"/>
            <w:tcBorders>
              <w:top w:val="single" w:sz="4" w:space="0" w:color="000000"/>
              <w:left w:val="nil"/>
              <w:bottom w:val="nil"/>
              <w:right w:val="nil"/>
            </w:tcBorders>
            <w:shd w:val="clear" w:color="auto" w:fill="F2F2F2" w:themeFill="background1" w:themeFillShade="F2"/>
            <w:noWrap/>
            <w:vAlign w:val="center"/>
            <w:hideMark/>
          </w:tcPr>
          <w:p w14:paraId="5A54246B" w14:textId="77777777" w:rsidR="00E702AF" w:rsidRPr="00E702AF" w:rsidRDefault="00E702AF" w:rsidP="00E702AF">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nil"/>
              <w:right w:val="nil"/>
            </w:tcBorders>
            <w:shd w:val="clear" w:color="auto" w:fill="F2F2F2" w:themeFill="background1" w:themeFillShade="F2"/>
            <w:noWrap/>
            <w:vAlign w:val="center"/>
            <w:hideMark/>
          </w:tcPr>
          <w:p w14:paraId="6905F669"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nil"/>
              <w:right w:val="nil"/>
            </w:tcBorders>
            <w:shd w:val="clear" w:color="auto" w:fill="auto"/>
            <w:noWrap/>
            <w:vAlign w:val="center"/>
            <w:hideMark/>
          </w:tcPr>
          <w:p w14:paraId="24CAF64F"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-1,6239</w:t>
            </w:r>
          </w:p>
        </w:tc>
      </w:tr>
      <w:tr w:rsidR="00E702AF" w:rsidRPr="00E702AF" w14:paraId="2356A063" w14:textId="77777777" w:rsidTr="00FF3827">
        <w:trPr>
          <w:gridBefore w:val="1"/>
          <w:wBefore w:w="70" w:type="dxa"/>
          <w:trHeight w:val="288"/>
          <w:jc w:val="center"/>
        </w:trPr>
        <w:tc>
          <w:tcPr>
            <w:tcW w:w="1705" w:type="dxa"/>
            <w:tcBorders>
              <w:top w:val="single" w:sz="4" w:space="0" w:color="000000"/>
              <w:left w:val="nil"/>
              <w:bottom w:val="nil"/>
              <w:right w:val="nil"/>
            </w:tcBorders>
            <w:shd w:val="clear" w:color="auto" w:fill="auto"/>
            <w:noWrap/>
            <w:vAlign w:val="center"/>
            <w:hideMark/>
          </w:tcPr>
          <w:p w14:paraId="5ED9FC58"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1691</w:t>
            </w:r>
          </w:p>
        </w:tc>
        <w:tc>
          <w:tcPr>
            <w:tcW w:w="1827" w:type="dxa"/>
            <w:tcBorders>
              <w:top w:val="single" w:sz="4" w:space="0" w:color="000000"/>
              <w:left w:val="nil"/>
              <w:bottom w:val="nil"/>
              <w:right w:val="nil"/>
            </w:tcBorders>
            <w:shd w:val="clear" w:color="auto" w:fill="F2F2F2" w:themeFill="background1" w:themeFillShade="F2"/>
            <w:noWrap/>
            <w:vAlign w:val="center"/>
            <w:hideMark/>
          </w:tcPr>
          <w:p w14:paraId="6BB295CE" w14:textId="77777777" w:rsidR="00E702AF" w:rsidRPr="00E702AF" w:rsidRDefault="00E702AF" w:rsidP="00E702AF">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nil"/>
              <w:right w:val="nil"/>
            </w:tcBorders>
            <w:shd w:val="clear" w:color="auto" w:fill="F2F2F2" w:themeFill="background1" w:themeFillShade="F2"/>
            <w:noWrap/>
            <w:vAlign w:val="center"/>
            <w:hideMark/>
          </w:tcPr>
          <w:p w14:paraId="3D29F7DF"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nil"/>
              <w:right w:val="nil"/>
            </w:tcBorders>
            <w:shd w:val="clear" w:color="auto" w:fill="auto"/>
            <w:noWrap/>
            <w:vAlign w:val="center"/>
            <w:hideMark/>
          </w:tcPr>
          <w:p w14:paraId="0E16FF8E" w14:textId="7777777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-1,5758</w:t>
            </w:r>
          </w:p>
        </w:tc>
      </w:tr>
      <w:tr w:rsidR="00E702AF" w:rsidRPr="00E702AF" w14:paraId="73E223EA" w14:textId="77777777" w:rsidTr="00FF3827">
        <w:trPr>
          <w:gridBefore w:val="1"/>
          <w:wBefore w:w="70" w:type="dxa"/>
          <w:trHeight w:val="288"/>
          <w:jc w:val="center"/>
        </w:trPr>
        <w:tc>
          <w:tcPr>
            <w:tcW w:w="1705" w:type="dxa"/>
            <w:tcBorders>
              <w:top w:val="single" w:sz="4" w:space="0" w:color="000000"/>
              <w:left w:val="nil"/>
              <w:bottom w:val="nil"/>
              <w:right w:val="nil"/>
            </w:tcBorders>
            <w:shd w:val="clear" w:color="auto" w:fill="auto"/>
            <w:noWrap/>
            <w:vAlign w:val="center"/>
            <w:hideMark/>
          </w:tcPr>
          <w:p w14:paraId="4D53B97A" w14:textId="6F17841F"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1554</w:t>
            </w:r>
          </w:p>
        </w:tc>
        <w:tc>
          <w:tcPr>
            <w:tcW w:w="1827" w:type="dxa"/>
            <w:tcBorders>
              <w:top w:val="single" w:sz="4" w:space="0" w:color="000000"/>
              <w:left w:val="nil"/>
              <w:bottom w:val="nil"/>
              <w:right w:val="nil"/>
            </w:tcBorders>
            <w:shd w:val="clear" w:color="auto" w:fill="F2F2F2" w:themeFill="background1" w:themeFillShade="F2"/>
            <w:noWrap/>
            <w:vAlign w:val="center"/>
            <w:hideMark/>
          </w:tcPr>
          <w:p w14:paraId="1FFF4A0D" w14:textId="1FF9071A" w:rsidR="00E702AF" w:rsidRPr="00E702AF" w:rsidRDefault="00E702AF" w:rsidP="00E702AF">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nil"/>
              <w:right w:val="nil"/>
            </w:tcBorders>
            <w:shd w:val="clear" w:color="auto" w:fill="F2F2F2" w:themeFill="background1" w:themeFillShade="F2"/>
            <w:noWrap/>
            <w:vAlign w:val="center"/>
            <w:hideMark/>
          </w:tcPr>
          <w:p w14:paraId="1FC88833" w14:textId="16D48B40"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nil"/>
              <w:right w:val="nil"/>
            </w:tcBorders>
            <w:shd w:val="clear" w:color="auto" w:fill="auto"/>
            <w:noWrap/>
            <w:vAlign w:val="center"/>
            <w:hideMark/>
          </w:tcPr>
          <w:p w14:paraId="6B1DDE32" w14:textId="503619CA"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-1,4131</w:t>
            </w:r>
          </w:p>
        </w:tc>
      </w:tr>
      <w:tr w:rsidR="00E702AF" w:rsidRPr="00E702AF" w14:paraId="25D83E2A" w14:textId="77777777" w:rsidTr="00FF3827">
        <w:trPr>
          <w:gridBefore w:val="1"/>
          <w:wBefore w:w="70" w:type="dxa"/>
          <w:trHeight w:val="288"/>
          <w:jc w:val="center"/>
        </w:trPr>
        <w:tc>
          <w:tcPr>
            <w:tcW w:w="1705" w:type="dxa"/>
            <w:tcBorders>
              <w:top w:val="single" w:sz="4" w:space="0" w:color="000000"/>
              <w:left w:val="nil"/>
              <w:bottom w:val="nil"/>
              <w:right w:val="nil"/>
            </w:tcBorders>
            <w:shd w:val="clear" w:color="auto" w:fill="auto"/>
            <w:noWrap/>
            <w:vAlign w:val="center"/>
            <w:hideMark/>
          </w:tcPr>
          <w:p w14:paraId="4588BCAC" w14:textId="74592894"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1645</w:t>
            </w:r>
          </w:p>
        </w:tc>
        <w:tc>
          <w:tcPr>
            <w:tcW w:w="1827" w:type="dxa"/>
            <w:tcBorders>
              <w:top w:val="single" w:sz="4" w:space="0" w:color="000000"/>
              <w:left w:val="nil"/>
              <w:bottom w:val="nil"/>
              <w:right w:val="nil"/>
            </w:tcBorders>
            <w:shd w:val="clear" w:color="auto" w:fill="F2F2F2" w:themeFill="background1" w:themeFillShade="F2"/>
            <w:noWrap/>
            <w:vAlign w:val="center"/>
            <w:hideMark/>
          </w:tcPr>
          <w:p w14:paraId="29BAE548" w14:textId="35776E19" w:rsidR="00E702AF" w:rsidRPr="00E702AF" w:rsidRDefault="00E702AF" w:rsidP="00E702AF">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nil"/>
              <w:right w:val="nil"/>
            </w:tcBorders>
            <w:shd w:val="clear" w:color="auto" w:fill="F2F2F2" w:themeFill="background1" w:themeFillShade="F2"/>
            <w:noWrap/>
            <w:vAlign w:val="center"/>
            <w:hideMark/>
          </w:tcPr>
          <w:p w14:paraId="01FAC9FC" w14:textId="1F52AA74"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nil"/>
              <w:right w:val="nil"/>
            </w:tcBorders>
            <w:shd w:val="clear" w:color="auto" w:fill="auto"/>
            <w:noWrap/>
            <w:vAlign w:val="center"/>
            <w:hideMark/>
          </w:tcPr>
          <w:p w14:paraId="0D237F53" w14:textId="629F2E4D"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-1,2244</w:t>
            </w:r>
          </w:p>
        </w:tc>
      </w:tr>
      <w:tr w:rsidR="00E702AF" w:rsidRPr="00E702AF" w14:paraId="4158F5F6" w14:textId="77777777" w:rsidTr="00FF3827">
        <w:trPr>
          <w:gridBefore w:val="1"/>
          <w:wBefore w:w="70" w:type="dxa"/>
          <w:trHeight w:val="288"/>
          <w:jc w:val="center"/>
        </w:trPr>
        <w:tc>
          <w:tcPr>
            <w:tcW w:w="1705" w:type="dxa"/>
            <w:tcBorders>
              <w:top w:val="single" w:sz="4" w:space="0" w:color="000000"/>
              <w:left w:val="nil"/>
              <w:bottom w:val="nil"/>
              <w:right w:val="nil"/>
            </w:tcBorders>
            <w:shd w:val="clear" w:color="auto" w:fill="auto"/>
            <w:noWrap/>
            <w:vAlign w:val="center"/>
            <w:hideMark/>
          </w:tcPr>
          <w:p w14:paraId="73D5A5C4" w14:textId="58E46423"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1617</w:t>
            </w:r>
          </w:p>
        </w:tc>
        <w:tc>
          <w:tcPr>
            <w:tcW w:w="1827" w:type="dxa"/>
            <w:tcBorders>
              <w:top w:val="single" w:sz="4" w:space="0" w:color="000000"/>
              <w:left w:val="nil"/>
              <w:bottom w:val="nil"/>
              <w:right w:val="nil"/>
            </w:tcBorders>
            <w:shd w:val="clear" w:color="auto" w:fill="F2F2F2" w:themeFill="background1" w:themeFillShade="F2"/>
            <w:noWrap/>
            <w:vAlign w:val="center"/>
            <w:hideMark/>
          </w:tcPr>
          <w:p w14:paraId="66453CF6" w14:textId="270662C4" w:rsidR="00E702AF" w:rsidRPr="00E702AF" w:rsidRDefault="00E702AF" w:rsidP="00E702AF">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nil"/>
              <w:right w:val="nil"/>
            </w:tcBorders>
            <w:shd w:val="clear" w:color="auto" w:fill="F2F2F2" w:themeFill="background1" w:themeFillShade="F2"/>
            <w:noWrap/>
            <w:vAlign w:val="center"/>
            <w:hideMark/>
          </w:tcPr>
          <w:p w14:paraId="0940890E" w14:textId="3413175F"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nil"/>
              <w:right w:val="nil"/>
            </w:tcBorders>
            <w:shd w:val="clear" w:color="auto" w:fill="auto"/>
            <w:noWrap/>
            <w:vAlign w:val="center"/>
            <w:hideMark/>
          </w:tcPr>
          <w:p w14:paraId="0BD68FD8" w14:textId="1A561C17" w:rsidR="00E702AF" w:rsidRPr="00E702AF" w:rsidRDefault="00E702AF" w:rsidP="00E702AF">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-1,1554</w:t>
            </w:r>
          </w:p>
        </w:tc>
      </w:tr>
      <w:tr w:rsidR="00E702AF" w:rsidRPr="00E702AF" w14:paraId="31FF7E1A" w14:textId="77777777" w:rsidTr="00FF3827">
        <w:trPr>
          <w:trHeight w:val="288"/>
          <w:jc w:val="center"/>
        </w:trPr>
        <w:tc>
          <w:tcPr>
            <w:tcW w:w="1775" w:type="dxa"/>
            <w:gridSpan w:val="2"/>
            <w:tcBorders>
              <w:top w:val="single" w:sz="4" w:space="0" w:color="000000"/>
              <w:left w:val="nil"/>
              <w:bottom w:val="single" w:sz="4" w:space="0" w:color="auto"/>
              <w:right w:val="nil"/>
            </w:tcBorders>
            <w:shd w:val="clear" w:color="auto" w:fill="auto"/>
            <w:noWrap/>
            <w:vAlign w:val="center"/>
            <w:hideMark/>
          </w:tcPr>
          <w:p w14:paraId="027E5C0A" w14:textId="77777777" w:rsidR="00E702AF" w:rsidRPr="00E702AF" w:rsidRDefault="00E702AF" w:rsidP="00954279">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1450</w:t>
            </w:r>
          </w:p>
        </w:tc>
        <w:tc>
          <w:tcPr>
            <w:tcW w:w="1827" w:type="dxa"/>
            <w:tcBorders>
              <w:top w:val="single" w:sz="4" w:space="0" w:color="000000"/>
              <w:left w:val="nil"/>
              <w:bottom w:val="single" w:sz="4" w:space="0" w:color="auto"/>
              <w:right w:val="nil"/>
            </w:tcBorders>
            <w:shd w:val="clear" w:color="auto" w:fill="F2F2F2" w:themeFill="background1" w:themeFillShade="F2"/>
            <w:noWrap/>
            <w:vAlign w:val="center"/>
            <w:hideMark/>
          </w:tcPr>
          <w:p w14:paraId="449D9E96" w14:textId="77777777" w:rsidR="00E702AF" w:rsidRPr="00E702AF" w:rsidRDefault="00E702AF" w:rsidP="00954279">
            <w:pPr>
              <w:spacing w:after="0" w:line="240" w:lineRule="auto"/>
              <w:jc w:val="center"/>
              <w:rPr>
                <w:rFonts w:eastAsia="Times New Roman" w:cs="Times New Roman"/>
                <w:color w:val="000000"/>
                <w:sz w:val="22"/>
                <w:lang w:val="pt-BR" w:eastAsia="pt-BR"/>
              </w:rPr>
            </w:pPr>
            <w:r w:rsidRPr="00E702AF">
              <w:rPr>
                <w:rFonts w:eastAsia="Times New Roman" w:cs="Times New Roman"/>
                <w:color w:val="000000"/>
                <w:sz w:val="22"/>
                <w:lang w:val="pt-BR" w:eastAsia="pt-BR"/>
              </w:rPr>
              <w:t>5</w:t>
            </w:r>
          </w:p>
        </w:tc>
        <w:tc>
          <w:tcPr>
            <w:tcW w:w="1192" w:type="dxa"/>
            <w:tcBorders>
              <w:top w:val="single" w:sz="4" w:space="0" w:color="000000"/>
              <w:left w:val="nil"/>
              <w:bottom w:val="single" w:sz="4" w:space="0" w:color="auto"/>
              <w:right w:val="nil"/>
            </w:tcBorders>
            <w:shd w:val="clear" w:color="auto" w:fill="F2F2F2" w:themeFill="background1" w:themeFillShade="F2"/>
            <w:noWrap/>
            <w:vAlign w:val="center"/>
            <w:hideMark/>
          </w:tcPr>
          <w:p w14:paraId="6DD9A7C0" w14:textId="77777777" w:rsidR="00E702AF" w:rsidRPr="00E702AF" w:rsidRDefault="00E702AF" w:rsidP="00954279">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-1,0811</w:t>
            </w:r>
          </w:p>
        </w:tc>
        <w:tc>
          <w:tcPr>
            <w:tcW w:w="1192" w:type="dxa"/>
            <w:tcBorders>
              <w:top w:val="single" w:sz="4" w:space="0" w:color="000000"/>
              <w:left w:val="nil"/>
              <w:bottom w:val="single" w:sz="4" w:space="0" w:color="auto"/>
              <w:right w:val="nil"/>
            </w:tcBorders>
            <w:shd w:val="clear" w:color="auto" w:fill="auto"/>
            <w:noWrap/>
            <w:vAlign w:val="center"/>
            <w:hideMark/>
          </w:tcPr>
          <w:p w14:paraId="520557A0" w14:textId="77777777" w:rsidR="00E702AF" w:rsidRPr="00E702AF" w:rsidRDefault="00E702AF" w:rsidP="00954279">
            <w:pPr>
              <w:spacing w:after="0" w:line="240" w:lineRule="auto"/>
              <w:jc w:val="right"/>
              <w:rPr>
                <w:rFonts w:eastAsia="Times New Roman" w:cs="Times New Roman"/>
                <w:color w:val="000000"/>
                <w:sz w:val="22"/>
                <w:lang w:val="pt-BR" w:eastAsia="pt-BR"/>
              </w:rPr>
            </w:pPr>
            <w:r w:rsidRPr="00E702AF">
              <w:rPr>
                <w:rFonts w:eastAsia="Times New Roman" w:cs="Times New Roman"/>
                <w:color w:val="000000"/>
                <w:sz w:val="22"/>
                <w:lang w:val="pt-BR" w:eastAsia="pt-BR"/>
              </w:rPr>
              <w:t>-1,0793</w:t>
            </w:r>
          </w:p>
        </w:tc>
      </w:tr>
    </w:tbl>
    <w:p w14:paraId="0C582378" w14:textId="2F19EEC6" w:rsidR="00DC3B99" w:rsidRDefault="00000000" w:rsidP="00C40D50">
      <w:pPr>
        <w:spacing w:before="240"/>
        <w:ind w:firstLine="709"/>
        <w:rPr>
          <w:lang w:val="pt-BR"/>
        </w:rPr>
      </w:pPr>
      <w:r w:rsidRPr="008F6E13">
        <w:rPr>
          <w:lang w:val="pt-BR"/>
        </w:rPr>
        <w:t>Contudo, a análise visual dos resíduos empíricos do modelo 2PL nas faixas inferiores de proficiência indicou que alunos de baixa habilidade apresentavam taxas de acerto observadas em itens difíceis superiores às probabilidades teóricas projetadas. Esse comportamento atípico confirmou a presença do acerto casual (chute) no teste digital</w:t>
      </w:r>
      <w:r w:rsidR="008E0ADE">
        <w:rPr>
          <w:lang w:val="pt-BR"/>
        </w:rPr>
        <w:t xml:space="preserve">, conforme amostra apresentada na </w:t>
      </w:r>
      <w:r w:rsidR="008E0ADE">
        <w:rPr>
          <w:lang w:val="pt-BR"/>
        </w:rPr>
        <w:fldChar w:fldCharType="begin"/>
      </w:r>
      <w:r w:rsidR="008E0ADE">
        <w:rPr>
          <w:lang w:val="pt-BR"/>
        </w:rPr>
        <w:instrText xml:space="preserve"> REF _Ref240759145 \h </w:instrText>
      </w:r>
      <w:r w:rsidR="008E0ADE">
        <w:rPr>
          <w:lang w:val="pt-BR"/>
        </w:rPr>
      </w:r>
      <w:r w:rsidR="008E0ADE">
        <w:rPr>
          <w:lang w:val="pt-BR"/>
        </w:rPr>
        <w:fldChar w:fldCharType="separate"/>
      </w:r>
      <w:proofErr w:type="spellStart"/>
      <w:r w:rsidR="008E0ADE">
        <w:t>Tabela</w:t>
      </w:r>
      <w:proofErr w:type="spellEnd"/>
      <w:r w:rsidR="008E0ADE">
        <w:t xml:space="preserve"> </w:t>
      </w:r>
      <w:r w:rsidR="008E0ADE">
        <w:rPr>
          <w:noProof/>
        </w:rPr>
        <w:t>3</w:t>
      </w:r>
      <w:r w:rsidR="008E0ADE">
        <w:rPr>
          <w:lang w:val="pt-BR"/>
        </w:rPr>
        <w:fldChar w:fldCharType="end"/>
      </w:r>
      <w:r w:rsidR="008E0ADE">
        <w:rPr>
          <w:lang w:val="pt-BR"/>
        </w:rPr>
        <w:t>.</w:t>
      </w:r>
      <w:r w:rsidR="00D871E7">
        <w:rPr>
          <w:lang w:val="pt-BR"/>
        </w:rPr>
        <w:t xml:space="preserve"> Nessa tabela tem uma amostra de alunos que tinham baixa probabilidade de acertar um item difícil.</w:t>
      </w:r>
    </w:p>
    <w:p w14:paraId="562B8EFF" w14:textId="11A83576" w:rsidR="008E0ADE" w:rsidRDefault="008E0ADE" w:rsidP="008E0ADE">
      <w:pPr>
        <w:pStyle w:val="Legenda"/>
      </w:pPr>
      <w:bookmarkStart w:id="3" w:name="_Ref240759145"/>
      <w:r>
        <w:t xml:space="preserve">Tabela </w:t>
      </w:r>
      <w:r>
        <w:fldChar w:fldCharType="begin"/>
      </w:r>
      <w:r>
        <w:instrText xml:space="preserve"> SEQ Tabela \* ARABIC </w:instrText>
      </w:r>
      <w:r>
        <w:fldChar w:fldCharType="separate"/>
      </w:r>
      <w:r>
        <w:rPr>
          <w:noProof/>
        </w:rPr>
        <w:t>3</w:t>
      </w:r>
      <w:r>
        <w:fldChar w:fldCharType="end"/>
      </w:r>
      <w:bookmarkEnd w:id="3"/>
      <w:r w:rsidRPr="005048C2">
        <w:t xml:space="preserve">: </w:t>
      </w:r>
      <w:r>
        <w:t>Alunos com baixa proficiência que acertaram item difícil.</w:t>
      </w:r>
    </w:p>
    <w:tbl>
      <w:tblPr>
        <w:tblW w:w="9195" w:type="dxa"/>
        <w:tblCellMar>
          <w:left w:w="70" w:type="dxa"/>
          <w:right w:w="70" w:type="dxa"/>
        </w:tblCellMar>
        <w:tblLook w:val="04A0" w:firstRow="1" w:lastRow="0" w:firstColumn="1" w:lastColumn="0" w:noHBand="0" w:noVBand="1"/>
      </w:tblPr>
      <w:tblGrid>
        <w:gridCol w:w="1705"/>
        <w:gridCol w:w="1302"/>
        <w:gridCol w:w="1607"/>
        <w:gridCol w:w="1461"/>
        <w:gridCol w:w="3220"/>
      </w:tblGrid>
      <w:tr w:rsidR="008E0ADE" w:rsidRPr="008E0ADE" w14:paraId="7A082109" w14:textId="77777777" w:rsidTr="008E0ADE">
        <w:trPr>
          <w:trHeight w:val="288"/>
        </w:trPr>
        <w:tc>
          <w:tcPr>
            <w:tcW w:w="1684" w:type="dxa"/>
            <w:tcBorders>
              <w:top w:val="single" w:sz="4" w:space="0" w:color="000000"/>
              <w:left w:val="nil"/>
              <w:bottom w:val="single" w:sz="4" w:space="0" w:color="000000"/>
              <w:right w:val="nil"/>
            </w:tcBorders>
            <w:shd w:val="clear" w:color="000000" w:fill="000000"/>
            <w:noWrap/>
            <w:vAlign w:val="center"/>
            <w:hideMark/>
          </w:tcPr>
          <w:p w14:paraId="37C59F07" w14:textId="77777777" w:rsidR="008E0ADE" w:rsidRPr="008E0ADE" w:rsidRDefault="008E0ADE" w:rsidP="008E0ADE">
            <w:pPr>
              <w:spacing w:after="0" w:line="240" w:lineRule="auto"/>
              <w:jc w:val="center"/>
              <w:rPr>
                <w:rFonts w:eastAsia="Times New Roman" w:cs="Times New Roman"/>
                <w:b/>
                <w:bCs/>
                <w:color w:val="FFFFFF"/>
                <w:sz w:val="22"/>
                <w:lang w:val="pt-BR" w:eastAsia="pt-BR"/>
              </w:rPr>
            </w:pPr>
            <w:proofErr w:type="spellStart"/>
            <w:r w:rsidRPr="008E0ADE">
              <w:rPr>
                <w:rFonts w:eastAsia="Times New Roman" w:cs="Times New Roman"/>
                <w:b/>
                <w:bCs/>
                <w:color w:val="FFFFFF"/>
                <w:sz w:val="22"/>
                <w:lang w:val="pt-BR" w:eastAsia="pt-BR"/>
              </w:rPr>
              <w:t>ID_Respondente</w:t>
            </w:r>
            <w:proofErr w:type="spellEnd"/>
          </w:p>
        </w:tc>
        <w:tc>
          <w:tcPr>
            <w:tcW w:w="1302" w:type="dxa"/>
            <w:tcBorders>
              <w:top w:val="single" w:sz="4" w:space="0" w:color="000000"/>
              <w:left w:val="nil"/>
              <w:bottom w:val="single" w:sz="4" w:space="0" w:color="000000"/>
              <w:right w:val="nil"/>
            </w:tcBorders>
            <w:shd w:val="clear" w:color="000000" w:fill="000000"/>
            <w:noWrap/>
            <w:vAlign w:val="center"/>
            <w:hideMark/>
          </w:tcPr>
          <w:p w14:paraId="33729142" w14:textId="77777777" w:rsidR="008E0ADE" w:rsidRPr="008E0ADE" w:rsidRDefault="008E0ADE" w:rsidP="008E0ADE">
            <w:pPr>
              <w:spacing w:after="0" w:line="240" w:lineRule="auto"/>
              <w:jc w:val="center"/>
              <w:rPr>
                <w:rFonts w:eastAsia="Times New Roman" w:cs="Times New Roman"/>
                <w:b/>
                <w:bCs/>
                <w:color w:val="FFFFFF"/>
                <w:sz w:val="22"/>
                <w:lang w:val="pt-BR" w:eastAsia="pt-BR"/>
              </w:rPr>
            </w:pPr>
            <w:r w:rsidRPr="008E0ADE">
              <w:rPr>
                <w:rFonts w:eastAsia="Times New Roman" w:cs="Times New Roman"/>
                <w:b/>
                <w:bCs/>
                <w:color w:val="FFFFFF"/>
                <w:sz w:val="22"/>
                <w:lang w:val="pt-BR" w:eastAsia="pt-BR"/>
              </w:rPr>
              <w:t>Theta_2PL</w:t>
            </w:r>
          </w:p>
        </w:tc>
        <w:tc>
          <w:tcPr>
            <w:tcW w:w="1587" w:type="dxa"/>
            <w:tcBorders>
              <w:top w:val="single" w:sz="4" w:space="0" w:color="000000"/>
              <w:left w:val="nil"/>
              <w:bottom w:val="single" w:sz="4" w:space="0" w:color="000000"/>
              <w:right w:val="nil"/>
            </w:tcBorders>
            <w:shd w:val="clear" w:color="000000" w:fill="000000"/>
            <w:noWrap/>
            <w:vAlign w:val="center"/>
            <w:hideMark/>
          </w:tcPr>
          <w:p w14:paraId="4D3B4FEA" w14:textId="77777777" w:rsidR="008E0ADE" w:rsidRPr="008E0ADE" w:rsidRDefault="008E0ADE" w:rsidP="008E0ADE">
            <w:pPr>
              <w:spacing w:after="0" w:line="240" w:lineRule="auto"/>
              <w:jc w:val="center"/>
              <w:rPr>
                <w:rFonts w:eastAsia="Times New Roman" w:cs="Times New Roman"/>
                <w:b/>
                <w:bCs/>
                <w:color w:val="FFFFFF"/>
                <w:sz w:val="22"/>
                <w:lang w:val="pt-BR" w:eastAsia="pt-BR"/>
              </w:rPr>
            </w:pPr>
            <w:r w:rsidRPr="008E0ADE">
              <w:rPr>
                <w:rFonts w:eastAsia="Times New Roman" w:cs="Times New Roman"/>
                <w:b/>
                <w:bCs/>
                <w:color w:val="FFFFFF"/>
                <w:sz w:val="22"/>
                <w:lang w:val="pt-BR" w:eastAsia="pt-BR"/>
              </w:rPr>
              <w:t>Item</w:t>
            </w:r>
          </w:p>
        </w:tc>
        <w:tc>
          <w:tcPr>
            <w:tcW w:w="1443" w:type="dxa"/>
            <w:tcBorders>
              <w:top w:val="single" w:sz="4" w:space="0" w:color="000000"/>
              <w:left w:val="nil"/>
              <w:bottom w:val="single" w:sz="4" w:space="0" w:color="000000"/>
              <w:right w:val="nil"/>
            </w:tcBorders>
            <w:shd w:val="clear" w:color="000000" w:fill="000000"/>
            <w:noWrap/>
            <w:vAlign w:val="center"/>
            <w:hideMark/>
          </w:tcPr>
          <w:p w14:paraId="7775B406" w14:textId="77777777" w:rsidR="008E0ADE" w:rsidRPr="008E0ADE" w:rsidRDefault="008E0ADE" w:rsidP="008E0ADE">
            <w:pPr>
              <w:spacing w:after="0" w:line="240" w:lineRule="auto"/>
              <w:jc w:val="center"/>
              <w:rPr>
                <w:rFonts w:eastAsia="Times New Roman" w:cs="Times New Roman"/>
                <w:b/>
                <w:bCs/>
                <w:color w:val="FFFFFF"/>
                <w:sz w:val="22"/>
                <w:lang w:val="pt-BR" w:eastAsia="pt-BR"/>
              </w:rPr>
            </w:pPr>
            <w:proofErr w:type="spellStart"/>
            <w:r w:rsidRPr="008E0ADE">
              <w:rPr>
                <w:rFonts w:eastAsia="Times New Roman" w:cs="Times New Roman"/>
                <w:b/>
                <w:bCs/>
                <w:color w:val="FFFFFF"/>
                <w:sz w:val="22"/>
                <w:lang w:val="pt-BR" w:eastAsia="pt-BR"/>
              </w:rPr>
              <w:t>Dificuldade_b</w:t>
            </w:r>
            <w:proofErr w:type="spellEnd"/>
          </w:p>
        </w:tc>
        <w:tc>
          <w:tcPr>
            <w:tcW w:w="3179" w:type="dxa"/>
            <w:tcBorders>
              <w:top w:val="single" w:sz="4" w:space="0" w:color="000000"/>
              <w:left w:val="nil"/>
              <w:bottom w:val="single" w:sz="4" w:space="0" w:color="000000"/>
              <w:right w:val="nil"/>
            </w:tcBorders>
            <w:shd w:val="clear" w:color="000000" w:fill="000000"/>
            <w:noWrap/>
            <w:vAlign w:val="center"/>
            <w:hideMark/>
          </w:tcPr>
          <w:p w14:paraId="79883938" w14:textId="77777777" w:rsidR="008E0ADE" w:rsidRPr="008E0ADE" w:rsidRDefault="008E0ADE" w:rsidP="008E0ADE">
            <w:pPr>
              <w:spacing w:after="0" w:line="240" w:lineRule="auto"/>
              <w:jc w:val="center"/>
              <w:rPr>
                <w:rFonts w:eastAsia="Times New Roman" w:cs="Times New Roman"/>
                <w:b/>
                <w:bCs/>
                <w:color w:val="FFFFFF"/>
                <w:sz w:val="22"/>
                <w:lang w:val="pt-BR" w:eastAsia="pt-BR"/>
              </w:rPr>
            </w:pPr>
            <w:proofErr w:type="spellStart"/>
            <w:r w:rsidRPr="008E0ADE">
              <w:rPr>
                <w:rFonts w:eastAsia="Times New Roman" w:cs="Times New Roman"/>
                <w:b/>
                <w:bCs/>
                <w:color w:val="FFFFFF"/>
                <w:sz w:val="22"/>
                <w:lang w:val="pt-BR" w:eastAsia="pt-BR"/>
              </w:rPr>
              <w:t>Probabilidade</w:t>
            </w:r>
            <w:proofErr w:type="gramStart"/>
            <w:r w:rsidRPr="008E0ADE">
              <w:rPr>
                <w:rFonts w:eastAsia="Times New Roman" w:cs="Times New Roman"/>
                <w:b/>
                <w:bCs/>
                <w:color w:val="FFFFFF"/>
                <w:sz w:val="22"/>
                <w:lang w:val="pt-BR" w:eastAsia="pt-BR"/>
              </w:rPr>
              <w:t>_Esperada</w:t>
            </w:r>
            <w:proofErr w:type="gramEnd"/>
            <w:r w:rsidRPr="008E0ADE">
              <w:rPr>
                <w:rFonts w:eastAsia="Times New Roman" w:cs="Times New Roman"/>
                <w:b/>
                <w:bCs/>
                <w:color w:val="FFFFFF"/>
                <w:sz w:val="22"/>
                <w:lang w:val="pt-BR" w:eastAsia="pt-BR"/>
              </w:rPr>
              <w:t>_Acerto</w:t>
            </w:r>
            <w:proofErr w:type="spellEnd"/>
          </w:p>
        </w:tc>
      </w:tr>
      <w:tr w:rsidR="008E0ADE" w:rsidRPr="008E0ADE" w14:paraId="665138B6" w14:textId="77777777" w:rsidTr="00D871E7">
        <w:trPr>
          <w:trHeight w:val="288"/>
        </w:trPr>
        <w:tc>
          <w:tcPr>
            <w:tcW w:w="1684" w:type="dxa"/>
            <w:tcBorders>
              <w:top w:val="nil"/>
              <w:left w:val="nil"/>
              <w:bottom w:val="single" w:sz="4" w:space="0" w:color="000000"/>
              <w:right w:val="nil"/>
            </w:tcBorders>
            <w:shd w:val="clear" w:color="auto" w:fill="auto"/>
            <w:noWrap/>
            <w:vAlign w:val="center"/>
            <w:hideMark/>
          </w:tcPr>
          <w:p w14:paraId="24E854AD"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70120</w:t>
            </w:r>
          </w:p>
        </w:tc>
        <w:tc>
          <w:tcPr>
            <w:tcW w:w="1302" w:type="dxa"/>
            <w:tcBorders>
              <w:top w:val="nil"/>
              <w:left w:val="nil"/>
              <w:bottom w:val="single" w:sz="4" w:space="0" w:color="000000"/>
              <w:right w:val="nil"/>
            </w:tcBorders>
            <w:shd w:val="clear" w:color="auto" w:fill="auto"/>
            <w:noWrap/>
            <w:vAlign w:val="bottom"/>
            <w:hideMark/>
          </w:tcPr>
          <w:p w14:paraId="000534D0"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-2,2775</w:t>
            </w:r>
          </w:p>
        </w:tc>
        <w:tc>
          <w:tcPr>
            <w:tcW w:w="1587" w:type="dxa"/>
            <w:tcBorders>
              <w:top w:val="nil"/>
              <w:left w:val="nil"/>
              <w:bottom w:val="single" w:sz="4" w:space="0" w:color="000000"/>
              <w:right w:val="nil"/>
            </w:tcBorders>
            <w:shd w:val="clear" w:color="auto" w:fill="F2F2F2" w:themeFill="background1" w:themeFillShade="F2"/>
            <w:noWrap/>
            <w:vAlign w:val="center"/>
            <w:hideMark/>
          </w:tcPr>
          <w:p w14:paraId="62C7B95F" w14:textId="77777777" w:rsidR="008E0ADE" w:rsidRPr="008E0ADE" w:rsidRDefault="008E0ADE" w:rsidP="008E0ADE">
            <w:pPr>
              <w:spacing w:after="0" w:line="240" w:lineRule="auto"/>
              <w:jc w:val="left"/>
              <w:rPr>
                <w:rFonts w:eastAsia="Times New Roman" w:cs="Times New Roman"/>
                <w:color w:val="000000"/>
                <w:sz w:val="22"/>
                <w:lang w:val="pt-BR" w:eastAsia="pt-BR"/>
              </w:rPr>
            </w:pPr>
            <w:r w:rsidRPr="008E0ADE">
              <w:rPr>
                <w:rFonts w:eastAsia="Times New Roman" w:cs="Times New Roman"/>
                <w:color w:val="000000"/>
                <w:sz w:val="22"/>
                <w:lang w:val="pt-BR" w:eastAsia="pt-BR"/>
              </w:rPr>
              <w:t>QUIM_2025081</w:t>
            </w:r>
          </w:p>
        </w:tc>
        <w:tc>
          <w:tcPr>
            <w:tcW w:w="1443" w:type="dxa"/>
            <w:tcBorders>
              <w:top w:val="nil"/>
              <w:left w:val="nil"/>
              <w:bottom w:val="single" w:sz="4" w:space="0" w:color="000000"/>
              <w:right w:val="nil"/>
            </w:tcBorders>
            <w:shd w:val="clear" w:color="auto" w:fill="F2F2F2" w:themeFill="background1" w:themeFillShade="F2"/>
            <w:noWrap/>
            <w:vAlign w:val="bottom"/>
            <w:hideMark/>
          </w:tcPr>
          <w:p w14:paraId="231F58FE"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1,6069</w:t>
            </w:r>
          </w:p>
        </w:tc>
        <w:tc>
          <w:tcPr>
            <w:tcW w:w="3179" w:type="dxa"/>
            <w:tcBorders>
              <w:top w:val="nil"/>
              <w:left w:val="nil"/>
              <w:bottom w:val="single" w:sz="4" w:space="0" w:color="000000"/>
              <w:right w:val="nil"/>
            </w:tcBorders>
            <w:shd w:val="clear" w:color="auto" w:fill="auto"/>
            <w:noWrap/>
            <w:vAlign w:val="bottom"/>
            <w:hideMark/>
          </w:tcPr>
          <w:p w14:paraId="04A5C3B2"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0,009</w:t>
            </w:r>
          </w:p>
        </w:tc>
      </w:tr>
      <w:tr w:rsidR="008E0ADE" w:rsidRPr="008E0ADE" w14:paraId="14F66E02" w14:textId="77777777" w:rsidTr="00D871E7">
        <w:trPr>
          <w:trHeight w:val="288"/>
        </w:trPr>
        <w:tc>
          <w:tcPr>
            <w:tcW w:w="1684" w:type="dxa"/>
            <w:tcBorders>
              <w:top w:val="nil"/>
              <w:left w:val="nil"/>
              <w:bottom w:val="single" w:sz="4" w:space="0" w:color="000000"/>
              <w:right w:val="nil"/>
            </w:tcBorders>
            <w:shd w:val="clear" w:color="auto" w:fill="auto"/>
            <w:noWrap/>
            <w:vAlign w:val="bottom"/>
            <w:hideMark/>
          </w:tcPr>
          <w:p w14:paraId="54F98F08"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20150</w:t>
            </w:r>
          </w:p>
        </w:tc>
        <w:tc>
          <w:tcPr>
            <w:tcW w:w="1302" w:type="dxa"/>
            <w:tcBorders>
              <w:top w:val="nil"/>
              <w:left w:val="nil"/>
              <w:bottom w:val="single" w:sz="4" w:space="0" w:color="000000"/>
              <w:right w:val="nil"/>
            </w:tcBorders>
            <w:shd w:val="clear" w:color="auto" w:fill="auto"/>
            <w:noWrap/>
            <w:vAlign w:val="bottom"/>
            <w:hideMark/>
          </w:tcPr>
          <w:p w14:paraId="04F11BD9"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-1,6138</w:t>
            </w:r>
          </w:p>
        </w:tc>
        <w:tc>
          <w:tcPr>
            <w:tcW w:w="1587" w:type="dxa"/>
            <w:tcBorders>
              <w:top w:val="nil"/>
              <w:left w:val="nil"/>
              <w:bottom w:val="single" w:sz="4" w:space="0" w:color="000000"/>
              <w:right w:val="nil"/>
            </w:tcBorders>
            <w:shd w:val="clear" w:color="auto" w:fill="F2F2F2" w:themeFill="background1" w:themeFillShade="F2"/>
            <w:noWrap/>
            <w:vAlign w:val="bottom"/>
            <w:hideMark/>
          </w:tcPr>
          <w:p w14:paraId="30C60390" w14:textId="77777777" w:rsidR="008E0ADE" w:rsidRPr="008E0ADE" w:rsidRDefault="008E0ADE" w:rsidP="008E0ADE">
            <w:pPr>
              <w:spacing w:after="0" w:line="240" w:lineRule="auto"/>
              <w:jc w:val="left"/>
              <w:rPr>
                <w:rFonts w:eastAsia="Times New Roman" w:cs="Times New Roman"/>
                <w:color w:val="000000"/>
                <w:sz w:val="22"/>
                <w:lang w:val="pt-BR" w:eastAsia="pt-BR"/>
              </w:rPr>
            </w:pPr>
            <w:r w:rsidRPr="008E0ADE">
              <w:rPr>
                <w:rFonts w:eastAsia="Times New Roman" w:cs="Times New Roman"/>
                <w:color w:val="000000"/>
                <w:sz w:val="22"/>
                <w:lang w:val="pt-BR" w:eastAsia="pt-BR"/>
              </w:rPr>
              <w:t>QUIM_2025081</w:t>
            </w:r>
          </w:p>
        </w:tc>
        <w:tc>
          <w:tcPr>
            <w:tcW w:w="1443" w:type="dxa"/>
            <w:tcBorders>
              <w:top w:val="nil"/>
              <w:left w:val="nil"/>
              <w:bottom w:val="single" w:sz="4" w:space="0" w:color="000000"/>
              <w:right w:val="nil"/>
            </w:tcBorders>
            <w:shd w:val="clear" w:color="auto" w:fill="F2F2F2" w:themeFill="background1" w:themeFillShade="F2"/>
            <w:noWrap/>
            <w:vAlign w:val="bottom"/>
            <w:hideMark/>
          </w:tcPr>
          <w:p w14:paraId="378379D7"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1,6069</w:t>
            </w:r>
          </w:p>
        </w:tc>
        <w:tc>
          <w:tcPr>
            <w:tcW w:w="3179" w:type="dxa"/>
            <w:tcBorders>
              <w:top w:val="nil"/>
              <w:left w:val="nil"/>
              <w:bottom w:val="single" w:sz="4" w:space="0" w:color="000000"/>
              <w:right w:val="nil"/>
            </w:tcBorders>
            <w:shd w:val="clear" w:color="auto" w:fill="auto"/>
            <w:noWrap/>
            <w:vAlign w:val="bottom"/>
            <w:hideMark/>
          </w:tcPr>
          <w:p w14:paraId="49E5EE5E"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0,020</w:t>
            </w:r>
          </w:p>
        </w:tc>
      </w:tr>
      <w:tr w:rsidR="008E0ADE" w:rsidRPr="008E0ADE" w14:paraId="74DDDE7A" w14:textId="77777777" w:rsidTr="00D871E7">
        <w:trPr>
          <w:trHeight w:val="288"/>
        </w:trPr>
        <w:tc>
          <w:tcPr>
            <w:tcW w:w="1684" w:type="dxa"/>
            <w:tcBorders>
              <w:top w:val="nil"/>
              <w:left w:val="nil"/>
              <w:bottom w:val="single" w:sz="4" w:space="0" w:color="000000"/>
              <w:right w:val="nil"/>
            </w:tcBorders>
            <w:shd w:val="clear" w:color="auto" w:fill="auto"/>
            <w:noWrap/>
            <w:vAlign w:val="bottom"/>
            <w:hideMark/>
          </w:tcPr>
          <w:p w14:paraId="4CE6FEBE"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10110</w:t>
            </w:r>
          </w:p>
        </w:tc>
        <w:tc>
          <w:tcPr>
            <w:tcW w:w="1302" w:type="dxa"/>
            <w:tcBorders>
              <w:top w:val="nil"/>
              <w:left w:val="nil"/>
              <w:bottom w:val="single" w:sz="4" w:space="0" w:color="000000"/>
              <w:right w:val="nil"/>
            </w:tcBorders>
            <w:shd w:val="clear" w:color="auto" w:fill="auto"/>
            <w:noWrap/>
            <w:vAlign w:val="bottom"/>
            <w:hideMark/>
          </w:tcPr>
          <w:p w14:paraId="54C7ABD2"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-1,2518</w:t>
            </w:r>
          </w:p>
        </w:tc>
        <w:tc>
          <w:tcPr>
            <w:tcW w:w="1587" w:type="dxa"/>
            <w:tcBorders>
              <w:top w:val="nil"/>
              <w:left w:val="nil"/>
              <w:bottom w:val="single" w:sz="4" w:space="0" w:color="000000"/>
              <w:right w:val="nil"/>
            </w:tcBorders>
            <w:shd w:val="clear" w:color="auto" w:fill="F2F2F2" w:themeFill="background1" w:themeFillShade="F2"/>
            <w:noWrap/>
            <w:vAlign w:val="bottom"/>
            <w:hideMark/>
          </w:tcPr>
          <w:p w14:paraId="0B17673E" w14:textId="77777777" w:rsidR="008E0ADE" w:rsidRPr="008E0ADE" w:rsidRDefault="008E0ADE" w:rsidP="008E0ADE">
            <w:pPr>
              <w:spacing w:after="0" w:line="240" w:lineRule="auto"/>
              <w:jc w:val="left"/>
              <w:rPr>
                <w:rFonts w:eastAsia="Times New Roman" w:cs="Times New Roman"/>
                <w:color w:val="000000"/>
                <w:sz w:val="22"/>
                <w:lang w:val="pt-BR" w:eastAsia="pt-BR"/>
              </w:rPr>
            </w:pPr>
            <w:r w:rsidRPr="008E0ADE">
              <w:rPr>
                <w:rFonts w:eastAsia="Times New Roman" w:cs="Times New Roman"/>
                <w:color w:val="000000"/>
                <w:sz w:val="22"/>
                <w:lang w:val="pt-BR" w:eastAsia="pt-BR"/>
              </w:rPr>
              <w:t>QUIM_2025081</w:t>
            </w:r>
          </w:p>
        </w:tc>
        <w:tc>
          <w:tcPr>
            <w:tcW w:w="1443" w:type="dxa"/>
            <w:tcBorders>
              <w:top w:val="nil"/>
              <w:left w:val="nil"/>
              <w:bottom w:val="single" w:sz="4" w:space="0" w:color="000000"/>
              <w:right w:val="nil"/>
            </w:tcBorders>
            <w:shd w:val="clear" w:color="auto" w:fill="F2F2F2" w:themeFill="background1" w:themeFillShade="F2"/>
            <w:noWrap/>
            <w:vAlign w:val="bottom"/>
            <w:hideMark/>
          </w:tcPr>
          <w:p w14:paraId="1BE061BC"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1,6069</w:t>
            </w:r>
          </w:p>
        </w:tc>
        <w:tc>
          <w:tcPr>
            <w:tcW w:w="3179" w:type="dxa"/>
            <w:tcBorders>
              <w:top w:val="nil"/>
              <w:left w:val="nil"/>
              <w:bottom w:val="single" w:sz="4" w:space="0" w:color="000000"/>
              <w:right w:val="nil"/>
            </w:tcBorders>
            <w:shd w:val="clear" w:color="auto" w:fill="auto"/>
            <w:noWrap/>
            <w:vAlign w:val="bottom"/>
            <w:hideMark/>
          </w:tcPr>
          <w:p w14:paraId="0A122338"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0,030</w:t>
            </w:r>
          </w:p>
        </w:tc>
      </w:tr>
      <w:tr w:rsidR="008E0ADE" w:rsidRPr="008E0ADE" w14:paraId="1E7EE29C" w14:textId="77777777" w:rsidTr="00D871E7">
        <w:trPr>
          <w:trHeight w:val="288"/>
        </w:trPr>
        <w:tc>
          <w:tcPr>
            <w:tcW w:w="1684" w:type="dxa"/>
            <w:tcBorders>
              <w:top w:val="nil"/>
              <w:left w:val="nil"/>
              <w:bottom w:val="single" w:sz="4" w:space="0" w:color="000000"/>
              <w:right w:val="nil"/>
            </w:tcBorders>
            <w:shd w:val="clear" w:color="auto" w:fill="auto"/>
            <w:noWrap/>
            <w:vAlign w:val="bottom"/>
            <w:hideMark/>
          </w:tcPr>
          <w:p w14:paraId="7EACE4EE"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50160</w:t>
            </w:r>
          </w:p>
        </w:tc>
        <w:tc>
          <w:tcPr>
            <w:tcW w:w="1302" w:type="dxa"/>
            <w:tcBorders>
              <w:top w:val="nil"/>
              <w:left w:val="nil"/>
              <w:bottom w:val="single" w:sz="4" w:space="0" w:color="000000"/>
              <w:right w:val="nil"/>
            </w:tcBorders>
            <w:shd w:val="clear" w:color="auto" w:fill="auto"/>
            <w:noWrap/>
            <w:vAlign w:val="bottom"/>
            <w:hideMark/>
          </w:tcPr>
          <w:p w14:paraId="49D76CFB"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-1,1537</w:t>
            </w:r>
          </w:p>
        </w:tc>
        <w:tc>
          <w:tcPr>
            <w:tcW w:w="1587" w:type="dxa"/>
            <w:tcBorders>
              <w:top w:val="nil"/>
              <w:left w:val="nil"/>
              <w:bottom w:val="single" w:sz="4" w:space="0" w:color="000000"/>
              <w:right w:val="nil"/>
            </w:tcBorders>
            <w:shd w:val="clear" w:color="auto" w:fill="F2F2F2" w:themeFill="background1" w:themeFillShade="F2"/>
            <w:noWrap/>
            <w:vAlign w:val="bottom"/>
            <w:hideMark/>
          </w:tcPr>
          <w:p w14:paraId="687CB006" w14:textId="77777777" w:rsidR="008E0ADE" w:rsidRPr="008E0ADE" w:rsidRDefault="008E0ADE" w:rsidP="008E0ADE">
            <w:pPr>
              <w:spacing w:after="0" w:line="240" w:lineRule="auto"/>
              <w:jc w:val="left"/>
              <w:rPr>
                <w:rFonts w:eastAsia="Times New Roman" w:cs="Times New Roman"/>
                <w:color w:val="000000"/>
                <w:sz w:val="22"/>
                <w:lang w:val="pt-BR" w:eastAsia="pt-BR"/>
              </w:rPr>
            </w:pPr>
            <w:r w:rsidRPr="008E0ADE">
              <w:rPr>
                <w:rFonts w:eastAsia="Times New Roman" w:cs="Times New Roman"/>
                <w:color w:val="000000"/>
                <w:sz w:val="22"/>
                <w:lang w:val="pt-BR" w:eastAsia="pt-BR"/>
              </w:rPr>
              <w:t>QUIM_2025081</w:t>
            </w:r>
          </w:p>
        </w:tc>
        <w:tc>
          <w:tcPr>
            <w:tcW w:w="1443" w:type="dxa"/>
            <w:tcBorders>
              <w:top w:val="nil"/>
              <w:left w:val="nil"/>
              <w:bottom w:val="single" w:sz="4" w:space="0" w:color="000000"/>
              <w:right w:val="nil"/>
            </w:tcBorders>
            <w:shd w:val="clear" w:color="auto" w:fill="F2F2F2" w:themeFill="background1" w:themeFillShade="F2"/>
            <w:noWrap/>
            <w:vAlign w:val="bottom"/>
            <w:hideMark/>
          </w:tcPr>
          <w:p w14:paraId="1279C407"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1,6069</w:t>
            </w:r>
          </w:p>
        </w:tc>
        <w:tc>
          <w:tcPr>
            <w:tcW w:w="3179" w:type="dxa"/>
            <w:tcBorders>
              <w:top w:val="nil"/>
              <w:left w:val="nil"/>
              <w:bottom w:val="single" w:sz="4" w:space="0" w:color="000000"/>
              <w:right w:val="nil"/>
            </w:tcBorders>
            <w:shd w:val="clear" w:color="auto" w:fill="auto"/>
            <w:noWrap/>
            <w:vAlign w:val="bottom"/>
            <w:hideMark/>
          </w:tcPr>
          <w:p w14:paraId="6461FEF5"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0,034</w:t>
            </w:r>
          </w:p>
        </w:tc>
      </w:tr>
      <w:tr w:rsidR="008E0ADE" w:rsidRPr="008E0ADE" w14:paraId="6EB75B96" w14:textId="77777777" w:rsidTr="00D871E7">
        <w:trPr>
          <w:trHeight w:val="288"/>
        </w:trPr>
        <w:tc>
          <w:tcPr>
            <w:tcW w:w="1684" w:type="dxa"/>
            <w:tcBorders>
              <w:top w:val="nil"/>
              <w:left w:val="nil"/>
              <w:bottom w:val="single" w:sz="4" w:space="0" w:color="000000"/>
              <w:right w:val="nil"/>
            </w:tcBorders>
            <w:shd w:val="clear" w:color="auto" w:fill="auto"/>
            <w:noWrap/>
            <w:vAlign w:val="bottom"/>
            <w:hideMark/>
          </w:tcPr>
          <w:p w14:paraId="04C839D7"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20120</w:t>
            </w:r>
          </w:p>
        </w:tc>
        <w:tc>
          <w:tcPr>
            <w:tcW w:w="1302" w:type="dxa"/>
            <w:tcBorders>
              <w:top w:val="nil"/>
              <w:left w:val="nil"/>
              <w:bottom w:val="single" w:sz="4" w:space="0" w:color="000000"/>
              <w:right w:val="nil"/>
            </w:tcBorders>
            <w:shd w:val="clear" w:color="auto" w:fill="auto"/>
            <w:noWrap/>
            <w:vAlign w:val="bottom"/>
            <w:hideMark/>
          </w:tcPr>
          <w:p w14:paraId="105FA54E"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-0,8824</w:t>
            </w:r>
          </w:p>
        </w:tc>
        <w:tc>
          <w:tcPr>
            <w:tcW w:w="1587" w:type="dxa"/>
            <w:tcBorders>
              <w:top w:val="nil"/>
              <w:left w:val="nil"/>
              <w:bottom w:val="single" w:sz="4" w:space="0" w:color="000000"/>
              <w:right w:val="nil"/>
            </w:tcBorders>
            <w:shd w:val="clear" w:color="auto" w:fill="F2F2F2" w:themeFill="background1" w:themeFillShade="F2"/>
            <w:noWrap/>
            <w:vAlign w:val="bottom"/>
            <w:hideMark/>
          </w:tcPr>
          <w:p w14:paraId="40555DA7" w14:textId="77777777" w:rsidR="008E0ADE" w:rsidRPr="008E0ADE" w:rsidRDefault="008E0ADE" w:rsidP="008E0ADE">
            <w:pPr>
              <w:spacing w:after="0" w:line="240" w:lineRule="auto"/>
              <w:jc w:val="left"/>
              <w:rPr>
                <w:rFonts w:eastAsia="Times New Roman" w:cs="Times New Roman"/>
                <w:color w:val="000000"/>
                <w:sz w:val="22"/>
                <w:lang w:val="pt-BR" w:eastAsia="pt-BR"/>
              </w:rPr>
            </w:pPr>
            <w:r w:rsidRPr="008E0ADE">
              <w:rPr>
                <w:rFonts w:eastAsia="Times New Roman" w:cs="Times New Roman"/>
                <w:color w:val="000000"/>
                <w:sz w:val="22"/>
                <w:lang w:val="pt-BR" w:eastAsia="pt-BR"/>
              </w:rPr>
              <w:t>QUIM_2025081</w:t>
            </w:r>
          </w:p>
        </w:tc>
        <w:tc>
          <w:tcPr>
            <w:tcW w:w="1443" w:type="dxa"/>
            <w:tcBorders>
              <w:top w:val="nil"/>
              <w:left w:val="nil"/>
              <w:bottom w:val="single" w:sz="4" w:space="0" w:color="000000"/>
              <w:right w:val="nil"/>
            </w:tcBorders>
            <w:shd w:val="clear" w:color="auto" w:fill="F2F2F2" w:themeFill="background1" w:themeFillShade="F2"/>
            <w:noWrap/>
            <w:vAlign w:val="bottom"/>
            <w:hideMark/>
          </w:tcPr>
          <w:p w14:paraId="25F6B1FA"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1,6069</w:t>
            </w:r>
          </w:p>
        </w:tc>
        <w:tc>
          <w:tcPr>
            <w:tcW w:w="3179" w:type="dxa"/>
            <w:tcBorders>
              <w:top w:val="nil"/>
              <w:left w:val="nil"/>
              <w:bottom w:val="single" w:sz="4" w:space="0" w:color="000000"/>
              <w:right w:val="nil"/>
            </w:tcBorders>
            <w:shd w:val="clear" w:color="auto" w:fill="auto"/>
            <w:noWrap/>
            <w:vAlign w:val="bottom"/>
            <w:hideMark/>
          </w:tcPr>
          <w:p w14:paraId="0416834A"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0,046</w:t>
            </w:r>
          </w:p>
        </w:tc>
      </w:tr>
      <w:tr w:rsidR="008E0ADE" w:rsidRPr="008E0ADE" w14:paraId="610555B4" w14:textId="77777777" w:rsidTr="00D871E7">
        <w:trPr>
          <w:trHeight w:val="288"/>
        </w:trPr>
        <w:tc>
          <w:tcPr>
            <w:tcW w:w="1684" w:type="dxa"/>
            <w:tcBorders>
              <w:top w:val="nil"/>
              <w:left w:val="nil"/>
              <w:bottom w:val="single" w:sz="4" w:space="0" w:color="000000"/>
              <w:right w:val="nil"/>
            </w:tcBorders>
            <w:shd w:val="clear" w:color="auto" w:fill="auto"/>
            <w:noWrap/>
            <w:vAlign w:val="bottom"/>
            <w:hideMark/>
          </w:tcPr>
          <w:p w14:paraId="0B41820E"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50190</w:t>
            </w:r>
          </w:p>
        </w:tc>
        <w:tc>
          <w:tcPr>
            <w:tcW w:w="1302" w:type="dxa"/>
            <w:tcBorders>
              <w:top w:val="nil"/>
              <w:left w:val="nil"/>
              <w:bottom w:val="single" w:sz="4" w:space="0" w:color="000000"/>
              <w:right w:val="nil"/>
            </w:tcBorders>
            <w:shd w:val="clear" w:color="auto" w:fill="auto"/>
            <w:noWrap/>
            <w:vAlign w:val="bottom"/>
            <w:hideMark/>
          </w:tcPr>
          <w:p w14:paraId="6B27109A" w14:textId="77777777" w:rsidR="008E0ADE" w:rsidRPr="008E0ADE" w:rsidRDefault="008E0ADE" w:rsidP="008E0ADE">
            <w:pPr>
              <w:spacing w:after="0" w:line="240" w:lineRule="auto"/>
              <w:jc w:val="right"/>
              <w:rPr>
                <w:rFonts w:eastAsia="Times New Roman" w:cs="Times New Roman"/>
                <w:color w:val="000000"/>
                <w:sz w:val="22"/>
                <w:lang w:val="pt-BR" w:eastAsia="pt-BR"/>
              </w:rPr>
            </w:pPr>
            <w:r w:rsidRPr="008E0ADE">
              <w:rPr>
                <w:rFonts w:eastAsia="Times New Roman" w:cs="Times New Roman"/>
                <w:color w:val="000000"/>
                <w:sz w:val="22"/>
                <w:lang w:val="pt-BR" w:eastAsia="pt-BR"/>
              </w:rPr>
              <w:t>-0,7551</w:t>
            </w:r>
          </w:p>
        </w:tc>
        <w:tc>
          <w:tcPr>
            <w:tcW w:w="1587" w:type="dxa"/>
            <w:tcBorders>
              <w:top w:val="nil"/>
              <w:left w:val="nil"/>
              <w:bottom w:val="single" w:sz="4" w:space="0" w:color="000000"/>
              <w:right w:val="nil"/>
            </w:tcBorders>
            <w:shd w:val="clear" w:color="auto" w:fill="F2F2F2" w:themeFill="background1" w:themeFillShade="F2"/>
            <w:noWrap/>
            <w:vAlign w:val="bottom"/>
            <w:hideMark/>
          </w:tcPr>
          <w:p w14:paraId="54B4C2A7" w14:textId="77777777" w:rsidR="008E0ADE" w:rsidRPr="008E0ADE" w:rsidRDefault="008E0ADE" w:rsidP="008E0ADE">
            <w:pPr>
              <w:spacing w:after="0" w:line="240" w:lineRule="auto"/>
              <w:jc w:val="left"/>
              <w:rPr>
                <w:rFonts w:eastAsia="Times New Roman" w:cs="Times New Roman"/>
                <w:color w:val="000000"/>
                <w:sz w:val="22"/>
                <w:lang w:val="pt-BR" w:eastAsia="pt-BR"/>
              </w:rPr>
            </w:pPr>
            <w:r w:rsidRPr="008E0ADE">
              <w:rPr>
                <w:rFonts w:eastAsia="Times New Roman" w:cs="Times New Roman"/>
                <w:color w:val="000000"/>
                <w:sz w:val="22"/>
                <w:lang w:val="pt-BR" w:eastAsia="pt-BR"/>
              </w:rPr>
              <w:t>QUIM_2025081</w:t>
            </w:r>
          </w:p>
        </w:tc>
        <w:tc>
          <w:tcPr>
            <w:tcW w:w="1443" w:type="dxa"/>
            <w:tcBorders>
              <w:top w:val="nil"/>
              <w:left w:val="nil"/>
              <w:bottom w:val="single" w:sz="4" w:space="0" w:color="000000"/>
              <w:right w:val="nil"/>
            </w:tcBorders>
            <w:shd w:val="clear" w:color="auto" w:fill="F2F2F2" w:themeFill="background1" w:themeFillShade="F2"/>
            <w:noWrap/>
            <w:vAlign w:val="bottom"/>
            <w:hideMark/>
          </w:tcPr>
          <w:p w14:paraId="359C7149"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1,6069</w:t>
            </w:r>
          </w:p>
        </w:tc>
        <w:tc>
          <w:tcPr>
            <w:tcW w:w="3179" w:type="dxa"/>
            <w:tcBorders>
              <w:top w:val="nil"/>
              <w:left w:val="nil"/>
              <w:bottom w:val="single" w:sz="4" w:space="0" w:color="000000"/>
              <w:right w:val="nil"/>
            </w:tcBorders>
            <w:shd w:val="clear" w:color="auto" w:fill="auto"/>
            <w:noWrap/>
            <w:vAlign w:val="bottom"/>
            <w:hideMark/>
          </w:tcPr>
          <w:p w14:paraId="4DB2D795" w14:textId="77777777" w:rsidR="008E0ADE" w:rsidRPr="008E0ADE" w:rsidRDefault="008E0ADE" w:rsidP="008E0ADE">
            <w:pPr>
              <w:spacing w:after="0" w:line="240" w:lineRule="auto"/>
              <w:jc w:val="center"/>
              <w:rPr>
                <w:rFonts w:eastAsia="Times New Roman" w:cs="Times New Roman"/>
                <w:color w:val="000000"/>
                <w:sz w:val="22"/>
                <w:lang w:val="pt-BR" w:eastAsia="pt-BR"/>
              </w:rPr>
            </w:pPr>
            <w:r w:rsidRPr="008E0ADE">
              <w:rPr>
                <w:rFonts w:eastAsia="Times New Roman" w:cs="Times New Roman"/>
                <w:color w:val="000000"/>
                <w:sz w:val="22"/>
                <w:lang w:val="pt-BR" w:eastAsia="pt-BR"/>
              </w:rPr>
              <w:t>0,054</w:t>
            </w:r>
          </w:p>
        </w:tc>
      </w:tr>
    </w:tbl>
    <w:p w14:paraId="2C556D7D" w14:textId="68AA1607" w:rsidR="00DC3B99" w:rsidRPr="008F6E13" w:rsidRDefault="00000000" w:rsidP="008E0ADE">
      <w:pPr>
        <w:spacing w:before="240"/>
        <w:ind w:firstLine="709"/>
        <w:rPr>
          <w:lang w:val="pt-BR"/>
        </w:rPr>
      </w:pPr>
      <w:r w:rsidRPr="008F6E13">
        <w:rPr>
          <w:lang w:val="pt-BR"/>
        </w:rPr>
        <w:t xml:space="preserve">O ajuste do modelo 3PL contornou essa distorção psicométrica ao isolar matematicamente o parâmetro de </w:t>
      </w:r>
      <w:r w:rsidR="008F6E13" w:rsidRPr="008F6E13">
        <w:rPr>
          <w:lang w:val="pt-BR"/>
        </w:rPr>
        <w:t xml:space="preserve">acerto casual </w:t>
      </w:r>
      <w:r w:rsidRPr="008F6E13">
        <w:rPr>
          <w:lang w:val="pt-BR"/>
        </w:rPr>
        <w:t xml:space="preserve">(c). A superioridade estatística do modelo 3PL foi corroborada por testes comparativos de ajuste global (ANOVA) e pela redução consistente nos critérios de informação (AIC e BIC) em relação ao 2PL. Como evidência prática, ao analisar estudantes de um mesmo curso técnico submetidos ao mesmo caderno de prova com o mesmo </w:t>
      </w:r>
      <w:r w:rsidRPr="008F6E13">
        <w:rPr>
          <w:lang w:val="pt-BR"/>
        </w:rPr>
        <w:lastRenderedPageBreak/>
        <w:t xml:space="preserve">escore de acertos, o modelo 3PL estimou proficiências altamente diferenciadas. </w:t>
      </w:r>
      <w:r w:rsidR="008F6E13" w:rsidRPr="008F6E13">
        <w:rPr>
          <w:lang w:val="pt-BR"/>
        </w:rPr>
        <w:t xml:space="preserve">Na prática um </w:t>
      </w:r>
      <w:r w:rsidRPr="008F6E13">
        <w:rPr>
          <w:lang w:val="pt-BR"/>
        </w:rPr>
        <w:t xml:space="preserve">estudante A, que acertou itens fáceis/médios e os mais difíceis de forma consistente obteve </w:t>
      </w:r>
      <w:r w:rsidR="008F6E13" w:rsidRPr="008F6E13">
        <w:rPr>
          <w:lang w:val="pt-BR"/>
        </w:rPr>
        <w:t xml:space="preserve">uma maior </w:t>
      </w:r>
      <w:r w:rsidR="006547D3">
        <w:rPr>
          <w:lang w:val="pt-BR"/>
        </w:rPr>
        <w:t xml:space="preserve">estimativa de </w:t>
      </w:r>
      <w:r w:rsidRPr="008F6E13">
        <w:rPr>
          <w:lang w:val="pt-BR"/>
        </w:rPr>
        <w:t xml:space="preserve">proficiência, enquanto o estudante B, que errou itens de média </w:t>
      </w:r>
      <w:r w:rsidR="000346BD" w:rsidRPr="008F6E13">
        <w:rPr>
          <w:lang w:val="pt-BR"/>
        </w:rPr>
        <w:t>complexidade,</w:t>
      </w:r>
      <w:r w:rsidRPr="008F6E13">
        <w:rPr>
          <w:lang w:val="pt-BR"/>
        </w:rPr>
        <w:t xml:space="preserve"> mas acertou fortuitamente as questões mais difíceis, teve sua </w:t>
      </w:r>
      <w:r w:rsidR="006547D3">
        <w:rPr>
          <w:lang w:val="pt-BR"/>
        </w:rPr>
        <w:t xml:space="preserve">estimativa de </w:t>
      </w:r>
      <w:r w:rsidRPr="008F6E13">
        <w:rPr>
          <w:lang w:val="pt-BR"/>
        </w:rPr>
        <w:t xml:space="preserve">proficiência </w:t>
      </w:r>
      <w:r w:rsidR="006547D3">
        <w:rPr>
          <w:lang w:val="pt-BR"/>
        </w:rPr>
        <w:t>ajustada</w:t>
      </w:r>
      <w:r w:rsidRPr="008F6E13">
        <w:rPr>
          <w:lang w:val="pt-BR"/>
        </w:rPr>
        <w:t xml:space="preserve">, uma vez que o modelo 3PL </w:t>
      </w:r>
      <w:r w:rsidR="006547D3">
        <w:rPr>
          <w:lang w:val="pt-BR"/>
        </w:rPr>
        <w:t>levou em consideração</w:t>
      </w:r>
      <w:r w:rsidR="006547D3" w:rsidRPr="008F6E13">
        <w:rPr>
          <w:lang w:val="pt-BR"/>
        </w:rPr>
        <w:t xml:space="preserve"> </w:t>
      </w:r>
      <w:r w:rsidRPr="008F6E13">
        <w:rPr>
          <w:lang w:val="pt-BR"/>
        </w:rPr>
        <w:t xml:space="preserve">o efeito estatístico do acerto </w:t>
      </w:r>
      <w:r w:rsidR="008F6E13" w:rsidRPr="008F6E13">
        <w:rPr>
          <w:lang w:val="pt-BR"/>
        </w:rPr>
        <w:t>casual</w:t>
      </w:r>
      <w:r w:rsidRPr="008F6E13">
        <w:rPr>
          <w:lang w:val="pt-BR"/>
        </w:rPr>
        <w:t>.</w:t>
      </w:r>
    </w:p>
    <w:p w14:paraId="18758C98" w14:textId="77777777" w:rsidR="00DC3B99" w:rsidRPr="00040F78" w:rsidRDefault="00000000">
      <w:pPr>
        <w:pStyle w:val="Ttulo1"/>
        <w:rPr>
          <w:lang w:val="pt-BR"/>
        </w:rPr>
      </w:pPr>
      <w:r w:rsidRPr="00040F78">
        <w:rPr>
          <w:lang w:val="pt-BR"/>
        </w:rPr>
        <w:t>Conclusões e Considerações Finais</w:t>
      </w:r>
    </w:p>
    <w:p w14:paraId="709F606F" w14:textId="15EC4035" w:rsidR="00DC3B99" w:rsidRPr="00040F78" w:rsidRDefault="00000000">
      <w:pPr>
        <w:ind w:firstLine="709"/>
        <w:rPr>
          <w:lang w:val="pt-BR"/>
        </w:rPr>
      </w:pPr>
      <w:r w:rsidRPr="00040F78">
        <w:rPr>
          <w:lang w:val="pt-BR"/>
        </w:rPr>
        <w:t>Este estudo demonstrou a importância da modelagem psicométrica de múltiplos parâmetros para a consolidação de um sistema de avaliação robusto na Educação Profissional e Tecnológica (EPT). Os dados empíricos invalidaram o modelo 1PL ao demonstrar a quebra da premissa de discriminação constante e evidenciaram o viés provocado pelo acerto casual quando desconsiderado no modelo 2PL. O modelo logístico de 3 parâmetros (3PL) consolidou-se como a estrutura psicométrica ideal para a avaliação piloto de 202</w:t>
      </w:r>
      <w:r w:rsidR="00505214">
        <w:rPr>
          <w:lang w:val="pt-BR"/>
        </w:rPr>
        <w:t>5</w:t>
      </w:r>
      <w:r w:rsidRPr="00040F78">
        <w:rPr>
          <w:lang w:val="pt-BR"/>
        </w:rPr>
        <w:t xml:space="preserve">, oferecendo estimativas de proficiência mais </w:t>
      </w:r>
      <w:r w:rsidR="00505214" w:rsidRPr="00040F78">
        <w:rPr>
          <w:lang w:val="pt-BR"/>
        </w:rPr>
        <w:t>fidedigna</w:t>
      </w:r>
      <w:r w:rsidR="00505214">
        <w:rPr>
          <w:lang w:val="pt-BR"/>
        </w:rPr>
        <w:t>s</w:t>
      </w:r>
      <w:r w:rsidR="00505214" w:rsidRPr="00040F78">
        <w:rPr>
          <w:lang w:val="pt-BR"/>
        </w:rPr>
        <w:t xml:space="preserve"> </w:t>
      </w:r>
      <w:r w:rsidRPr="00040F78">
        <w:rPr>
          <w:lang w:val="pt-BR"/>
        </w:rPr>
        <w:t xml:space="preserve">ao penalizar padrões de respostas inconsistentes marcados pelo acerto casual. As análises e o fluxo computacional desenvolvidos neste estudo estabelecem uma metodologia sistemática de calibração que </w:t>
      </w:r>
      <w:r w:rsidR="00505214">
        <w:rPr>
          <w:lang w:val="pt-BR"/>
        </w:rPr>
        <w:t>tem o intuito de ser</w:t>
      </w:r>
      <w:r w:rsidRPr="00040F78">
        <w:rPr>
          <w:lang w:val="pt-BR"/>
        </w:rPr>
        <w:t xml:space="preserve"> referência para futuras edições das avaliações das áreas técnicas específicas do </w:t>
      </w:r>
      <w:r w:rsidR="00505214">
        <w:rPr>
          <w:lang w:val="pt-BR"/>
        </w:rPr>
        <w:t>INEP</w:t>
      </w:r>
      <w:r w:rsidRPr="00040F78">
        <w:rPr>
          <w:lang w:val="pt-BR"/>
        </w:rPr>
        <w:t>.</w:t>
      </w:r>
    </w:p>
    <w:p w14:paraId="2D436B86" w14:textId="77777777" w:rsidR="00DC3B99" w:rsidRPr="006926DC" w:rsidRDefault="00000000">
      <w:pPr>
        <w:pStyle w:val="Ttulo1"/>
      </w:pPr>
      <w:proofErr w:type="spellStart"/>
      <w:r w:rsidRPr="006926DC">
        <w:t>Referências</w:t>
      </w:r>
      <w:proofErr w:type="spellEnd"/>
    </w:p>
    <w:p w14:paraId="23927D17" w14:textId="77777777" w:rsidR="00312B5F" w:rsidRPr="00312B5F" w:rsidRDefault="00312B5F" w:rsidP="00312B5F">
      <w:pPr>
        <w:spacing w:line="276" w:lineRule="auto"/>
        <w:ind w:left="567" w:hanging="567"/>
        <w:jc w:val="left"/>
        <w:rPr>
          <w:lang w:val="pt-BR"/>
        </w:rPr>
      </w:pPr>
      <w:r w:rsidRPr="00312B5F">
        <w:rPr>
          <w:lang w:val="pt-BR"/>
        </w:rPr>
        <w:t xml:space="preserve">BRASIL. Ministério da Educação. Secretaria de Educação Profissional e Tecnológica. </w:t>
      </w:r>
      <w:r w:rsidRPr="00312B5F">
        <w:rPr>
          <w:b/>
          <w:bCs/>
          <w:lang w:val="pt-BR"/>
        </w:rPr>
        <w:t>Plataforma Nilo Peçanha (PNP)</w:t>
      </w:r>
      <w:r w:rsidRPr="00312B5F">
        <w:rPr>
          <w:lang w:val="pt-BR"/>
        </w:rPr>
        <w:t xml:space="preserve">. Brasília: MEC/SETEC, 2024. Disponível em: </w:t>
      </w:r>
      <w:hyperlink r:id="rId11" w:tgtFrame="_blank" w:history="1">
        <w:r w:rsidRPr="00312B5F">
          <w:rPr>
            <w:rStyle w:val="Hyperlink"/>
            <w:lang w:val="pt-BR"/>
          </w:rPr>
          <w:t>Plataforma Nilo Peçanha</w:t>
        </w:r>
      </w:hyperlink>
      <w:r w:rsidRPr="00312B5F">
        <w:rPr>
          <w:lang w:val="pt-BR"/>
        </w:rPr>
        <w:t>. Acesso em: 12 ago. 2026.</w:t>
      </w:r>
    </w:p>
    <w:p w14:paraId="0E80CE6C" w14:textId="24449E42" w:rsidR="00DC3B99" w:rsidRPr="006926DC" w:rsidRDefault="00000000">
      <w:pPr>
        <w:spacing w:line="276" w:lineRule="auto"/>
        <w:ind w:left="567" w:hanging="567"/>
        <w:jc w:val="left"/>
      </w:pPr>
      <w:r w:rsidRPr="006926DC">
        <w:t xml:space="preserve">CHALMERS, R. P. </w:t>
      </w:r>
      <w:proofErr w:type="spellStart"/>
      <w:r w:rsidRPr="006926DC">
        <w:t>mirt</w:t>
      </w:r>
      <w:proofErr w:type="spellEnd"/>
      <w:r w:rsidRPr="006926DC">
        <w:t>: A Multidimensional Item Response Theory Package for the R Environment. Journal of Statistical Software, v. 48, n. 6, p. 1-29, 2012.</w:t>
      </w:r>
    </w:p>
    <w:p w14:paraId="5D22F754" w14:textId="0CE3655F" w:rsidR="00235C5E" w:rsidRDefault="00235C5E">
      <w:pPr>
        <w:spacing w:line="276" w:lineRule="auto"/>
        <w:ind w:left="567" w:hanging="567"/>
        <w:jc w:val="left"/>
        <w:rPr>
          <w:lang w:val="pt-BR"/>
        </w:rPr>
      </w:pPr>
      <w:r w:rsidRPr="00235C5E">
        <w:rPr>
          <w:lang w:val="pt-BR"/>
        </w:rPr>
        <w:t>ANDRADE, D. F.; TAVARES, H. R.; VALLE, R. C. Teoria da Resposta ao Item: Conceitos e Aplicações. São Paulo: ABE, 2000.</w:t>
      </w:r>
    </w:p>
    <w:p w14:paraId="144F9074" w14:textId="1ABC4708" w:rsidR="00B92E45" w:rsidRDefault="00B92E45">
      <w:pPr>
        <w:spacing w:line="276" w:lineRule="auto"/>
        <w:ind w:left="567" w:hanging="567"/>
        <w:jc w:val="left"/>
        <w:rPr>
          <w:lang w:val="pt-BR"/>
        </w:rPr>
      </w:pPr>
      <w:r w:rsidRPr="00B92E45">
        <w:rPr>
          <w:lang w:val="pt-BR"/>
        </w:rPr>
        <w:t>LE BOTERF, G. Desenvolvendo Competências dos Profissionais. 3</w:t>
      </w:r>
      <w:r>
        <w:rPr>
          <w:lang w:val="pt-BR"/>
        </w:rPr>
        <w:t>ª</w:t>
      </w:r>
      <w:r w:rsidRPr="00B92E45">
        <w:rPr>
          <w:lang w:val="pt-BR"/>
        </w:rPr>
        <w:t xml:space="preserve"> edição. Porto Alegre: Artmed, 2003.</w:t>
      </w:r>
    </w:p>
    <w:p w14:paraId="10B793E3" w14:textId="6173545A" w:rsidR="00A64797" w:rsidRPr="006926DC" w:rsidRDefault="00A64797">
      <w:pPr>
        <w:spacing w:line="276" w:lineRule="auto"/>
        <w:ind w:left="567" w:hanging="567"/>
        <w:jc w:val="left"/>
      </w:pPr>
      <w:r w:rsidRPr="00A64797">
        <w:rPr>
          <w:lang w:val="pt-BR"/>
        </w:rPr>
        <w:t>KORB, T</w:t>
      </w:r>
      <w:r>
        <w:rPr>
          <w:lang w:val="pt-BR"/>
        </w:rPr>
        <w:t>.</w:t>
      </w:r>
      <w:r w:rsidRPr="00A64797">
        <w:rPr>
          <w:lang w:val="pt-BR"/>
        </w:rPr>
        <w:t xml:space="preserve">, A Avaliação do Domínio Psicomotor da Aprendizagem: Estudo para Construção de Escala de Proficiência na Educação Profissional. </w:t>
      </w:r>
      <w:proofErr w:type="spellStart"/>
      <w:r w:rsidRPr="006926DC">
        <w:t>Dissertação</w:t>
      </w:r>
      <w:proofErr w:type="spellEnd"/>
      <w:r w:rsidRPr="006926DC">
        <w:t xml:space="preserve"> de </w:t>
      </w:r>
      <w:proofErr w:type="spellStart"/>
      <w:r w:rsidRPr="006926DC">
        <w:t>Mestrado</w:t>
      </w:r>
      <w:proofErr w:type="spellEnd"/>
      <w:r w:rsidRPr="006926DC">
        <w:t xml:space="preserve"> </w:t>
      </w:r>
      <w:proofErr w:type="spellStart"/>
      <w:r w:rsidRPr="006926DC">
        <w:t>Profissional</w:t>
      </w:r>
      <w:proofErr w:type="spellEnd"/>
      <w:r w:rsidRPr="006926DC">
        <w:t>, UFSC, 2019.</w:t>
      </w:r>
    </w:p>
    <w:p w14:paraId="6B3911FC" w14:textId="3BE959F5" w:rsidR="00DC3B99" w:rsidRPr="006926DC" w:rsidRDefault="00000000">
      <w:pPr>
        <w:spacing w:line="276" w:lineRule="auto"/>
        <w:ind w:left="567" w:hanging="567"/>
        <w:jc w:val="left"/>
      </w:pPr>
      <w:r w:rsidRPr="006926DC">
        <w:t>MISLEVY, R. J. Recent developments in the factor analysis of categorical variables. Journal of Educational Statistics, v. 11, n. 1, p. 3-31, 1986.</w:t>
      </w:r>
    </w:p>
    <w:p w14:paraId="04D993A8" w14:textId="69189AEB" w:rsidR="00DC3B99" w:rsidRPr="00040F78" w:rsidRDefault="00000000" w:rsidP="00235C5E">
      <w:pPr>
        <w:spacing w:line="276" w:lineRule="auto"/>
        <w:ind w:left="567" w:hanging="567"/>
        <w:jc w:val="left"/>
        <w:rPr>
          <w:lang w:val="pt-BR"/>
        </w:rPr>
      </w:pPr>
      <w:r w:rsidRPr="006926DC">
        <w:t xml:space="preserve">MORAES, G. H. et al. </w:t>
      </w:r>
      <w:r w:rsidRPr="00040F78">
        <w:rPr>
          <w:lang w:val="pt-BR"/>
        </w:rPr>
        <w:t>Avaliação da Educação Profissional e Tecnológica: um campo em construção. Brasília: Inep, 2020.</w:t>
      </w:r>
    </w:p>
    <w:sectPr w:rsidR="00DC3B99" w:rsidRPr="00040F78" w:rsidSect="008E0ADE">
      <w:pgSz w:w="11906" w:h="16838" w:code="9"/>
      <w:pgMar w:top="1701" w:right="1134" w:bottom="1134"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BF661" w14:textId="77777777" w:rsidR="000821C1" w:rsidRDefault="000821C1" w:rsidP="00695BA1">
      <w:pPr>
        <w:spacing w:after="0" w:line="240" w:lineRule="auto"/>
      </w:pPr>
      <w:r>
        <w:separator/>
      </w:r>
    </w:p>
  </w:endnote>
  <w:endnote w:type="continuationSeparator" w:id="0">
    <w:p w14:paraId="5132B3E3" w14:textId="77777777" w:rsidR="000821C1" w:rsidRDefault="000821C1" w:rsidP="00695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7526"/>
      <w:gridCol w:w="1545"/>
    </w:tblGrid>
    <w:tr w:rsidR="00695BA1" w:rsidRPr="00CC0258" w14:paraId="16D6DB36" w14:textId="77777777" w:rsidTr="001D5D33">
      <w:tc>
        <w:tcPr>
          <w:tcW w:w="7621" w:type="dxa"/>
          <w:shd w:val="clear" w:color="auto" w:fill="auto"/>
          <w:vAlign w:val="center"/>
        </w:tcPr>
        <w:p w14:paraId="69A7A9DB" w14:textId="77777777" w:rsidR="00695BA1" w:rsidRPr="00CC0258" w:rsidRDefault="00695BA1" w:rsidP="00695BA1">
          <w:pPr>
            <w:widowControl w:val="0"/>
            <w:tabs>
              <w:tab w:val="left" w:pos="2760"/>
            </w:tabs>
            <w:autoSpaceDE w:val="0"/>
            <w:autoSpaceDN w:val="0"/>
            <w:adjustRightInd w:val="0"/>
            <w:spacing w:after="0" w:line="200" w:lineRule="exact"/>
            <w:jc w:val="left"/>
            <w:rPr>
              <w:rFonts w:cs="Arial"/>
              <w:i/>
              <w:sz w:val="20"/>
              <w:szCs w:val="20"/>
            </w:rPr>
          </w:pPr>
          <w:r w:rsidRPr="00CC0258">
            <w:rPr>
              <w:noProof/>
            </w:rPr>
            <mc:AlternateContent>
              <mc:Choice Requires="wps">
                <w:drawing>
                  <wp:anchor distT="0" distB="0" distL="114300" distR="114300" simplePos="0" relativeHeight="251659264" behindDoc="1" locked="0" layoutInCell="0" allowOverlap="1" wp14:anchorId="4BA45DD7" wp14:editId="7BB0D5EC">
                    <wp:simplePos x="0" y="0"/>
                    <wp:positionH relativeFrom="page">
                      <wp:posOffset>6235700</wp:posOffset>
                    </wp:positionH>
                    <wp:positionV relativeFrom="page">
                      <wp:posOffset>10182225</wp:posOffset>
                    </wp:positionV>
                    <wp:extent cx="432435" cy="15684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F0CA6" w14:textId="77777777" w:rsidR="00695BA1" w:rsidRDefault="00695BA1" w:rsidP="00695BA1">
                                <w:pPr>
                                  <w:widowControl w:val="0"/>
                                  <w:autoSpaceDE w:val="0"/>
                                  <w:autoSpaceDN w:val="0"/>
                                  <w:adjustRightInd w:val="0"/>
                                  <w:spacing w:after="0" w:line="223" w:lineRule="exact"/>
                                  <w:ind w:left="20"/>
                                  <w:rPr>
                                    <w:sz w:val="20"/>
                                    <w:szCs w:val="20"/>
                                  </w:rPr>
                                </w:pPr>
                                <w:proofErr w:type="spellStart"/>
                                <w:r>
                                  <w:rPr>
                                    <w:w w:val="118"/>
                                    <w:sz w:val="20"/>
                                    <w:szCs w:val="20"/>
                                  </w:rPr>
                                  <w:t>Pág</w:t>
                                </w:r>
                                <w:proofErr w:type="spellEnd"/>
                                <w:r>
                                  <w:rPr>
                                    <w:w w:val="118"/>
                                    <w:sz w:val="20"/>
                                    <w:szCs w:val="20"/>
                                  </w:rPr>
                                  <w:t>.</w:t>
                                </w:r>
                                <w:r>
                                  <w:rPr>
                                    <w:spacing w:val="22"/>
                                    <w:w w:val="118"/>
                                    <w:sz w:val="20"/>
                                    <w:szCs w:val="20"/>
                                  </w:rPr>
                                  <w:t xml:space="preserve"> </w:t>
                                </w:r>
                                <w:r>
                                  <w:rPr>
                                    <w:w w:val="118"/>
                                    <w:sz w:val="20"/>
                                    <w:szCs w:val="20"/>
                                  </w:rPr>
                                  <w:fldChar w:fldCharType="begin"/>
                                </w:r>
                                <w:r>
                                  <w:rPr>
                                    <w:w w:val="118"/>
                                    <w:sz w:val="20"/>
                                    <w:szCs w:val="20"/>
                                  </w:rPr>
                                  <w:instrText xml:space="preserve"> PAGE </w:instrText>
                                </w:r>
                                <w:r>
                                  <w:rPr>
                                    <w:w w:val="118"/>
                                    <w:sz w:val="20"/>
                                    <w:szCs w:val="20"/>
                                  </w:rPr>
                                  <w:fldChar w:fldCharType="separate"/>
                                </w:r>
                                <w:r>
                                  <w:rPr>
                                    <w:noProof/>
                                    <w:w w:val="118"/>
                                    <w:sz w:val="20"/>
                                    <w:szCs w:val="20"/>
                                  </w:rPr>
                                  <w:t>5</w:t>
                                </w:r>
                                <w:r>
                                  <w:rPr>
                                    <w:w w:val="118"/>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A45DD7" id="_x0000_t202" coordsize="21600,21600" o:spt="202" path="m,l,21600r21600,l21600,xe">
                    <v:stroke joinstyle="miter"/>
                    <v:path gradientshapeok="t" o:connecttype="rect"/>
                  </v:shapetype>
                  <v:shape id="Text Box 7" o:spid="_x0000_s1026" type="#_x0000_t202" style="position:absolute;margin-left:491pt;margin-top:801.75pt;width:34.05pt;height:12.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" o:allowincell="f" filled="f" stroked="f">
                    <v:textbox inset="0,0,0,0">
                      <w:txbxContent>
                        <w:p w14:paraId="3EEF0CA6" w14:textId="77777777" w:rsidR="00695BA1" w:rsidRDefault="00695BA1" w:rsidP="00695BA1">
                          <w:pPr>
                            <w:widowControl w:val="0"/>
                            <w:autoSpaceDE w:val="0"/>
                            <w:autoSpaceDN w:val="0"/>
                            <w:adjustRightInd w:val="0"/>
                            <w:spacing w:after="0" w:line="223" w:lineRule="exact"/>
                            <w:ind w:left="20"/>
                            <w:rPr>
                              <w:sz w:val="20"/>
                              <w:szCs w:val="20"/>
                            </w:rPr>
                          </w:pPr>
                          <w:proofErr w:type="spellStart"/>
                          <w:r>
                            <w:rPr>
                              <w:w w:val="118"/>
                              <w:sz w:val="20"/>
                              <w:szCs w:val="20"/>
                            </w:rPr>
                            <w:t>Pág</w:t>
                          </w:r>
                          <w:proofErr w:type="spellEnd"/>
                          <w:r>
                            <w:rPr>
                              <w:w w:val="118"/>
                              <w:sz w:val="20"/>
                              <w:szCs w:val="20"/>
                            </w:rPr>
                            <w:t>.</w:t>
                          </w:r>
                          <w:r>
                            <w:rPr>
                              <w:spacing w:val="22"/>
                              <w:w w:val="118"/>
                              <w:sz w:val="20"/>
                              <w:szCs w:val="20"/>
                            </w:rPr>
                            <w:t xml:space="preserve"> </w:t>
                          </w:r>
                          <w:r>
                            <w:rPr>
                              <w:w w:val="118"/>
                              <w:sz w:val="20"/>
                              <w:szCs w:val="20"/>
                            </w:rPr>
                            <w:fldChar w:fldCharType="begin"/>
                          </w:r>
                          <w:r>
                            <w:rPr>
                              <w:w w:val="118"/>
                              <w:sz w:val="20"/>
                              <w:szCs w:val="20"/>
                            </w:rPr>
                            <w:instrText xml:space="preserve"> PAGE </w:instrText>
                          </w:r>
                          <w:r>
                            <w:rPr>
                              <w:w w:val="118"/>
                              <w:sz w:val="20"/>
                              <w:szCs w:val="20"/>
                            </w:rPr>
                            <w:fldChar w:fldCharType="separate"/>
                          </w:r>
                          <w:r>
                            <w:rPr>
                              <w:noProof/>
                              <w:w w:val="118"/>
                              <w:sz w:val="20"/>
                              <w:szCs w:val="20"/>
                            </w:rPr>
                            <w:t>5</w:t>
                          </w:r>
                          <w:r>
                            <w:rPr>
                              <w:w w:val="118"/>
                              <w:sz w:val="20"/>
                              <w:szCs w:val="20"/>
                            </w:rPr>
                            <w:fldChar w:fldCharType="end"/>
                          </w:r>
                        </w:p>
                      </w:txbxContent>
                    </v:textbox>
                    <w10:wrap anchorx="page" anchory="page"/>
                  </v:shape>
                </w:pict>
              </mc:Fallback>
            </mc:AlternateContent>
          </w:r>
          <w:r>
            <w:rPr>
              <w:rFonts w:cs="Arial"/>
              <w:i/>
              <w:sz w:val="20"/>
              <w:szCs w:val="20"/>
            </w:rPr>
            <w:t xml:space="preserve">X CONBRATRI 26 a 28 de </w:t>
          </w:r>
          <w:proofErr w:type="spellStart"/>
          <w:r>
            <w:rPr>
              <w:rFonts w:cs="Arial"/>
              <w:i/>
              <w:sz w:val="20"/>
              <w:szCs w:val="20"/>
            </w:rPr>
            <w:t>Outubro</w:t>
          </w:r>
          <w:proofErr w:type="spellEnd"/>
          <w:r>
            <w:rPr>
              <w:rFonts w:cs="Arial"/>
              <w:i/>
              <w:sz w:val="20"/>
              <w:szCs w:val="20"/>
            </w:rPr>
            <w:t xml:space="preserve"> de 2026, São Paulo-SP</w:t>
          </w:r>
        </w:p>
      </w:tc>
      <w:tc>
        <w:tcPr>
          <w:tcW w:w="1559" w:type="dxa"/>
          <w:shd w:val="clear" w:color="auto" w:fill="auto"/>
          <w:vAlign w:val="center"/>
        </w:tcPr>
        <w:p w14:paraId="602C1963" w14:textId="77777777" w:rsidR="00695BA1" w:rsidRPr="00CC0258" w:rsidRDefault="00695BA1" w:rsidP="00695BA1">
          <w:pPr>
            <w:pStyle w:val="Cabealho"/>
            <w:jc w:val="right"/>
            <w:rPr>
              <w:rFonts w:cs="Arial"/>
              <w:i/>
              <w:sz w:val="20"/>
              <w:szCs w:val="20"/>
            </w:rPr>
          </w:pPr>
          <w:proofErr w:type="spellStart"/>
          <w:r w:rsidRPr="00CC0258">
            <w:rPr>
              <w:rFonts w:cs="Arial"/>
              <w:i/>
              <w:sz w:val="20"/>
              <w:szCs w:val="20"/>
            </w:rPr>
            <w:t>Pág</w:t>
          </w:r>
          <w:proofErr w:type="spellEnd"/>
          <w:r w:rsidRPr="00CC0258">
            <w:rPr>
              <w:rFonts w:cs="Arial"/>
              <w:i/>
              <w:sz w:val="20"/>
              <w:szCs w:val="20"/>
            </w:rPr>
            <w:t xml:space="preserve">. </w:t>
          </w:r>
          <w:r w:rsidRPr="00CC0258">
            <w:rPr>
              <w:rFonts w:cs="Arial"/>
              <w:i/>
              <w:sz w:val="20"/>
              <w:szCs w:val="20"/>
            </w:rPr>
            <w:fldChar w:fldCharType="begin"/>
          </w:r>
          <w:r w:rsidRPr="00CC0258">
            <w:rPr>
              <w:rFonts w:cs="Arial"/>
              <w:i/>
              <w:sz w:val="20"/>
              <w:szCs w:val="20"/>
            </w:rPr>
            <w:instrText>PAGE   \* MERGEFORMAT</w:instrText>
          </w:r>
          <w:r w:rsidRPr="00CC0258">
            <w:rPr>
              <w:rFonts w:cs="Arial"/>
              <w:i/>
              <w:sz w:val="20"/>
              <w:szCs w:val="20"/>
            </w:rPr>
            <w:fldChar w:fldCharType="separate"/>
          </w:r>
          <w:r>
            <w:rPr>
              <w:rFonts w:cs="Arial"/>
              <w:i/>
              <w:noProof/>
              <w:sz w:val="20"/>
              <w:szCs w:val="20"/>
            </w:rPr>
            <w:t>5</w:t>
          </w:r>
          <w:r w:rsidRPr="00CC0258">
            <w:rPr>
              <w:rFonts w:cs="Arial"/>
              <w:i/>
              <w:sz w:val="20"/>
              <w:szCs w:val="20"/>
            </w:rPr>
            <w:fldChar w:fldCharType="end"/>
          </w:r>
        </w:p>
      </w:tc>
    </w:tr>
  </w:tbl>
  <w:p w14:paraId="4FDE16B9" w14:textId="77777777" w:rsidR="00695BA1" w:rsidRDefault="00695BA1" w:rsidP="00695B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58CD9" w14:textId="77777777" w:rsidR="000821C1" w:rsidRDefault="000821C1" w:rsidP="00695BA1">
      <w:pPr>
        <w:spacing w:after="0" w:line="240" w:lineRule="auto"/>
      </w:pPr>
      <w:r>
        <w:separator/>
      </w:r>
    </w:p>
  </w:footnote>
  <w:footnote w:type="continuationSeparator" w:id="0">
    <w:p w14:paraId="3EF10551" w14:textId="77777777" w:rsidR="000821C1" w:rsidRDefault="000821C1" w:rsidP="00695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AD26" w14:textId="18660133" w:rsidR="00695BA1" w:rsidRPr="00695BA1" w:rsidRDefault="00695BA1" w:rsidP="00695BA1">
    <w:pPr>
      <w:widowControl w:val="0"/>
      <w:autoSpaceDE w:val="0"/>
      <w:autoSpaceDN w:val="0"/>
      <w:adjustRightInd w:val="0"/>
      <w:spacing w:after="0" w:line="207" w:lineRule="exact"/>
      <w:ind w:right="-28"/>
      <w:jc w:val="right"/>
      <w:rPr>
        <w:rFonts w:cs="Arial"/>
        <w:i/>
        <w:iCs/>
        <w:sz w:val="20"/>
        <w:szCs w:val="20"/>
      </w:rPr>
    </w:pPr>
    <w:r w:rsidRPr="00695BA1">
      <w:rPr>
        <w:noProof/>
        <w:sz w:val="20"/>
        <w:szCs w:val="20"/>
      </w:rPr>
      <mc:AlternateContent>
        <mc:Choice Requires="wpg">
          <w:drawing>
            <wp:anchor distT="0" distB="0" distL="114300" distR="114300" simplePos="0" relativeHeight="251661312" behindDoc="1" locked="0" layoutInCell="0" allowOverlap="1" wp14:anchorId="269167DE" wp14:editId="334A7A0E">
              <wp:simplePos x="0" y="0"/>
              <wp:positionH relativeFrom="page">
                <wp:posOffset>911860</wp:posOffset>
              </wp:positionH>
              <wp:positionV relativeFrom="page">
                <wp:posOffset>784860</wp:posOffset>
              </wp:positionV>
              <wp:extent cx="5735955" cy="5080"/>
              <wp:effectExtent l="0" t="0" r="0" b="0"/>
              <wp:wrapNone/>
              <wp:docPr id="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5955" cy="5080"/>
                        <a:chOff x="1436" y="1161"/>
                        <a:chExt cx="9033" cy="8"/>
                      </a:xfrm>
                    </wpg:grpSpPr>
                    <wps:wsp>
                      <wps:cNvPr id="5" name="Freeform 11"/>
                      <wps:cNvSpPr>
                        <a:spLocks/>
                      </wps:cNvSpPr>
                      <wps:spPr bwMode="auto">
                        <a:xfrm>
                          <a:off x="1440" y="1165"/>
                          <a:ext cx="9025" cy="0"/>
                        </a:xfrm>
                        <a:custGeom>
                          <a:avLst/>
                          <a:gdLst>
                            <a:gd name="T0" fmla="*/ 0 w 9025"/>
                            <a:gd name="T1" fmla="*/ 9025 w 9025"/>
                          </a:gdLst>
                          <a:ahLst/>
                          <a:cxnLst>
                            <a:cxn ang="0">
                              <a:pos x="T0" y="0"/>
                            </a:cxn>
                            <a:cxn ang="0">
                              <a:pos x="T1" y="0"/>
                            </a:cxn>
                          </a:cxnLst>
                          <a:rect l="0" t="0" r="r" b="b"/>
                          <a:pathLst>
                            <a:path w="9025">
                              <a:moveTo>
                                <a:pt x="0" y="0"/>
                              </a:moveTo>
                              <a:lnTo>
                                <a:pt x="9025"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12"/>
                      <wps:cNvSpPr>
                        <a:spLocks/>
                      </wps:cNvSpPr>
                      <wps:spPr bwMode="auto">
                        <a:xfrm>
                          <a:off x="1440" y="1165"/>
                          <a:ext cx="9025" cy="0"/>
                        </a:xfrm>
                        <a:custGeom>
                          <a:avLst/>
                          <a:gdLst>
                            <a:gd name="T0" fmla="*/ 9025 w 9025"/>
                            <a:gd name="T1" fmla="*/ 0 w 9025"/>
                          </a:gdLst>
                          <a:ahLst/>
                          <a:cxnLst>
                            <a:cxn ang="0">
                              <a:pos x="T0" y="0"/>
                            </a:cxn>
                            <a:cxn ang="0">
                              <a:pos x="T1" y="0"/>
                            </a:cxn>
                          </a:cxnLst>
                          <a:rect l="0" t="0" r="r" b="b"/>
                          <a:pathLst>
                            <a:path w="9025">
                              <a:moveTo>
                                <a:pt x="9025" y="0"/>
                              </a:moveTo>
                              <a:lnTo>
                                <a:pt x="0"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1046B6" id="Group 10" o:spid="_x0000_s1026" style="position:absolute;margin-left:71.8pt;margin-top:61.8pt;width:451.65pt;height:.4pt;z-index:-251655168;mso-position-horizontal-relative:page;mso-position-vertical-relative:page" coordorigin="1436,1161" coordsize="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" o:allowincell="f">
              <v:shape id="Freeform 11" o:spid="_x0000_s1027"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" path="m,l9025,e" filled="f" strokeweight=".14039mm">
                <v:path arrowok="t" o:connecttype="custom" o:connectlocs="0,0;9025,0" o:connectangles="0,0"/>
              </v:shape>
              <v:shape id="Freeform 12" o:spid="_x0000_s1028"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" path="m9025,l,e" filled="f" strokeweight=".14039mm">
                <v:path arrowok="t" o:connecttype="custom" o:connectlocs="9025,0;0,0" o:connectangles="0,0"/>
              </v:shape>
              <w10:wrap anchorx="page" anchory="page"/>
            </v:group>
          </w:pict>
        </mc:Fallback>
      </mc:AlternateContent>
    </w:r>
    <w:r w:rsidRPr="00695BA1">
      <w:rPr>
        <w:i/>
        <w:iCs/>
        <w:noProof/>
        <w:sz w:val="20"/>
        <w:szCs w:val="20"/>
      </w:rPr>
      <w:t>Desenvolvimento de instrumentos e escalas de proficiência para a EPT</w:t>
    </w:r>
    <w:r>
      <w:rPr>
        <w:i/>
        <w:iCs/>
        <w:noProof/>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65003498">
    <w:abstractNumId w:val="8"/>
  </w:num>
  <w:num w:numId="2" w16cid:durableId="1183008545">
    <w:abstractNumId w:val="6"/>
  </w:num>
  <w:num w:numId="3" w16cid:durableId="199320679">
    <w:abstractNumId w:val="5"/>
  </w:num>
  <w:num w:numId="4" w16cid:durableId="431776908">
    <w:abstractNumId w:val="4"/>
  </w:num>
  <w:num w:numId="5" w16cid:durableId="239877603">
    <w:abstractNumId w:val="7"/>
  </w:num>
  <w:num w:numId="6" w16cid:durableId="154492851">
    <w:abstractNumId w:val="3"/>
  </w:num>
  <w:num w:numId="7" w16cid:durableId="588199706">
    <w:abstractNumId w:val="2"/>
  </w:num>
  <w:num w:numId="8" w16cid:durableId="1150748090">
    <w:abstractNumId w:val="1"/>
  </w:num>
  <w:num w:numId="9" w16cid:durableId="190310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D5"/>
    <w:rsid w:val="00034616"/>
    <w:rsid w:val="000346BD"/>
    <w:rsid w:val="00040F78"/>
    <w:rsid w:val="00042FF4"/>
    <w:rsid w:val="0006063C"/>
    <w:rsid w:val="000821C1"/>
    <w:rsid w:val="00092B22"/>
    <w:rsid w:val="000C16AF"/>
    <w:rsid w:val="001255C3"/>
    <w:rsid w:val="0015074B"/>
    <w:rsid w:val="00155A27"/>
    <w:rsid w:val="00171B26"/>
    <w:rsid w:val="00173855"/>
    <w:rsid w:val="001D2046"/>
    <w:rsid w:val="001F6B64"/>
    <w:rsid w:val="00235C5E"/>
    <w:rsid w:val="00247222"/>
    <w:rsid w:val="0025251A"/>
    <w:rsid w:val="00255397"/>
    <w:rsid w:val="00296226"/>
    <w:rsid w:val="0029639D"/>
    <w:rsid w:val="002D6945"/>
    <w:rsid w:val="00307E10"/>
    <w:rsid w:val="00312B5F"/>
    <w:rsid w:val="00326F90"/>
    <w:rsid w:val="00344354"/>
    <w:rsid w:val="003A605A"/>
    <w:rsid w:val="004C66A9"/>
    <w:rsid w:val="00505214"/>
    <w:rsid w:val="005274CC"/>
    <w:rsid w:val="006305C7"/>
    <w:rsid w:val="00633FAB"/>
    <w:rsid w:val="006547D3"/>
    <w:rsid w:val="006926DC"/>
    <w:rsid w:val="00695BA1"/>
    <w:rsid w:val="006A556F"/>
    <w:rsid w:val="006D090C"/>
    <w:rsid w:val="00706DF6"/>
    <w:rsid w:val="00717A38"/>
    <w:rsid w:val="00733588"/>
    <w:rsid w:val="00741C6D"/>
    <w:rsid w:val="00776445"/>
    <w:rsid w:val="007C68AC"/>
    <w:rsid w:val="00836263"/>
    <w:rsid w:val="00837F1D"/>
    <w:rsid w:val="008503B5"/>
    <w:rsid w:val="00875AAE"/>
    <w:rsid w:val="00895530"/>
    <w:rsid w:val="008E0ADE"/>
    <w:rsid w:val="008F6E13"/>
    <w:rsid w:val="00927E0D"/>
    <w:rsid w:val="00935A4B"/>
    <w:rsid w:val="00956104"/>
    <w:rsid w:val="00957206"/>
    <w:rsid w:val="00973410"/>
    <w:rsid w:val="00996F71"/>
    <w:rsid w:val="009A65E0"/>
    <w:rsid w:val="00A00EC3"/>
    <w:rsid w:val="00A2186C"/>
    <w:rsid w:val="00A54740"/>
    <w:rsid w:val="00A64797"/>
    <w:rsid w:val="00AA1D8D"/>
    <w:rsid w:val="00AA4DDA"/>
    <w:rsid w:val="00B260EA"/>
    <w:rsid w:val="00B47730"/>
    <w:rsid w:val="00B92E45"/>
    <w:rsid w:val="00BA26D0"/>
    <w:rsid w:val="00BA3565"/>
    <w:rsid w:val="00BD1E4B"/>
    <w:rsid w:val="00BE5C2D"/>
    <w:rsid w:val="00C11037"/>
    <w:rsid w:val="00C14F68"/>
    <w:rsid w:val="00C40D50"/>
    <w:rsid w:val="00C645FB"/>
    <w:rsid w:val="00CB0664"/>
    <w:rsid w:val="00D871E7"/>
    <w:rsid w:val="00D936A8"/>
    <w:rsid w:val="00DC3B99"/>
    <w:rsid w:val="00DF46DE"/>
    <w:rsid w:val="00E2263D"/>
    <w:rsid w:val="00E25AA0"/>
    <w:rsid w:val="00E702AF"/>
    <w:rsid w:val="00E9192C"/>
    <w:rsid w:val="00EB2643"/>
    <w:rsid w:val="00F301AF"/>
    <w:rsid w:val="00FB02A5"/>
    <w:rsid w:val="00FB22BC"/>
    <w:rsid w:val="00FB264D"/>
    <w:rsid w:val="00FC693F"/>
    <w:rsid w:val="00FD00B4"/>
    <w:rsid w:val="00FF38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1656F6"/>
  <w14:defaultImageDpi w14:val="330"/>
  <w15:docId w15:val="{4C1AD21F-B82D-4AF7-B0A8-C911A5070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Ttulo1">
    <w:name w:val="heading 1"/>
    <w:basedOn w:val="Normal"/>
    <w:next w:val="Normal"/>
    <w:link w:val="Ttulo1Char"/>
    <w:uiPriority w:val="9"/>
    <w:qFormat/>
    <w:rsid w:val="00D871E7"/>
    <w:pPr>
      <w:keepNext/>
      <w:keepLines/>
      <w:spacing w:before="240"/>
      <w:outlineLvl w:val="0"/>
    </w:pPr>
    <w:rPr>
      <w:rFonts w:eastAsiaTheme="majorEastAsia"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D871E7"/>
    <w:rPr>
      <w:rFonts w:ascii="Times New Roman" w:eastAsiaTheme="majorEastAsia" w:hAnsi="Times New Roman" w:cstheme="majorBidi"/>
      <w:b/>
      <w:bCs/>
      <w:color w:val="000000"/>
      <w:sz w:val="24"/>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autoRedefine/>
    <w:uiPriority w:val="35"/>
    <w:unhideWhenUsed/>
    <w:qFormat/>
    <w:rsid w:val="00A54740"/>
    <w:pPr>
      <w:spacing w:after="0" w:line="240" w:lineRule="auto"/>
      <w:jc w:val="center"/>
    </w:pPr>
    <w:rPr>
      <w:bCs/>
      <w:szCs w:val="18"/>
      <w:lang w:val="pt-BR"/>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oEspaoReservado">
    <w:name w:val="Placeholder Text"/>
    <w:basedOn w:val="Fontepargpadro"/>
    <w:uiPriority w:val="99"/>
    <w:semiHidden/>
    <w:rsid w:val="00344354"/>
    <w:rPr>
      <w:color w:val="666666"/>
    </w:rPr>
  </w:style>
  <w:style w:type="character" w:styleId="Refdecomentrio">
    <w:name w:val="annotation reference"/>
    <w:basedOn w:val="Fontepargpadro"/>
    <w:uiPriority w:val="99"/>
    <w:semiHidden/>
    <w:unhideWhenUsed/>
    <w:rsid w:val="00092B22"/>
    <w:rPr>
      <w:sz w:val="16"/>
      <w:szCs w:val="16"/>
    </w:rPr>
  </w:style>
  <w:style w:type="paragraph" w:styleId="Textodecomentrio">
    <w:name w:val="annotation text"/>
    <w:basedOn w:val="Normal"/>
    <w:link w:val="TextodecomentrioChar"/>
    <w:uiPriority w:val="99"/>
    <w:semiHidden/>
    <w:unhideWhenUsed/>
    <w:rsid w:val="00092B2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92B22"/>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92B22"/>
    <w:rPr>
      <w:b/>
      <w:bCs/>
    </w:rPr>
  </w:style>
  <w:style w:type="character" w:customStyle="1" w:styleId="AssuntodocomentrioChar">
    <w:name w:val="Assunto do comentário Char"/>
    <w:basedOn w:val="TextodecomentrioChar"/>
    <w:link w:val="Assuntodocomentrio"/>
    <w:uiPriority w:val="99"/>
    <w:semiHidden/>
    <w:rsid w:val="00092B22"/>
    <w:rPr>
      <w:rFonts w:ascii="Times New Roman" w:hAnsi="Times New Roman"/>
      <w:b/>
      <w:bCs/>
      <w:sz w:val="20"/>
      <w:szCs w:val="20"/>
    </w:rPr>
  </w:style>
  <w:style w:type="paragraph" w:styleId="Reviso">
    <w:name w:val="Revision"/>
    <w:hidden/>
    <w:uiPriority w:val="99"/>
    <w:semiHidden/>
    <w:rsid w:val="00307E10"/>
    <w:pPr>
      <w:spacing w:after="0" w:line="240" w:lineRule="auto"/>
    </w:pPr>
    <w:rPr>
      <w:rFonts w:ascii="Times New Roman" w:hAnsi="Times New Roman"/>
      <w:sz w:val="24"/>
    </w:rPr>
  </w:style>
  <w:style w:type="character" w:styleId="Hyperlink">
    <w:name w:val="Hyperlink"/>
    <w:basedOn w:val="Fontepargpadro"/>
    <w:uiPriority w:val="99"/>
    <w:unhideWhenUsed/>
    <w:rsid w:val="00312B5F"/>
    <w:rPr>
      <w:color w:val="0000FF" w:themeColor="hyperlink"/>
      <w:u w:val="single"/>
    </w:rPr>
  </w:style>
  <w:style w:type="character" w:styleId="MenoPendente">
    <w:name w:val="Unresolved Mention"/>
    <w:basedOn w:val="Fontepargpadro"/>
    <w:uiPriority w:val="99"/>
    <w:semiHidden/>
    <w:unhideWhenUsed/>
    <w:rsid w:val="00312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353">
      <w:bodyDiv w:val="1"/>
      <w:marLeft w:val="0"/>
      <w:marRight w:val="0"/>
      <w:marTop w:val="0"/>
      <w:marBottom w:val="0"/>
      <w:divBdr>
        <w:top w:val="none" w:sz="0" w:space="0" w:color="auto"/>
        <w:left w:val="none" w:sz="0" w:space="0" w:color="auto"/>
        <w:bottom w:val="none" w:sz="0" w:space="0" w:color="auto"/>
        <w:right w:val="none" w:sz="0" w:space="0" w:color="auto"/>
      </w:divBdr>
      <w:divsChild>
        <w:div w:id="988218004">
          <w:marLeft w:val="0"/>
          <w:marRight w:val="0"/>
          <w:marTop w:val="0"/>
          <w:marBottom w:val="0"/>
          <w:divBdr>
            <w:top w:val="none" w:sz="0" w:space="0" w:color="auto"/>
            <w:left w:val="none" w:sz="0" w:space="0" w:color="auto"/>
            <w:bottom w:val="none" w:sz="0" w:space="0" w:color="auto"/>
            <w:right w:val="none" w:sz="0" w:space="0" w:color="auto"/>
          </w:divBdr>
          <w:divsChild>
            <w:div w:id="563991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906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02274">
      <w:bodyDiv w:val="1"/>
      <w:marLeft w:val="0"/>
      <w:marRight w:val="0"/>
      <w:marTop w:val="0"/>
      <w:marBottom w:val="0"/>
      <w:divBdr>
        <w:top w:val="none" w:sz="0" w:space="0" w:color="auto"/>
        <w:left w:val="none" w:sz="0" w:space="0" w:color="auto"/>
        <w:bottom w:val="none" w:sz="0" w:space="0" w:color="auto"/>
        <w:right w:val="none" w:sz="0" w:space="0" w:color="auto"/>
      </w:divBdr>
    </w:div>
    <w:div w:id="596713443">
      <w:bodyDiv w:val="1"/>
      <w:marLeft w:val="0"/>
      <w:marRight w:val="0"/>
      <w:marTop w:val="0"/>
      <w:marBottom w:val="0"/>
      <w:divBdr>
        <w:top w:val="none" w:sz="0" w:space="0" w:color="auto"/>
        <w:left w:val="none" w:sz="0" w:space="0" w:color="auto"/>
        <w:bottom w:val="none" w:sz="0" w:space="0" w:color="auto"/>
        <w:right w:val="none" w:sz="0" w:space="0" w:color="auto"/>
      </w:divBdr>
    </w:div>
    <w:div w:id="1234046838">
      <w:bodyDiv w:val="1"/>
      <w:marLeft w:val="0"/>
      <w:marRight w:val="0"/>
      <w:marTop w:val="0"/>
      <w:marBottom w:val="0"/>
      <w:divBdr>
        <w:top w:val="none" w:sz="0" w:space="0" w:color="auto"/>
        <w:left w:val="none" w:sz="0" w:space="0" w:color="auto"/>
        <w:bottom w:val="none" w:sz="0" w:space="0" w:color="auto"/>
        <w:right w:val="none" w:sz="0" w:space="0" w:color="auto"/>
      </w:divBdr>
    </w:div>
    <w:div w:id="1438325826">
      <w:bodyDiv w:val="1"/>
      <w:marLeft w:val="0"/>
      <w:marRight w:val="0"/>
      <w:marTop w:val="0"/>
      <w:marBottom w:val="0"/>
      <w:divBdr>
        <w:top w:val="none" w:sz="0" w:space="0" w:color="auto"/>
        <w:left w:val="none" w:sz="0" w:space="0" w:color="auto"/>
        <w:bottom w:val="none" w:sz="0" w:space="0" w:color="auto"/>
        <w:right w:val="none" w:sz="0" w:space="0" w:color="auto"/>
      </w:divBdr>
      <w:divsChild>
        <w:div w:id="1636325518">
          <w:marLeft w:val="0"/>
          <w:marRight w:val="0"/>
          <w:marTop w:val="0"/>
          <w:marBottom w:val="0"/>
          <w:divBdr>
            <w:top w:val="none" w:sz="0" w:space="0" w:color="auto"/>
            <w:left w:val="none" w:sz="0" w:space="0" w:color="auto"/>
            <w:bottom w:val="none" w:sz="0" w:space="0" w:color="auto"/>
            <w:right w:val="none" w:sz="0" w:space="0" w:color="auto"/>
          </w:divBdr>
          <w:divsChild>
            <w:div w:id="28535592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113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56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br/mec/pt-br/pnp" TargetMode="Externa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2078</Words>
  <Characters>11226</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Juliano Anderson Pacheco</cp:lastModifiedBy>
  <cp:revision>5</cp:revision>
  <dcterms:created xsi:type="dcterms:W3CDTF">2026-09-20T04:30:00Z</dcterms:created>
  <dcterms:modified xsi:type="dcterms:W3CDTF">2026-09-20T04:38:00Z</dcterms:modified>
  <cp:category/>
</cp:coreProperties>
</file>