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62" w:line="360" w:lineRule="auto"/>
        <w:ind w:left="1230" w:hanging="1179"/>
        <w:jc w:val="left"/>
        <w:rPr>
          <w:sz w:val="24"/>
          <w:szCs w:val="24"/>
        </w:rPr>
      </w:pPr>
      <w:bookmarkStart w:colFirst="0" w:colLast="0" w:name="_heading=h.gfxtlmquss8j" w:id="0"/>
      <w:bookmarkEnd w:id="0"/>
      <w:r w:rsidDel="00000000" w:rsidR="00000000" w:rsidRPr="00000000">
        <w:rPr>
          <w:sz w:val="24"/>
          <w:szCs w:val="24"/>
          <w:rtl w:val="0"/>
        </w:rPr>
        <w:t xml:space="preserve">Relação entre Iniciação Científica e Desempenho no ENADE em Psicologia: uma estimativa associativa via Propensity Score Matching com dados administrativos nacionais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62" w:line="360" w:lineRule="auto"/>
        <w:ind w:left="1230" w:hanging="117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0"/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Marie van Deursen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Daniel F. Nunes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Felipe Rafael Souza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Leonardo Fernandes Martins</w:t>
      </w:r>
      <w:r w:rsidDel="00000000" w:rsidR="00000000" w:rsidRPr="00000000">
        <w:rPr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5">
      <w:pPr>
        <w:spacing w:after="0" w:line="360" w:lineRule="auto"/>
        <w:ind w:firstLine="0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360" w:lineRule="auto"/>
        <w:ind w:firstLine="0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Pontifícia Universidade Católica do Rio de Janeiro (PUC-Rio) — mariedeursen@gmail.com</w:t>
      </w:r>
    </w:p>
    <w:p w:rsidR="00000000" w:rsidDel="00000000" w:rsidP="00000000" w:rsidRDefault="00000000" w:rsidRPr="00000000" w14:paraId="00000007">
      <w:pPr>
        <w:spacing w:after="0" w:line="360" w:lineRule="auto"/>
        <w:ind w:firstLine="0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Instituto Federal Goiano (IFgoiano); Universidade de Brasília (UnB) — danielfreitasnunes@gmail.com</w:t>
      </w:r>
    </w:p>
    <w:p w:rsidR="00000000" w:rsidDel="00000000" w:rsidP="00000000" w:rsidRDefault="00000000" w:rsidRPr="00000000" w14:paraId="00000008">
      <w:pPr>
        <w:spacing w:after="0" w:line="360" w:lineRule="auto"/>
        <w:ind w:firstLine="0"/>
        <w:rPr/>
      </w:pP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evakub — felipe.souza@evakub.com</w:t>
      </w:r>
    </w:p>
    <w:p w:rsidR="00000000" w:rsidDel="00000000" w:rsidP="00000000" w:rsidRDefault="00000000" w:rsidRPr="00000000" w14:paraId="00000009">
      <w:pPr>
        <w:spacing w:after="0" w:line="360" w:lineRule="auto"/>
        <w:ind w:firstLine="0"/>
        <w:rPr/>
      </w:pP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Universidade Federal de Juiz de Fora (UFJF) — leomartinsjf@gmail.com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3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Rule="auto"/>
        <w:ind w:left="2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widowControl w:val="0"/>
        <w:spacing w:after="0" w:before="240" w:line="360" w:lineRule="auto"/>
        <w:ind w:left="2" w:right="138" w:firstLine="0"/>
        <w:rPr/>
      </w:pPr>
      <w:r w:rsidDel="00000000" w:rsidR="00000000" w:rsidRPr="00000000">
        <w:rPr>
          <w:rtl w:val="0"/>
        </w:rPr>
        <w:t xml:space="preserve">Este estudo estima, via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Propensity Score Matching (PSM), a associação entre a participação em iniciação científica (IC) e a probabilidade </w:t>
      </w:r>
      <w:r w:rsidDel="00000000" w:rsidR="00000000" w:rsidRPr="00000000">
        <w:rPr>
          <w:rtl w:val="0"/>
        </w:rPr>
        <w:t xml:space="preserve">de egressos de Psicologia no Brasil (edições 2018 e 2022) alcançarem o quartil superior do ENADE. Com microdados do  Exame Nacional de Desempenho dos Estudantes (ENADE) vinculados ao Censo da Educação Superior (SEDAP/INEP), de uma amostra pré-matching de 46.681 estudantes (2.717 com IC; 43.964 sem IC), foram pareados 2.717 estudantes com IC e 8.151 sem IC (razão 1:3), com balanceamento das covariáveis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observadas incluídas no modelo (SMD ≈ 0 pós-matching). Os resultados indicam uma diferença positiva e estatisticamente significativa, associada à IC, na probabilidade</w:t>
      </w:r>
      <w:r w:rsidDel="00000000" w:rsidR="00000000" w:rsidRPr="00000000">
        <w:rPr>
          <w:rtl w:val="0"/>
        </w:rPr>
        <w:t xml:space="preserve"> de pertencimento ao quartil superior em ambos os componentes do exame (Componente Específico: 5,48%; Formação Geral: 5,28%; p &lt; 0,001). Os achados sugerem que a IC fortalece competências disciplinares e transversais avaliadas no exame e é consistente com a literatura internacional sobre práticas educacionais de alto impacto.</w:t>
      </w:r>
    </w:p>
    <w:p w:rsidR="00000000" w:rsidDel="00000000" w:rsidP="00000000" w:rsidRDefault="00000000" w:rsidRPr="00000000" w14:paraId="0000000E">
      <w:pPr>
        <w:widowControl w:val="0"/>
        <w:spacing w:after="0" w:before="159" w:line="360" w:lineRule="auto"/>
        <w:ind w:left="2" w:right="144" w:firstLine="0"/>
        <w:rPr/>
      </w:pPr>
      <w:r w:rsidDel="00000000" w:rsidR="00000000" w:rsidRPr="00000000">
        <w:rPr>
          <w:rtl w:val="0"/>
        </w:rPr>
        <w:t xml:space="preserve">Palavras-chave: iniciação científica; ENADE; Propensity Score Matching; avaliação educacional; Psicologia.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260" w:lineRule="auto"/>
        <w:ind w:left="2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260" w:lineRule="auto"/>
        <w:ind w:left="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1">
      <w:pPr>
        <w:widowControl w:val="0"/>
        <w:spacing w:after="0" w:before="240" w:line="360" w:lineRule="auto"/>
        <w:ind w:left="2" w:right="140" w:firstLine="719"/>
        <w:rPr/>
      </w:pPr>
      <w:r w:rsidDel="00000000" w:rsidR="00000000" w:rsidRPr="00000000">
        <w:rPr>
          <w:rtl w:val="0"/>
        </w:rPr>
        <w:t xml:space="preserve">A iniciação científica (IC) é reconhecida como uma das práticas educacionais de maior impacto no ensino superior, associada ao aprofundamento do domínio disciplinar, ao desenvolvimento de habilidades de pesquisa e ao maior engajamento acadêmico (KUH, 2008). No Brasil, a produção de evidências associativas em desfechos acadêmicos objetivos permanece escassa na área da psicologia.</w:t>
      </w:r>
    </w:p>
    <w:p w:rsidR="00000000" w:rsidDel="00000000" w:rsidP="00000000" w:rsidRDefault="00000000" w:rsidRPr="00000000" w14:paraId="00000012">
      <w:pPr>
        <w:widowControl w:val="0"/>
        <w:spacing w:after="0" w:before="159" w:line="360" w:lineRule="auto"/>
        <w:ind w:left="2" w:right="136" w:firstLine="719"/>
        <w:rPr/>
      </w:pPr>
      <w:sdt>
        <w:sdtPr>
          <w:id w:val="-139738091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O Exame Nacional de Desempenho dos Estudantes (ENADE) constitui o instrumento mais abrangente de avaliação de rendimento acadêmico de concluintes no Brasil. Estruturado em Componente Específico (CE) e Formação Geral (FG), o exame foi concebido para viabilizar comparações entre instituições e ao longo do tempo (BRITO, 2008), ainda que sua comparabilidade longitudinal seja objeto de críticas metodológicas na literatura (VERHINE; DANTAS; SOARES, 2006). A Psicologia representa um campo de interesse particular: há forte heterogeneidade institucional, alta concentração feminina (≈ 93% do estudantes) e distribuição desigual dos programas de IC entre tipos de IES, com participação consideravelmente maior em IES federais (17,6% vs 8,0% nas privadas).</w:t>
          </w:r>
        </w:sdtContent>
      </w:sdt>
    </w:p>
    <w:p w:rsidR="00000000" w:rsidDel="00000000" w:rsidP="00000000" w:rsidRDefault="00000000" w:rsidRPr="00000000" w14:paraId="00000013">
      <w:pPr>
        <w:widowControl w:val="0"/>
        <w:spacing w:after="0" w:before="159" w:line="360" w:lineRule="auto"/>
        <w:ind w:left="2" w:right="138" w:firstLine="719"/>
        <w:rPr/>
      </w:pPr>
      <w:r w:rsidDel="00000000" w:rsidR="00000000" w:rsidRPr="00000000">
        <w:rPr>
          <w:rtl w:val="0"/>
        </w:rPr>
        <w:t xml:space="preserve">Estudos anteriores documentaram associação positiva entre IC e desempenho no ENADE. Marques e Cunha (2021) já haviam aplicado Propensity Score Matching (PSM) para estimar esse efeito, porém de forma agregada para todas as áreas do conhecimento, sem focalizar cursos específicos nem incorporar explicitamente o tipo de IES como covariável de pareamento; o relatório do Centro de Gestão e Estudos Estratégicos (2017), por sua vez, tem caráter descritivo. Estudantes que participam da IC tendem a ser mais motivados, provenientes de instituições com maior suporte à pesquisa e de famílias com maior escolaridade, características que, por si só, indicam melhor desempenho no exame. O PSM permite construir um grupo de comparação observacionalmente equivalente ao grupo tratado, minimizando esse viés (STUART, 2010; HO et al., 2007).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261" w:lineRule="auto"/>
        <w:ind w:left="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15">
      <w:pPr>
        <w:widowControl w:val="0"/>
        <w:spacing w:after="0" w:before="238" w:line="360" w:lineRule="auto"/>
        <w:ind w:left="2" w:right="137" w:firstLine="0"/>
        <w:rPr/>
      </w:pPr>
      <w:r w:rsidDel="00000000" w:rsidR="00000000" w:rsidRPr="00000000">
        <w:rPr>
          <w:rtl w:val="0"/>
        </w:rPr>
        <w:t xml:space="preserve">Estimar o efeito marginal (AME) da participação em IC sobre a probabilidade de pertencimento ao quartil superior no Componente Específico (CE) e na Formação Geral (FG) do ENADE, entre egressos de Psicologia.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spacing w:after="0" w:before="262" w:lineRule="auto"/>
        <w:ind w:left="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7">
      <w:pPr>
        <w:widowControl w:val="0"/>
        <w:spacing w:after="0" w:before="238" w:line="360" w:lineRule="auto"/>
        <w:ind w:left="2" w:right="140" w:firstLine="719"/>
        <w:rPr/>
      </w:pPr>
      <w:r w:rsidDel="00000000" w:rsidR="00000000" w:rsidRPr="00000000">
        <w:rPr>
          <w:rtl w:val="0"/>
        </w:rPr>
        <w:t xml:space="preserve">Foram utilizados os microdados do ENADE 2018 e 2022, vinculados individualmente ao Censo da Educação Superior (Censup), acessados em ambiente seguro SEDAP/INEP. A amostra foi restrita a concluintes presenciais de Psicologia com nota válida no exame. A variável de tratamento foi a participação em iniciação científica (IC), identificada a partir do campo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IN_BOLSA_PESQUISA</w:t>
      </w:r>
      <w:r w:rsidDel="00000000" w:rsidR="00000000" w:rsidRPr="00000000">
        <w:rPr>
          <w:rtl w:val="0"/>
        </w:rPr>
        <w:t xml:space="preserve">”(variável que sinaliza se o participante fez IC com ou sem bolsa)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  <w:r w:rsidDel="00000000" w:rsidR="00000000" w:rsidRPr="00000000">
        <w:rPr>
          <w:rtl w:val="0"/>
        </w:rPr>
        <w:t xml:space="preserve">do Censup: estudantes com qualquer registro nessa variável, com e sem bolsa, foram classificados como participantes de IC (IC = 1); os demais, como não participantes (IC = 0).  A amostra pré-matching totalizou 46.681 estudantes (2.525 com IC; 43.964 sem IC). Os estudantes com IC eram significativamente mais frequentes em IES federais (17,6% vs 8,0%) e tinham pais mais escolarizados, gerando desequilíbrio substancial nas covariáveis (SMD de até 0,317 no propensity score).</w:t>
      </w:r>
    </w:p>
    <w:p w:rsidR="00000000" w:rsidDel="00000000" w:rsidP="00000000" w:rsidRDefault="00000000" w:rsidRPr="00000000" w14:paraId="00000018">
      <w:pPr>
        <w:widowControl w:val="0"/>
        <w:spacing w:after="0" w:before="159" w:line="360" w:lineRule="auto"/>
        <w:ind w:left="2" w:right="139" w:firstLine="719"/>
        <w:rPr/>
      </w:pPr>
      <w:r w:rsidDel="00000000" w:rsidR="00000000" w:rsidRPr="00000000">
        <w:rPr>
          <w:rtl w:val="0"/>
        </w:rPr>
        <w:t xml:space="preserve">O PSM foi implementado via regressão logística com estimando ATT, algoritmo nearest neighbor 1:3, caliper de 0,20 desvios-padrão e sem reposição (pacote MatchIt; HO et al., 2011; R CORE TEAM, 2026). As covariáveis de pareamento foram: escolaridade dos pais, tipo de IES (federal, privada, pública outras) e tipo de escola no ensino médio. A amostra pareada totalizou 10.868 observações (2.525 com IC; 7.567 sem IC). O balanceamento pós-pareamento foi verificado por diferenças padronizadas (SMD; limiar |d| &lt; 0,10) via pacote cobalt (GREIFER, 2026), todos os SMDs foram reduzidos a zero (Tabela 1 e Figura 1).</w:t>
      </w:r>
    </w:p>
    <w:p w:rsidR="00000000" w:rsidDel="00000000" w:rsidP="00000000" w:rsidRDefault="00000000" w:rsidRPr="00000000" w14:paraId="00000019">
      <w:pPr>
        <w:widowControl w:val="0"/>
        <w:spacing w:after="0" w:before="1" w:line="360" w:lineRule="auto"/>
        <w:ind w:left="2" w:right="142" w:firstLine="719"/>
        <w:rPr/>
      </w:pPr>
      <w:r w:rsidDel="00000000" w:rsidR="00000000" w:rsidRPr="00000000">
        <w:rPr>
          <w:rtl w:val="0"/>
        </w:rPr>
        <w:t xml:space="preserve">Para o desfecho binário (pertencimento ao quartil superior no CE e na FG), foram estimados modelos quasibinomial com efeitos marginais médios via avg_comparisons() (pacote marginaleffects; AREL-BUNDOCK; GREIFER; HEISS, 2024). Todas as análises foram realizadas em R (R CORE TEAM, 2026).</w:t>
      </w:r>
    </w:p>
    <w:p w:rsidR="00000000" w:rsidDel="00000000" w:rsidP="00000000" w:rsidRDefault="00000000" w:rsidRPr="00000000" w14:paraId="0000001A">
      <w:pPr>
        <w:widowControl w:val="0"/>
        <w:spacing w:after="0" w:before="160" w:lineRule="auto"/>
        <w:ind w:left="1393" w:firstLine="0"/>
        <w:rPr/>
      </w:pPr>
      <w:r w:rsidDel="00000000" w:rsidR="00000000" w:rsidRPr="00000000">
        <w:rPr>
          <w:b w:val="1"/>
          <w:bCs w:val="1"/>
          <w:rtl w:val="0"/>
        </w:rPr>
        <w:t xml:space="preserve">Tabela 1. Balanceamento das covariáveis antes e após o PSM.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1" w:lineRule="auto"/>
        <w:ind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4.0" w:type="dxa"/>
        <w:jc w:val="left"/>
        <w:tblInd w:w="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98"/>
        <w:gridCol w:w="3123"/>
        <w:gridCol w:w="2453"/>
        <w:tblGridChange w:id="0">
          <w:tblGrid>
            <w:gridCol w:w="3498"/>
            <w:gridCol w:w="3123"/>
            <w:gridCol w:w="2453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1C">
            <w:pPr>
              <w:widowControl w:val="0"/>
              <w:spacing w:after="0" w:before="55" w:lineRule="auto"/>
              <w:ind w:left="79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Covariável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1D">
            <w:pPr>
              <w:widowControl w:val="0"/>
              <w:spacing w:after="0" w:before="55" w:lineRule="auto"/>
              <w:ind w:left="675" w:right="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SMD pré-matching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1E">
            <w:pPr>
              <w:widowControl w:val="0"/>
              <w:spacing w:after="0" w:before="55" w:lineRule="auto"/>
              <w:ind w:right="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SMD pós-matching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0" w:before="46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IES: Federal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46" w:lineRule="auto"/>
              <w:ind w:left="67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+0,253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46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IES: Privada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before="67" w:lineRule="auto"/>
              <w:ind w:left="675" w:firstLine="0"/>
              <w:jc w:val="center"/>
              <w:rPr>
                <w:sz w:val="20"/>
                <w:szCs w:val="20"/>
              </w:rPr>
            </w:pPr>
            <w:sdt>
              <w:sdtPr>
                <w:id w:val="-88939852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−0,275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before="67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IES: Pública (outras)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before="67" w:lineRule="auto"/>
              <w:ind w:left="67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+0,087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before="67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before="68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Escolaridade pais: Nenhum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before="68" w:lineRule="auto"/>
              <w:ind w:left="675" w:firstLine="0"/>
              <w:jc w:val="center"/>
              <w:rPr>
                <w:sz w:val="20"/>
                <w:szCs w:val="20"/>
              </w:rPr>
            </w:pPr>
            <w:sdt>
              <w:sdtPr>
                <w:id w:val="-179333867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−0,098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before="68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Escolaridade pais: Ambos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before="67" w:lineRule="auto"/>
              <w:ind w:left="67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+0,071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before="67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Escolaridade pais: Um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before="67" w:lineRule="auto"/>
              <w:ind w:left="67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+0,054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before="67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Escola EM: Privada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0" w:before="67" w:lineRule="auto"/>
              <w:ind w:left="675" w:firstLine="0"/>
              <w:jc w:val="center"/>
              <w:rPr>
                <w:sz w:val="20"/>
                <w:szCs w:val="20"/>
              </w:rPr>
            </w:pPr>
            <w:sdt>
              <w:sdtPr>
                <w:id w:val="1364890119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−0,062</w:t>
                </w:r>
              </w:sdtContent>
            </w:sdt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0" w:before="67" w:lineRule="auto"/>
              <w:ind w:left="3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after="0" w:before="4" w:lineRule="auto"/>
        <w:ind w:left="36" w:right="178" w:firstLine="0"/>
        <w:jc w:val="center"/>
        <w:rPr>
          <w:i w:val="1"/>
          <w:iCs w:val="1"/>
          <w:sz w:val="20"/>
          <w:szCs w:val="20"/>
        </w:rPr>
      </w:pPr>
      <w:sdt>
        <w:sdtPr>
          <w:id w:val="-31920021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sz w:val="20"/>
              <w:szCs w:val="20"/>
              <w:rtl w:val="0"/>
            </w:rPr>
            <w:t xml:space="preserve">Nota: SMD = diferença padronizada de médias. Pós-matching: SMD ≈ 0 em todas as covariáveis.</w:t>
          </w:r>
        </w:sdtContent>
      </w:sdt>
    </w:p>
    <w:p w:rsidR="00000000" w:rsidDel="00000000" w:rsidP="00000000" w:rsidRDefault="00000000" w:rsidRPr="00000000" w14:paraId="00000035">
      <w:pPr>
        <w:widowControl w:val="0"/>
        <w:spacing w:after="120" w:before="4" w:lineRule="auto"/>
        <w:ind w:left="36" w:right="178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Fonte: elaborado pelas autoras a partir de microdados do ENADE vinculados ao Censo da Educação Superior (INEP/SEDAP).</w:t>
      </w:r>
    </w:p>
    <w:p w:rsidR="00000000" w:rsidDel="00000000" w:rsidP="00000000" w:rsidRDefault="00000000" w:rsidRPr="00000000" w14:paraId="00000036">
      <w:pPr>
        <w:widowControl w:val="0"/>
        <w:spacing w:after="0" w:before="35" w:lineRule="auto"/>
        <w:ind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widowControl w:val="0"/>
        <w:spacing w:after="0" w:before="0" w:lineRule="auto"/>
        <w:ind w:left="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</w:t>
      </w:r>
    </w:p>
    <w:p w:rsidR="00000000" w:rsidDel="00000000" w:rsidP="00000000" w:rsidRDefault="00000000" w:rsidRPr="00000000" w14:paraId="00000038">
      <w:pPr>
        <w:widowControl w:val="0"/>
        <w:spacing w:after="0" w:before="238" w:line="360" w:lineRule="auto"/>
        <w:ind w:left="2" w:right="139" w:firstLine="719"/>
        <w:rPr/>
      </w:pPr>
      <w:r w:rsidDel="00000000" w:rsidR="00000000" w:rsidRPr="00000000">
        <w:rPr>
          <w:rtl w:val="0"/>
        </w:rPr>
        <w:t xml:space="preserve">A Tabela 2 apresenta as estimativas AME para os dois desfechos analisados. Após o pareamento por escore de propensão sobre as covariáveis observadas, a IC esteve associada a uma diferença positiva e estatisticamente significativa na probabilidade de pertencimento ao quartil superior do ENADE em ambos os componentes.</w:t>
      </w:r>
    </w:p>
    <w:p w:rsidR="00000000" w:rsidDel="00000000" w:rsidP="00000000" w:rsidRDefault="00000000" w:rsidRPr="00000000" w14:paraId="00000039">
      <w:pPr>
        <w:widowControl w:val="0"/>
        <w:spacing w:after="0" w:before="238" w:line="360" w:lineRule="auto"/>
        <w:ind w:left="2" w:right="139" w:firstLine="719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2. Efeito marginal estimado da IC sobre a probabilidade de pertencimento ao quartil superior do ENADE (amostra matched via PSM).</w:t>
      </w:r>
    </w:p>
    <w:p w:rsidR="00000000" w:rsidDel="00000000" w:rsidP="00000000" w:rsidRDefault="00000000" w:rsidRPr="00000000" w14:paraId="0000003A">
      <w:pPr>
        <w:widowControl w:val="0"/>
        <w:spacing w:after="0" w:lineRule="auto"/>
        <w:ind w:firstLine="0"/>
        <w:jc w:val="left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4.0" w:type="dxa"/>
        <w:jc w:val="left"/>
        <w:tblInd w:w="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84"/>
        <w:gridCol w:w="1244"/>
        <w:gridCol w:w="1049"/>
        <w:gridCol w:w="1679"/>
        <w:gridCol w:w="1301"/>
        <w:gridCol w:w="1117"/>
        <w:tblGridChange w:id="0">
          <w:tblGrid>
            <w:gridCol w:w="2684"/>
            <w:gridCol w:w="1244"/>
            <w:gridCol w:w="1049"/>
            <w:gridCol w:w="1679"/>
            <w:gridCol w:w="1301"/>
            <w:gridCol w:w="1117"/>
          </w:tblGrid>
        </w:tblGridChange>
      </w:tblGrid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3B">
            <w:pPr>
              <w:widowControl w:val="0"/>
              <w:spacing w:after="0" w:before="55" w:lineRule="auto"/>
              <w:ind w:left="79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Desfecho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3C">
            <w:pPr>
              <w:widowControl w:val="0"/>
              <w:spacing w:after="0" w:before="55" w:lineRule="auto"/>
              <w:ind w:left="102" w:right="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3D">
            <w:pPr>
              <w:widowControl w:val="0"/>
              <w:spacing w:after="0" w:before="55" w:lineRule="auto"/>
              <w:ind w:right="1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3E">
            <w:pPr>
              <w:widowControl w:val="0"/>
              <w:spacing w:after="0" w:before="55" w:lineRule="auto"/>
              <w:ind w:right="2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IC 95%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3F">
            <w:pPr>
              <w:widowControl w:val="0"/>
              <w:spacing w:after="0" w:before="55" w:lineRule="auto"/>
              <w:ind w:left="8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p-valor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edede" w:val="clear"/>
          </w:tcPr>
          <w:p w:rsidR="00000000" w:rsidDel="00000000" w:rsidP="00000000" w:rsidRDefault="00000000" w:rsidRPr="00000000" w14:paraId="00000040">
            <w:pPr>
              <w:widowControl w:val="0"/>
              <w:spacing w:after="0" w:before="55" w:lineRule="auto"/>
              <w:ind w:left="24" w:right="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0" w:before="46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— quartil superior (pp)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after="0" w:before="46" w:lineRule="auto"/>
              <w:ind w:left="10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5,48%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after="0" w:before="46" w:lineRule="auto"/>
              <w:ind w:left="2" w:right="1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after="0" w:before="46" w:lineRule="auto"/>
              <w:ind w:left="3" w:right="2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[3,68; 7,27]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after="0" w:before="46" w:lineRule="auto"/>
              <w:ind w:left="8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0,001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0" w:before="46" w:lineRule="auto"/>
              <w:ind w:left="2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10.092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0" w:before="67" w:lineRule="auto"/>
              <w:ind w:left="7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 — quartil superior (pp)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after="0" w:before="67" w:lineRule="auto"/>
              <w:ind w:left="10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5,28%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after="0" w:before="67" w:lineRule="auto"/>
              <w:ind w:left="2" w:right="1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after="0" w:before="67" w:lineRule="auto"/>
              <w:ind w:left="3" w:right="2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[3,45; 7,11]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0" w:before="67" w:lineRule="auto"/>
              <w:ind w:left="8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0,001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0" w:before="67" w:lineRule="auto"/>
              <w:ind w:left="2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10.095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before="1" w:line="360" w:lineRule="auto"/>
        <w:ind w:left="36" w:right="17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Nota: AME = Average Marginal Effect (quasibinomial). EP = erro-padrão clusterizado por subclasse. pp = pontos percentuais. IC 95% robusto. </w:t>
      </w:r>
    </w:p>
    <w:p w:rsidR="00000000" w:rsidDel="00000000" w:rsidP="00000000" w:rsidRDefault="00000000" w:rsidRPr="00000000" w14:paraId="0000004E">
      <w:pPr>
        <w:widowControl w:val="0"/>
        <w:spacing w:after="120" w:before="1" w:line="360" w:lineRule="auto"/>
        <w:ind w:left="36" w:right="17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Fonte: elaborado pelos autores a partir de microdados do ENADE vinculados ao Censo da Educação Superior (INEP/SEDAP).</w:t>
      </w:r>
    </w:p>
    <w:p w:rsidR="00000000" w:rsidDel="00000000" w:rsidP="00000000" w:rsidRDefault="00000000" w:rsidRPr="00000000" w14:paraId="0000004F">
      <w:pPr>
        <w:widowControl w:val="0"/>
        <w:spacing w:after="0" w:before="159" w:line="360" w:lineRule="auto"/>
        <w:ind w:left="2" w:right="136" w:firstLine="719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Figura 1 sintetiza as proporções no quartil superior por grupo.</w:t>
      </w:r>
    </w:p>
    <w:p w:rsidR="00000000" w:rsidDel="00000000" w:rsidP="00000000" w:rsidRDefault="00000000" w:rsidRPr="00000000" w14:paraId="00000050">
      <w:pPr>
        <w:widowControl w:val="0"/>
        <w:spacing w:after="0" w:before="159" w:line="360" w:lineRule="auto"/>
        <w:ind w:left="2" w:right="136" w:firstLine="71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39100" cy="2476500"/>
            <wp:effectExtent b="0" l="0" r="0" t="0"/>
            <wp:docPr id="10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1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229" w:line="276" w:lineRule="auto"/>
        <w:ind w:left="3787" w:hanging="3651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 Proporção de egressos no quartil superior do ENADE por grupo (Com IC: 28,1%; Sem IC: 24,2%; amostra matched).</w:t>
      </w:r>
    </w:p>
    <w:p w:rsidR="00000000" w:rsidDel="00000000" w:rsidP="00000000" w:rsidRDefault="00000000" w:rsidRPr="00000000" w14:paraId="00000052">
      <w:pPr>
        <w:widowControl w:val="0"/>
        <w:spacing w:after="120" w:before="1" w:line="360" w:lineRule="auto"/>
        <w:ind w:left="36" w:right="17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Fonte: elaborado pelas autoras a partir de microdados do ENADE vinculados ao Censo da Educação Superior (INEP/SEDAP).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widowControl w:val="0"/>
        <w:spacing w:after="0" w:before="0" w:lineRule="auto"/>
        <w:ind w:left="2" w:firstLine="0"/>
        <w:rPr>
          <w:sz w:val="24"/>
          <w:szCs w:val="24"/>
        </w:rPr>
      </w:pPr>
      <w:bookmarkStart w:colFirst="0" w:colLast="0" w:name="_heading=h.d98hkos0icqk" w:id="1"/>
      <w:bookmarkEnd w:id="1"/>
      <w:r w:rsidDel="00000000" w:rsidR="00000000" w:rsidRPr="00000000">
        <w:rPr>
          <w:sz w:val="24"/>
          <w:szCs w:val="24"/>
          <w:rtl w:val="0"/>
        </w:rPr>
        <w:t xml:space="preserve">Discussão</w:t>
      </w:r>
    </w:p>
    <w:p w:rsidR="00000000" w:rsidDel="00000000" w:rsidP="00000000" w:rsidRDefault="00000000" w:rsidRPr="00000000" w14:paraId="00000054">
      <w:pPr>
        <w:widowControl w:val="0"/>
        <w:spacing w:after="0" w:before="160" w:line="360" w:lineRule="auto"/>
        <w:ind w:left="2" w:right="138" w:firstLine="719"/>
        <w:rPr/>
      </w:pPr>
      <w:r w:rsidDel="00000000" w:rsidR="00000000" w:rsidRPr="00000000">
        <w:rPr>
          <w:rtl w:val="0"/>
        </w:rPr>
        <w:t xml:space="preserve">A magnitude semelhante da associação em CE e FG é teoricamente relevante. O CE avalia conhecimentos disciplinares específicos de Psicologia (teorias, metodologia, avaliação psicológica), ao passo que a FG avalia competências transversais (leitura crítica, argumentação, análise de conjuntura). O fato de a IC estar associada a diferenças positivas em ambas as dimensões sugere que a experiência de pesquisa pode estar relacionada tanto ao domínio conceitual da área quanto a habilidades de raciocínio analítico de aplicação ampla, consistente com a literatura internacional sobre IC como prática de alto impacto (KUH, 2008; LINN et al., 2015).</w:t>
      </w:r>
    </w:p>
    <w:p w:rsidR="00000000" w:rsidDel="00000000" w:rsidP="00000000" w:rsidRDefault="00000000" w:rsidRPr="00000000" w14:paraId="00000055">
      <w:pPr>
        <w:widowControl w:val="0"/>
        <w:spacing w:after="0" w:before="159" w:line="360" w:lineRule="auto"/>
        <w:ind w:left="2" w:right="136" w:firstLine="719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Esses resultados são coerentes com Marques e Cunha (2021), que, utilizando PSM em amostra agregada de todas as áreas avaliadas pelo Enade, estimaram efeitos de 0,21 a 0,31 desvios-padrão a favor dos bolsistas de IC. O relatório do CGEE (2017), embora não trate diretamente do desempenho no ENADE, indica que ex-bolsistas de IC concluíram a graduação mais cedo e apresentam maior probabilidade de concluir mestrado e doutorado, evidência complementar do valor formativo do programa. Internacionalmente, Russell, Hancock e McCullough (2007) documentam que a participação em pesquisa de graduação está associada a maior compreensão do processo de pesquisa, aumento do interesse por carreiras científicas e maior confiança e clareza quanto à trajetória acadêmica, ganhos que plausivelmente se refletem no desempenho em instrumentos de avaliação utilizados.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widowControl w:val="0"/>
        <w:spacing w:after="0" w:before="262" w:lineRule="auto"/>
        <w:ind w:left="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57">
      <w:pPr>
        <w:widowControl w:val="0"/>
        <w:spacing w:after="0" w:before="238" w:line="360" w:lineRule="auto"/>
        <w:ind w:left="2" w:right="138" w:firstLine="0"/>
        <w:rPr/>
      </w:pPr>
      <w:r w:rsidDel="00000000" w:rsidR="00000000" w:rsidRPr="00000000">
        <w:rPr>
          <w:rtl w:val="0"/>
        </w:rPr>
        <w:t xml:space="preserve">Este estudo fornece evidências quase-experimentais as quais sugerem de que a participação em IC produz associação positiva e significativa sobre a probabilidade de egressos de Psicologia alcançarem o quartil superior do ENADE, com incremento de aproximadamente 5,4 pontos percentuais no Componente Específico e 5,3 pontos percentuais na Formação Geral. Os resultados reforçam a importância dos programas de IC como política formativa no ensino superior brasileiro e indicam que o ENADE pode ser utilizado como desfecho objetivo para avaliação de impacto desses programas em escala nacional. Estudos futuros devem investigar heterogeneidades por tipo de IES, região e modalidade de bolsa, e examinar se as associações se sustentam em janelas temporais mais longas.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widowControl w:val="0"/>
        <w:spacing w:after="0" w:before="260" w:lineRule="auto"/>
        <w:ind w:left="2" w:firstLine="0"/>
        <w:jc w:val="left"/>
        <w:rPr>
          <w:sz w:val="24"/>
          <w:szCs w:val="24"/>
        </w:rPr>
      </w:pPr>
      <w:bookmarkStart w:colFirst="0" w:colLast="0" w:name="_heading=h.rgdm5ewozc5d" w:id="2"/>
      <w:bookmarkEnd w:id="2"/>
      <w:r w:rsidDel="00000000" w:rsidR="00000000" w:rsidRPr="00000000">
        <w:rPr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9">
      <w:pPr>
        <w:widowControl w:val="0"/>
        <w:spacing w:after="0" w:before="216" w:line="360" w:lineRule="auto"/>
        <w:ind w:left="721" w:right="145" w:hanging="720"/>
        <w:rPr/>
      </w:pPr>
      <w:r w:rsidDel="00000000" w:rsidR="00000000" w:rsidRPr="00000000">
        <w:rPr>
          <w:rtl w:val="0"/>
        </w:rPr>
        <w:t xml:space="preserve">AREL-BUNDOCK, V.; GREIFER, N.; HEISS, A. How to interpret statistical models using marginaleffects for R and Python. </w:t>
      </w:r>
      <w:r w:rsidDel="00000000" w:rsidR="00000000" w:rsidRPr="00000000">
        <w:rPr>
          <w:i w:val="1"/>
          <w:iCs w:val="1"/>
          <w:rtl w:val="0"/>
        </w:rPr>
        <w:t xml:space="preserve">Journal of Statistical Software</w:t>
      </w:r>
      <w:r w:rsidDel="00000000" w:rsidR="00000000" w:rsidRPr="00000000">
        <w:rPr>
          <w:rtl w:val="0"/>
        </w:rPr>
        <w:t xml:space="preserve">, v. 111, n. 9, p. 1-32, 2024.</w:t>
      </w:r>
    </w:p>
    <w:p w:rsidR="00000000" w:rsidDel="00000000" w:rsidP="00000000" w:rsidRDefault="00000000" w:rsidRPr="00000000" w14:paraId="0000005A">
      <w:pPr>
        <w:widowControl w:val="0"/>
        <w:spacing w:after="0" w:before="237" w:line="360" w:lineRule="auto"/>
        <w:ind w:left="721" w:hanging="720"/>
        <w:jc w:val="left"/>
        <w:rPr/>
      </w:pPr>
      <w:r w:rsidDel="00000000" w:rsidR="00000000" w:rsidRPr="00000000">
        <w:rPr>
          <w:rtl w:val="0"/>
        </w:rPr>
        <w:t xml:space="preserve">BRASIL. Centro de Gestão e Estudos Estratégicos (CGEE). Avaliação do Programa Institucional de Bolsas de Iniciação Científica (PIBIC). Brasília: CNPq/CGEE, 2017.</w:t>
      </w:r>
    </w:p>
    <w:p w:rsidR="00000000" w:rsidDel="00000000" w:rsidP="00000000" w:rsidRDefault="00000000" w:rsidRPr="00000000" w14:paraId="0000005B">
      <w:pPr>
        <w:widowControl w:val="0"/>
        <w:spacing w:after="0" w:before="80" w:line="360" w:lineRule="auto"/>
        <w:ind w:left="2" w:firstLine="0"/>
        <w:rPr/>
      </w:pPr>
      <w:r w:rsidDel="00000000" w:rsidR="00000000" w:rsidRPr="00000000">
        <w:rPr>
          <w:rtl w:val="0"/>
        </w:rPr>
        <w:t xml:space="preserve">BRITO, M. R. F. O SINAES e o ENADE: da concepção à implantação. Avaliação (Campinas),</w:t>
      </w:r>
    </w:p>
    <w:p w:rsidR="00000000" w:rsidDel="00000000" w:rsidP="00000000" w:rsidRDefault="00000000" w:rsidRPr="00000000" w14:paraId="0000005C">
      <w:pPr>
        <w:widowControl w:val="0"/>
        <w:spacing w:after="0" w:before="139" w:line="360" w:lineRule="auto"/>
        <w:ind w:left="721" w:firstLine="0"/>
        <w:jc w:val="left"/>
        <w:rPr/>
      </w:pPr>
      <w:r w:rsidDel="00000000" w:rsidR="00000000" w:rsidRPr="00000000">
        <w:rPr>
          <w:rtl w:val="0"/>
        </w:rPr>
        <w:t xml:space="preserve">v. 13, n. 3, p. 841-850, 2008.</w:t>
      </w:r>
    </w:p>
    <w:p w:rsidR="00000000" w:rsidDel="00000000" w:rsidP="00000000" w:rsidRDefault="00000000" w:rsidRPr="00000000" w14:paraId="0000005D">
      <w:pPr>
        <w:widowControl w:val="0"/>
        <w:spacing w:after="0" w:before="216" w:line="360" w:lineRule="auto"/>
        <w:ind w:left="721" w:right="145" w:hanging="720"/>
        <w:rPr/>
      </w:pPr>
      <w:r w:rsidDel="00000000" w:rsidR="00000000" w:rsidRPr="00000000">
        <w:rPr>
          <w:rtl w:val="0"/>
        </w:rPr>
        <w:t xml:space="preserve">GREIFER, N. </w:t>
      </w:r>
      <w:r w:rsidDel="00000000" w:rsidR="00000000" w:rsidRPr="00000000">
        <w:rPr>
          <w:i w:val="1"/>
          <w:iCs w:val="1"/>
          <w:rtl w:val="0"/>
        </w:rPr>
        <w:t xml:space="preserve">cobalt: covariate balance tables and plots</w:t>
      </w:r>
      <w:r w:rsidDel="00000000" w:rsidR="00000000" w:rsidRPr="00000000">
        <w:rPr>
          <w:rtl w:val="0"/>
        </w:rPr>
        <w:t xml:space="preserve">. R package version 5.0.0, 2026. Disponível em: &lt;https://ngreifer.github.io/cobalt/&gt;.</w:t>
      </w:r>
    </w:p>
    <w:p w:rsidR="00000000" w:rsidDel="00000000" w:rsidP="00000000" w:rsidRDefault="00000000" w:rsidRPr="00000000" w14:paraId="0000005E">
      <w:pPr>
        <w:widowControl w:val="0"/>
        <w:spacing w:after="0" w:before="216" w:line="360" w:lineRule="auto"/>
        <w:ind w:left="721" w:right="145" w:hanging="720"/>
        <w:rPr/>
      </w:pPr>
      <w:r w:rsidDel="00000000" w:rsidR="00000000" w:rsidRPr="00000000">
        <w:rPr>
          <w:rtl w:val="0"/>
        </w:rPr>
        <w:t xml:space="preserve">HO, D. E. et al. Matching as nonparametric preprocessing for reducing model dependence in parametric causal inference. Political Analysis, v. 15, n. 3, p. 199-236, 2007.</w:t>
      </w:r>
    </w:p>
    <w:p w:rsidR="00000000" w:rsidDel="00000000" w:rsidP="00000000" w:rsidRDefault="00000000" w:rsidRPr="00000000" w14:paraId="0000005F">
      <w:pPr>
        <w:widowControl w:val="0"/>
        <w:spacing w:after="0" w:before="216" w:line="360" w:lineRule="auto"/>
        <w:ind w:left="721" w:right="145" w:hanging="720"/>
        <w:rPr/>
      </w:pPr>
      <w:r w:rsidDel="00000000" w:rsidR="00000000" w:rsidRPr="00000000">
        <w:rPr>
          <w:rtl w:val="0"/>
        </w:rPr>
        <w:t xml:space="preserve">HO, D. E.; IMAI, K.; KING, G.; STUART, E. A. MatchIt: nonparametric preprocessing for parametric causal inference. </w:t>
      </w:r>
      <w:r w:rsidDel="00000000" w:rsidR="00000000" w:rsidRPr="00000000">
        <w:rPr>
          <w:i w:val="1"/>
          <w:iCs w:val="1"/>
          <w:rtl w:val="0"/>
        </w:rPr>
        <w:t xml:space="preserve">Journal of Statistical Software</w:t>
      </w:r>
      <w:r w:rsidDel="00000000" w:rsidR="00000000" w:rsidRPr="00000000">
        <w:rPr>
          <w:rtl w:val="0"/>
        </w:rPr>
        <w:t xml:space="preserve">, v. 42, n. 8, p. 1-28, 2011.</w:t>
      </w:r>
    </w:p>
    <w:p w:rsidR="00000000" w:rsidDel="00000000" w:rsidP="00000000" w:rsidRDefault="00000000" w:rsidRPr="00000000" w14:paraId="00000060">
      <w:pPr>
        <w:widowControl w:val="0"/>
        <w:spacing w:after="0" w:before="78" w:line="360" w:lineRule="auto"/>
        <w:ind w:left="721" w:right="139" w:hanging="720"/>
        <w:rPr/>
      </w:pPr>
      <w:r w:rsidDel="00000000" w:rsidR="00000000" w:rsidRPr="00000000">
        <w:rPr>
          <w:rtl w:val="0"/>
        </w:rPr>
        <w:t xml:space="preserve">KUH, G. D. High-impact educational practices: What they are, who has access to them, and why they matter. Washington, DC: Association of American Colleges and Universities, 2008.</w:t>
      </w:r>
    </w:p>
    <w:p w:rsidR="00000000" w:rsidDel="00000000" w:rsidP="00000000" w:rsidRDefault="00000000" w:rsidRPr="00000000" w14:paraId="00000061">
      <w:pPr>
        <w:widowControl w:val="0"/>
        <w:spacing w:after="0" w:before="81" w:line="360" w:lineRule="auto"/>
        <w:ind w:left="2" w:firstLine="0"/>
        <w:rPr/>
      </w:pPr>
      <w:r w:rsidDel="00000000" w:rsidR="00000000" w:rsidRPr="00000000">
        <w:rPr>
          <w:rtl w:val="0"/>
        </w:rPr>
        <w:t xml:space="preserve">LINN, M. C. et al. Undergraduate research experiences: Impacts and opportunities. Science, v.</w:t>
      </w:r>
    </w:p>
    <w:p w:rsidR="00000000" w:rsidDel="00000000" w:rsidP="00000000" w:rsidRDefault="00000000" w:rsidRPr="00000000" w14:paraId="00000062">
      <w:pPr>
        <w:widowControl w:val="0"/>
        <w:spacing w:after="0" w:before="139" w:line="360" w:lineRule="auto"/>
        <w:ind w:left="721" w:firstLine="0"/>
        <w:jc w:val="left"/>
        <w:rPr/>
      </w:pPr>
      <w:r w:rsidDel="00000000" w:rsidR="00000000" w:rsidRPr="00000000">
        <w:rPr>
          <w:rtl w:val="0"/>
        </w:rPr>
        <w:t xml:space="preserve">347, n. 6222, p. 1261757, 2015.</w:t>
      </w:r>
    </w:p>
    <w:p w:rsidR="00000000" w:rsidDel="00000000" w:rsidP="00000000" w:rsidRDefault="00000000" w:rsidRPr="00000000" w14:paraId="00000063">
      <w:pPr>
        <w:widowControl w:val="0"/>
        <w:spacing w:after="0" w:before="80" w:line="360" w:lineRule="auto"/>
        <w:ind w:left="721" w:right="140" w:hanging="720"/>
        <w:rPr/>
      </w:pPr>
      <w:r w:rsidDel="00000000" w:rsidR="00000000" w:rsidRPr="00000000">
        <w:rPr>
          <w:rtl w:val="0"/>
        </w:rPr>
        <w:t xml:space="preserve">MARQUES, F. C.; CUNHA, M. S. Impactos da iniciação científica sobre o desempenho estudantil no Enade 2015-2017. Estudos em Avaliação Educacional, v. 32, p. e06744, 2021.</w:t>
      </w:r>
    </w:p>
    <w:p w:rsidR="00000000" w:rsidDel="00000000" w:rsidP="00000000" w:rsidRDefault="00000000" w:rsidRPr="00000000" w14:paraId="00000064">
      <w:pPr>
        <w:widowControl w:val="0"/>
        <w:spacing w:after="0" w:before="216" w:line="360" w:lineRule="auto"/>
        <w:ind w:left="721" w:right="145" w:hanging="720"/>
        <w:rPr/>
      </w:pPr>
      <w:r w:rsidDel="00000000" w:rsidR="00000000" w:rsidRPr="00000000">
        <w:rPr>
          <w:rtl w:val="0"/>
        </w:rPr>
        <w:t xml:space="preserve">R CORE TEAM. </w:t>
      </w:r>
      <w:r w:rsidDel="00000000" w:rsidR="00000000" w:rsidRPr="00000000">
        <w:rPr>
          <w:i w:val="1"/>
          <w:iCs w:val="1"/>
          <w:rtl w:val="0"/>
        </w:rPr>
        <w:t xml:space="preserve">R: a language and environment for statistical computing</w:t>
      </w:r>
      <w:r w:rsidDel="00000000" w:rsidR="00000000" w:rsidRPr="00000000">
        <w:rPr>
          <w:rtl w:val="0"/>
        </w:rPr>
        <w:t xml:space="preserve">. Versão 4.6.1. Vienna, Austria: R Foundation for Statistical Computing, 2026. Disponível em: &lt;https://www.R-project.org/&gt;.</w:t>
      </w:r>
    </w:p>
    <w:p w:rsidR="00000000" w:rsidDel="00000000" w:rsidP="00000000" w:rsidRDefault="00000000" w:rsidRPr="00000000" w14:paraId="00000065">
      <w:pPr>
        <w:widowControl w:val="0"/>
        <w:spacing w:after="0" w:before="79" w:line="360" w:lineRule="auto"/>
        <w:ind w:left="721" w:hanging="720"/>
        <w:jc w:val="left"/>
        <w:rPr/>
      </w:pPr>
      <w:r w:rsidDel="00000000" w:rsidR="00000000" w:rsidRPr="00000000">
        <w:rPr>
          <w:rtl w:val="0"/>
        </w:rPr>
        <w:t xml:space="preserve">RUSSELL, S. H.; HANCOCK, M. P.; McCULLOUGH, J. Benefits of undergraduate research experiences. Science, v. 316, n. 5824, p. 548-549, 2007.</w:t>
      </w:r>
    </w:p>
    <w:p w:rsidR="00000000" w:rsidDel="00000000" w:rsidP="00000000" w:rsidRDefault="00000000" w:rsidRPr="00000000" w14:paraId="00000066">
      <w:pPr>
        <w:widowControl w:val="0"/>
        <w:spacing w:after="0" w:before="77" w:line="360" w:lineRule="auto"/>
        <w:ind w:left="2" w:firstLine="0"/>
        <w:jc w:val="left"/>
        <w:rPr/>
      </w:pPr>
      <w:r w:rsidDel="00000000" w:rsidR="00000000" w:rsidRPr="00000000">
        <w:rPr>
          <w:rtl w:val="0"/>
        </w:rPr>
        <w:t xml:space="preserve">STUART, E. A. Matching methods for causal inference: A review and a look forward.</w:t>
      </w:r>
    </w:p>
    <w:p w:rsidR="00000000" w:rsidDel="00000000" w:rsidP="00000000" w:rsidRDefault="00000000" w:rsidRPr="00000000" w14:paraId="00000067">
      <w:pPr>
        <w:widowControl w:val="0"/>
        <w:spacing w:after="0" w:before="137" w:line="360" w:lineRule="auto"/>
        <w:ind w:left="721" w:firstLine="0"/>
        <w:jc w:val="left"/>
        <w:rPr/>
      </w:pPr>
      <w:r w:rsidDel="00000000" w:rsidR="00000000" w:rsidRPr="00000000">
        <w:rPr>
          <w:rtl w:val="0"/>
        </w:rPr>
        <w:t xml:space="preserve">Statistical Science, v. 25, n. 1, p. 1-21, 2010.</w:t>
      </w:r>
    </w:p>
    <w:p w:rsidR="00000000" w:rsidDel="00000000" w:rsidP="00000000" w:rsidRDefault="00000000" w:rsidRPr="00000000" w14:paraId="00000068">
      <w:pPr>
        <w:widowControl w:val="0"/>
        <w:spacing w:after="0" w:before="218" w:line="360" w:lineRule="auto"/>
        <w:ind w:left="2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VERHINE, R. E.; DANTAS, L. M. V.; SOARES, J. F. Do Provão ao ENADE: uma análise comparativa dos exames nacionais utilizados no Ensino Superior Brasileiro. Ensaio: Avaliação e Políticas Públicas em Educação, v. 14, n. 52, p. 291-310, 2006.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40" w:w="11920" w:orient="portrait"/>
      <w:pgMar w:bottom="1134" w:top="1701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0"/>
      <w:jc w:val="both"/>
      <w:rPr>
        <w:rFonts w:ascii="Arial" w:cs="Arial" w:eastAsia="Arial" w:hAnsi="Arial"/>
        <w:i w:val="1"/>
        <w:iCs w:val="1"/>
        <w:sz w:val="19"/>
        <w:szCs w:val="19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i w:val="1"/>
        <w:iCs w:val="1"/>
        <w:sz w:val="19"/>
        <w:szCs w:val="19"/>
        <w:rtl w:val="0"/>
      </w:rPr>
      <w:t xml:space="preserve">Iniciação Científica e Desempenho no ENADE em Psicologia: uma estimativa associativa com dados </w:t>
    </w:r>
    <w:r w:rsidDel="00000000" w:rsidR="00000000" w:rsidRPr="00000000">
      <w:rPr>
        <w:rFonts w:ascii="Arial" w:cs="Arial" w:eastAsia="Arial" w:hAnsi="Arial"/>
        <w:i w:val="1"/>
        <w:iCs w:val="1"/>
        <w:sz w:val="19"/>
        <w:szCs w:val="19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1003935</wp:posOffset>
              </wp:positionH>
              <wp:positionV relativeFrom="page">
                <wp:posOffset>749920</wp:posOffset>
              </wp:positionV>
              <wp:extent cx="5735955" cy="5080"/>
              <wp:effectExtent b="0" l="0" r="0" t="0"/>
              <wp:wrapNone/>
              <wp:docPr id="10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78000" y="3775225"/>
                        <a:ext cx="5735955" cy="5080"/>
                        <a:chOff x="2478000" y="3775225"/>
                        <a:chExt cx="5733450" cy="9550"/>
                      </a:xfrm>
                    </wpg:grpSpPr>
                    <wpg:grpSp>
                      <wpg:cNvGrpSpPr/>
                      <wpg:grpSpPr>
                        <a:xfrm>
                          <a:off x="2478023" y="3777460"/>
                          <a:ext cx="5733415" cy="2540"/>
                          <a:chOff x="1436" y="1161"/>
                          <a:chExt cx="9029" cy="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36" y="1161"/>
                            <a:ext cx="902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440" y="1165"/>
                            <a:ext cx="9025" cy="0"/>
                          </a:xfrm>
                          <a:custGeom>
                            <a:rect b="b" l="l" r="r" t="t"/>
                            <a:pathLst>
                              <a:path extrusionOk="0" h="120000" w="9025">
                                <a:moveTo>
                                  <a:pt x="0" y="0"/>
                                </a:moveTo>
                                <a:lnTo>
                                  <a:pt x="902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440" y="1165"/>
                            <a:ext cx="9025" cy="0"/>
                          </a:xfrm>
                          <a:custGeom>
                            <a:rect b="b" l="l" r="r" t="t"/>
                            <a:pathLst>
                              <a:path extrusionOk="0" h="120000" w="9025">
                                <a:moveTo>
                                  <a:pt x="90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1003935</wp:posOffset>
              </wp:positionH>
              <wp:positionV relativeFrom="page">
                <wp:posOffset>749920</wp:posOffset>
              </wp:positionV>
              <wp:extent cx="5735955" cy="5080"/>
              <wp:effectExtent b="0" l="0" r="0" t="0"/>
              <wp:wrapNone/>
              <wp:docPr id="10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5955" cy="5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i w:val="1"/>
        <w:iCs w:val="1"/>
        <w:sz w:val="19"/>
        <w:szCs w:val="19"/>
        <w:rtl w:val="0"/>
      </w:rPr>
      <w:t xml:space="preserve">administrativos nacionais</w:t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both"/>
      <w:rPr>
        <w:rFonts w:ascii="Arial" w:cs="Arial" w:eastAsia="Arial" w:hAnsi="Arial"/>
        <w:i w:val="1"/>
        <w:iCs w:val="1"/>
        <w:sz w:val="19"/>
        <w:szCs w:val="1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center" w:leader="none" w:pos="4252"/>
        <w:tab w:val="right" w:leader="none" w:pos="8504"/>
      </w:tabs>
      <w:ind w:left="6480" w:firstLine="720"/>
      <w:rPr/>
    </w:pPr>
    <w:r w:rsidDel="00000000" w:rsidR="00000000" w:rsidRPr="00000000">
      <w:rPr>
        <w:rFonts w:ascii="Arial" w:cs="Arial" w:eastAsia="Arial" w:hAnsi="Arial"/>
      </w:rPr>
      <w:drawing>
        <wp:inline distB="0" distT="0" distL="114300" distR="114300">
          <wp:extent cx="1104900" cy="527050"/>
          <wp:effectExtent b="0" l="0" r="0" t="0"/>
          <wp:docPr id="102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,Sessão">
    <w:name w:val="Título 1,Sessão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paragraph" w:styleId="Título2,Subsessão">
    <w:name w:val="Título 2,Subsessão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1"/>
    </w:pPr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,Subsubsessão">
    <w:name w:val="Título 3,Subsubsessão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3"/>
    </w:pPr>
    <w:rPr>
      <w:rFonts w:ascii="Calibri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4"/>
    </w:pPr>
    <w:rPr>
      <w:rFonts w:ascii="Calibri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5"/>
    </w:pPr>
    <w:rPr>
      <w:rFonts w:ascii="Calibri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6"/>
    </w:pPr>
    <w:rPr>
      <w:rFonts w:ascii="Calibri" w:hAnsi="Calibri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7"/>
    </w:pPr>
    <w:rPr>
      <w:rFonts w:ascii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8"/>
    </w:pPr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Título1Char,SessãoChar">
    <w:name w:val="Título 1 Char,Sessão Char"/>
    <w:next w:val="Título1Char,SessãoChar"/>
    <w:autoRedefine w:val="0"/>
    <w:hidden w:val="0"/>
    <w:qFormat w:val="0"/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447" w:lineRule="atLeast"/>
      <w:ind w:left="2904" w:right="2884" w:leftChars="-1" w:rightChars="0" w:firstLine="720" w:firstLineChars="-1"/>
      <w:jc w:val="center"/>
      <w:textDirection w:val="btLr"/>
      <w:textAlignment w:val="top"/>
      <w:outlineLvl w:val="0"/>
    </w:pPr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/>
    </w:rPr>
  </w:style>
  <w:style w:type="character" w:styleId="Título2Char,SubsessãoChar">
    <w:name w:val="Título 2 Char,Subsessão Char"/>
    <w:next w:val="Título2Char,SubsessãoChar"/>
    <w:autoRedefine w:val="0"/>
    <w:hidden w:val="0"/>
    <w:qFormat w:val="0"/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suppressAutoHyphens w:val="1"/>
      <w:spacing w:after="60" w:line="1" w:lineRule="atLeast"/>
      <w:ind w:leftChars="-1" w:rightChars="0" w:firstLine="720" w:firstLineChars="-1"/>
      <w:jc w:val="center"/>
      <w:textDirection w:val="btLr"/>
      <w:textAlignment w:val="top"/>
      <w:outlineLvl w:val="1"/>
    </w:pPr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3Char,SubsubsessãoChar">
    <w:name w:val="Título 3 Char,Subsubsessão Char"/>
    <w:next w:val="Título3Char,Subsubsessão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rFonts w:ascii="Cambria" w:cs="Times New Roman" w:eastAsia="Times New Roman" w:hAnsi="Cambria"/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1"/>
    <w:pPr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/CBWCBG345p3d9NxCppZvKGmw==">CgMxLjAaFAoBMBIPCg0IB0IJEgdHdW5nc3VoGhQKATESDwoNCAdCCRIHR3VuZ3N1aBoUCgEyEg8KDQgHQgkSB0d1bmdzdWgaFAoBMxIPCg0IB0IJEgdHdW5nc3VoGhQKATQSDwoNCAdCCRIHR3VuZ3N1aDIOaC5nZnh0bG1xdXNzOGoyDmguZDk4aGtvczBpY3FrMg5oLnJnZG01ZXdvemM1ZDgAciExOXhmNHktM0tzdjdxTHFZbDJMNkRySVpmemZ0N1FsTjI=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2026-07-28T20:38:00Z</dcterms:created>
  <dc:creator>Leandro Marino</dc:creator>
</cp:coreProperties>
</file>