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ind w:hanging="0" w:start="0" w:end="-67"/>
        <w:rPr>
          <w:rFonts w:ascii="Times New Roman" w:hAnsi="Times New Roman" w:cs="Times New Roman"/>
          <w:sz w:val="28"/>
          <w:szCs w:val="28"/>
        </w:rPr>
      </w:pPr>
      <w:r>
        <w:rPr>
          <w:rFonts w:cs="Times New Roman" w:ascii="Times New Roman" w:hAnsi="Times New Roman"/>
          <w:sz w:val="28"/>
          <w:szCs w:val="28"/>
        </w:rPr>
        <w:t>Inteligência artificial e avaliação autêntica na educação superior: uma proposta para avaliar competências de nível superior em larga escala</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autoSpaceDE w:val="false"/>
        <w:spacing w:lineRule="auto" w:line="360" w:before="0" w:after="0"/>
        <w:jc w:val="center"/>
        <w:rPr/>
      </w:pPr>
      <w:r>
        <w:rPr>
          <w:rFonts w:cs="Times New Roman" w:ascii="Times New Roman" w:hAnsi="Times New Roman"/>
          <w:szCs w:val="24"/>
        </w:rPr>
        <w:t>André Dutra Martins</w:t>
      </w:r>
      <w:r>
        <w:rPr>
          <w:rFonts w:cs="Times New Roman" w:ascii="Times New Roman" w:hAnsi="Times New Roman"/>
          <w:szCs w:val="24"/>
          <w:vertAlign w:val="superscript"/>
        </w:rPr>
        <w:t>1</w:t>
      </w:r>
      <w:r>
        <w:rPr>
          <w:rFonts w:cs="Times New Roman" w:ascii="Times New Roman" w:hAnsi="Times New Roman"/>
          <w:szCs w:val="24"/>
        </w:rPr>
        <w:t>, Marcelo Webert</w:t>
      </w:r>
      <w:r>
        <w:rPr>
          <w:rFonts w:cs="Times New Roman" w:ascii="Times New Roman" w:hAnsi="Times New Roman"/>
          <w:szCs w:val="24"/>
          <w:vertAlign w:val="superscript"/>
        </w:rPr>
        <w:t>2</w:t>
      </w:r>
      <w:r>
        <w:rPr>
          <w:rFonts w:cs="Times New Roman" w:ascii="Times New Roman" w:hAnsi="Times New Roman"/>
          <w:szCs w:val="24"/>
        </w:rPr>
        <w:t>, Monica Faloppa 3</w:t>
      </w:r>
      <w:r>
        <w:rPr>
          <w:rFonts w:cs="Times New Roman" w:ascii="Times New Roman" w:hAnsi="Times New Roman"/>
          <w:szCs w:val="24"/>
          <w:vertAlign w:val="superscript"/>
        </w:rPr>
        <w:t xml:space="preserve">3 </w:t>
      </w:r>
    </w:p>
    <w:p>
      <w:pPr>
        <w:pStyle w:val="Normal"/>
        <w:autoSpaceDE w:val="false"/>
        <w:spacing w:lineRule="auto" w:line="360" w:before="0" w:after="0"/>
        <w:jc w:val="center"/>
        <w:rPr>
          <w:rFonts w:ascii="Times New Roman" w:hAnsi="Times New Roman" w:cs="Times New Roman"/>
          <w:szCs w:val="24"/>
          <w:vertAlign w:val="superscript"/>
        </w:rPr>
      </w:pPr>
      <w:r>
        <w:rPr>
          <w:rFonts w:cs="Times New Roman" w:ascii="Times New Roman" w:hAnsi="Times New Roman"/>
          <w:szCs w:val="24"/>
          <w:vertAlign w:val="superscript"/>
        </w:rPr>
      </w:r>
    </w:p>
    <w:p>
      <w:pPr>
        <w:pStyle w:val="Normal"/>
        <w:autoSpaceDE w:val="false"/>
        <w:spacing w:lineRule="auto" w:line="360" w:before="0" w:after="0"/>
        <w:rPr>
          <w:rFonts w:ascii="Times New Roman" w:hAnsi="Times New Roman" w:cs="Times New Roman"/>
          <w:szCs w:val="24"/>
        </w:rPr>
      </w:pPr>
      <w:r>
        <w:rPr>
          <w:rFonts w:cs="Times New Roman" w:ascii="Times New Roman" w:hAnsi="Times New Roman"/>
          <w:szCs w:val="24"/>
          <w:vertAlign w:val="superscript"/>
        </w:rPr>
        <w:t>1</w:t>
      </w:r>
      <w:r>
        <w:rPr>
          <w:rFonts w:cs="Times New Roman" w:ascii="Times New Roman" w:hAnsi="Times New Roman"/>
          <w:szCs w:val="24"/>
        </w:rPr>
        <w:t xml:space="preserve"> SENAI/SP, andre.dutra@sp.senai.br</w:t>
      </w:r>
    </w:p>
    <w:p>
      <w:pPr>
        <w:pStyle w:val="Normal"/>
        <w:autoSpaceDE w:val="false"/>
        <w:spacing w:lineRule="auto" w:line="360" w:before="0" w:after="0"/>
        <w:rPr>
          <w:rFonts w:ascii="Times New Roman" w:hAnsi="Times New Roman" w:cs="Times New Roman"/>
          <w:szCs w:val="24"/>
        </w:rPr>
      </w:pPr>
      <w:r>
        <w:rPr>
          <w:rFonts w:cs="Times New Roman" w:ascii="Times New Roman" w:hAnsi="Times New Roman"/>
          <w:szCs w:val="24"/>
          <w:vertAlign w:val="superscript"/>
        </w:rPr>
        <w:t>2</w:t>
      </w:r>
      <w:r>
        <w:rPr>
          <w:rFonts w:cs="Times New Roman" w:ascii="Times New Roman" w:hAnsi="Times New Roman"/>
          <w:szCs w:val="24"/>
        </w:rPr>
        <w:t xml:space="preserve"> SENAI/SP, marcelo.webert@sp.senai.br</w:t>
      </w:r>
    </w:p>
    <w:p>
      <w:pPr>
        <w:pStyle w:val="Normal"/>
        <w:autoSpaceDE w:val="false"/>
        <w:spacing w:lineRule="auto" w:line="360" w:before="0" w:after="0"/>
        <w:rPr>
          <w:rFonts w:ascii="Times New Roman" w:hAnsi="Times New Roman" w:cs="Times New Roman"/>
          <w:szCs w:val="24"/>
        </w:rPr>
      </w:pPr>
      <w:r>
        <w:rPr>
          <w:rFonts w:cs="Times New Roman" w:ascii="Times New Roman" w:hAnsi="Times New Roman"/>
          <w:szCs w:val="24"/>
          <w:vertAlign w:val="superscript"/>
        </w:rPr>
        <w:t>3</w:t>
      </w:r>
      <w:r>
        <w:rPr>
          <w:rFonts w:cs="Times New Roman" w:ascii="Times New Roman" w:hAnsi="Times New Roman"/>
          <w:szCs w:val="24"/>
        </w:rPr>
        <w:t xml:space="preserve"> SENAI/SP, monica.faloppa@sp.senai.br</w:t>
      </w:r>
    </w:p>
    <w:p>
      <w:pPr>
        <w:pStyle w:val="Normal"/>
        <w:widowControl w:val="false"/>
        <w:autoSpaceDE w:val="false"/>
        <w:spacing w:lineRule="exact" w:line="200" w:before="0" w:after="0"/>
        <w:rPr>
          <w:rFonts w:ascii="Times New Roman" w:hAnsi="Times New Roman" w:cs="Times New Roman"/>
          <w:szCs w:val="24"/>
        </w:rPr>
      </w:pPr>
      <w:r>
        <w:rPr>
          <w:rFonts w:cs="Times New Roman" w:ascii="Times New Roman" w:hAnsi="Times New Roman"/>
          <w:szCs w:val="24"/>
        </w:rPr>
      </w:r>
    </w:p>
    <w:p>
      <w:pPr>
        <w:sectPr>
          <w:headerReference w:type="default" r:id="rId2"/>
          <w:footerReference w:type="default" r:id="rId3"/>
          <w:type w:val="nextPage"/>
          <w:pgSz w:w="11906" w:h="16838"/>
          <w:pgMar w:left="1701" w:right="1134" w:gutter="0" w:header="720" w:top="1701" w:footer="720" w:bottom="1134"/>
          <w:pgNumType w:fmt="decimal"/>
          <w:formProt w:val="false"/>
          <w:textDirection w:val="lrTb"/>
          <w:docGrid w:type="default" w:linePitch="360" w:charSpace="0"/>
        </w:sectPr>
      </w:pPr>
    </w:p>
    <w:p>
      <w:pPr>
        <w:pStyle w:val="Normal"/>
        <w:widowControl w:val="false"/>
        <w:tabs>
          <w:tab w:val="clear" w:pos="720"/>
          <w:tab w:val="left" w:pos="4111" w:leader="none"/>
        </w:tabs>
        <w:autoSpaceDE w:val="false"/>
        <w:spacing w:lineRule="exact" w:line="180" w:before="6" w:after="0"/>
        <w:ind w:hanging="0" w:start="284" w:end="249"/>
        <w:jc w:val="start"/>
        <w:rPr>
          <w:rFonts w:ascii="Times New Roman" w:hAnsi="Times New Roman" w:eastAsia="BatangChe" w:cs="Times New Roman"/>
          <w:szCs w:val="24"/>
        </w:rPr>
      </w:pPr>
      <w:r>
        <w:rPr>
          <w:rFonts w:eastAsia="BatangChe" w:cs="Times New Roman" w:ascii="Times New Roman" w:hAnsi="Times New Roman"/>
          <w:szCs w:val="24"/>
        </w:rPr>
      </w:r>
    </w:p>
    <w:p>
      <w:pPr>
        <w:pStyle w:val="Normal"/>
        <w:ind w:hanging="0" w:end="0"/>
        <w:jc w:val="center"/>
        <w:rPr/>
      </w:pPr>
      <w:r>
        <w:rPr>
          <w:rFonts w:cs="Times New Roman" w:ascii="Times New Roman" w:hAnsi="Times New Roman"/>
          <w:b/>
          <w:szCs w:val="24"/>
        </w:rPr>
        <w:t>Resumo</w:t>
      </w:r>
    </w:p>
    <w:p>
      <w:pPr>
        <w:pStyle w:val="Normal"/>
        <w:tabs>
          <w:tab w:val="clear" w:pos="720"/>
          <w:tab w:val="left" w:pos="8080" w:leader="none"/>
        </w:tabs>
        <w:ind w:hanging="0" w:start="426" w:end="358"/>
        <w:rPr>
          <w:rFonts w:ascii="Times New Roman" w:hAnsi="Times New Roman" w:eastAsia="BatangChe" w:cs="Times New Roman"/>
          <w:szCs w:val="24"/>
        </w:rPr>
      </w:pPr>
      <w:r>
        <w:rPr>
          <w:rFonts w:cs="Times New Roman" w:ascii="Times New Roman" w:hAnsi="Times New Roman"/>
          <w:szCs w:val="24"/>
        </w:rPr>
        <w:t>O avanço da inteligência artificial tem permitido repensar limites antes impostos à avaliação em larga escala. Um desses limites é a dificuldade de aferir, por itens de múltipla escolha, competências de nível superior, com ênfase na tomada de decisão diante de problemas complexos. Esse limite manifestou-se no Programa de Avaliação da Educação Profissional (PROVEI), do SENAI-SP, ao estender-se aos cursos superiores de tecnologia, cujos indicadores passaram a refletir predominantemente competências técnicas, o que comprometeu a função diagnóstica do exame. Como resposta, este trabalho, conduzido como pesquisa de desenvolvimento, apresenta a construção de uma metodologia de avaliação de competências diferenciais de nível superior. Fundamentada na avaliação autêntica, a proposta articula matrizes ancoradas em quadros de qualificação, estudos de caso estruturados pelo framework PACADI e correção por inteligência artificial assistida por especialistas. Espera-se contribuir para a avaliação da educação superior com um modelo replicável de aferição dessas competências em larga escala.</w:t>
      </w:r>
    </w:p>
    <w:p>
      <w:pPr>
        <w:pStyle w:val="Normal"/>
        <w:widowControl w:val="false"/>
        <w:autoSpaceDE w:val="false"/>
        <w:spacing w:lineRule="exact" w:line="200" w:before="0" w:after="0"/>
        <w:ind w:firstLine="426" w:start="567" w:end="783"/>
        <w:rPr>
          <w:rFonts w:ascii="Times New Roman" w:hAnsi="Times New Roman" w:eastAsia="BatangChe" w:cs="Times New Roman"/>
          <w:szCs w:val="24"/>
        </w:rPr>
      </w:pPr>
      <w:r>
        <w:rPr>
          <w:rFonts w:eastAsia="BatangChe" w:cs="Times New Roman" w:ascii="Times New Roman" w:hAnsi="Times New Roman"/>
          <w:szCs w:val="24"/>
        </w:rPr>
      </w:r>
    </w:p>
    <w:p>
      <w:pPr>
        <w:pStyle w:val="Normal"/>
        <w:widowControl w:val="false"/>
        <w:autoSpaceDE w:val="false"/>
        <w:spacing w:lineRule="exact" w:line="200" w:before="0" w:after="0"/>
        <w:rPr>
          <w:rFonts w:ascii="Times New Roman" w:hAnsi="Times New Roman" w:eastAsia="BatangChe" w:cs="Times New Roman"/>
          <w:szCs w:val="24"/>
        </w:rPr>
      </w:pPr>
      <w:r>
        <w:rPr>
          <w:rFonts w:eastAsia="BatangChe" w:cs="Times New Roman" w:ascii="Times New Roman" w:hAnsi="Times New Roman"/>
          <w:szCs w:val="24"/>
        </w:rPr>
      </w:r>
    </w:p>
    <w:p>
      <w:pPr>
        <w:pStyle w:val="Normal"/>
        <w:widowControl w:val="false"/>
        <w:autoSpaceDE w:val="false"/>
        <w:spacing w:lineRule="exact" w:line="200" w:before="0" w:after="0"/>
        <w:ind w:firstLine="426" w:end="0"/>
        <w:rPr>
          <w:rFonts w:ascii="Times New Roman" w:hAnsi="Times New Roman" w:eastAsia="BatangChe" w:cs="Times New Roman"/>
          <w:szCs w:val="24"/>
        </w:rPr>
      </w:pPr>
      <w:r>
        <w:rPr>
          <w:rFonts w:eastAsia="BatangChe" w:cs="Times New Roman" w:ascii="Times New Roman" w:hAnsi="Times New Roman"/>
          <w:szCs w:val="24"/>
        </w:rPr>
        <w:t>Palavras-chave: avaliação; educação superior; inteligência artificial</w:t>
      </w:r>
    </w:p>
    <w:p>
      <w:pPr>
        <w:pStyle w:val="Normal"/>
        <w:widowControl w:val="false"/>
        <w:autoSpaceDE w:val="false"/>
        <w:spacing w:lineRule="exact" w:line="200" w:before="0" w:after="0"/>
        <w:rPr>
          <w:rFonts w:ascii="Times New Roman" w:hAnsi="Times New Roman" w:eastAsia="BatangChe" w:cs="Times New Roman"/>
          <w:szCs w:val="24"/>
        </w:rPr>
      </w:pPr>
      <w:r>
        <w:rPr>
          <w:rFonts w:eastAsia="BatangChe" w:cs="Times New Roman" w:ascii="Times New Roman" w:hAnsi="Times New Roman"/>
          <w:szCs w:val="24"/>
        </w:rPr>
      </w:r>
    </w:p>
    <w:p>
      <w:pPr>
        <w:pStyle w:val="Normal"/>
        <w:widowControl w:val="false"/>
        <w:autoSpaceDE w:val="false"/>
        <w:spacing w:lineRule="exact" w:line="200" w:before="0" w:after="0"/>
        <w:rPr>
          <w:rFonts w:ascii="Times New Roman" w:hAnsi="Times New Roman" w:eastAsia="BatangChe" w:cs="Times New Roman"/>
          <w:szCs w:val="24"/>
        </w:rPr>
      </w:pPr>
      <w:r>
        <w:rPr>
          <w:rFonts w:eastAsia="BatangChe" w:cs="Times New Roman" w:ascii="Times New Roman" w:hAnsi="Times New Roman"/>
          <w:szCs w:val="24"/>
        </w:rPr>
      </w:r>
    </w:p>
    <w:p>
      <w:pPr>
        <w:pStyle w:val="Normal"/>
        <w:widowControl w:val="false"/>
        <w:autoSpaceDE w:val="false"/>
        <w:spacing w:lineRule="exact" w:line="200" w:before="0" w:after="0"/>
        <w:rPr>
          <w:rFonts w:ascii="Times New Roman" w:hAnsi="Times New Roman" w:eastAsia="BatangChe" w:cs="Times New Roman"/>
          <w:szCs w:val="24"/>
        </w:rPr>
      </w:pPr>
      <w:r>
        <w:rPr>
          <w:rFonts w:eastAsia="BatangChe" w:cs="Times New Roman" w:ascii="Times New Roman" w:hAnsi="Times New Roman"/>
          <w:szCs w:val="24"/>
        </w:rPr>
      </w:r>
    </w:p>
    <w:p>
      <w:pPr>
        <w:pStyle w:val="Normal"/>
        <w:widowControl w:val="false"/>
        <w:autoSpaceDE w:val="false"/>
        <w:spacing w:lineRule="exact" w:line="200" w:before="0" w:after="0"/>
        <w:rPr>
          <w:rFonts w:ascii="Times New Roman" w:hAnsi="Times New Roman" w:eastAsia="BatangChe" w:cs="Times New Roman"/>
          <w:szCs w:val="24"/>
        </w:rPr>
      </w:pPr>
      <w:r>
        <w:rPr>
          <w:rFonts w:eastAsia="BatangChe" w:cs="Times New Roman" w:ascii="Times New Roman" w:hAnsi="Times New Roman"/>
          <w:szCs w:val="24"/>
        </w:rPr>
      </w:r>
    </w:p>
    <w:p>
      <w:pPr>
        <w:pStyle w:val="Normal"/>
        <w:widowControl w:val="false"/>
        <w:autoSpaceDE w:val="false"/>
        <w:spacing w:lineRule="exact" w:line="200" w:before="0" w:after="0"/>
        <w:rPr>
          <w:rFonts w:ascii="Times New Roman" w:hAnsi="Times New Roman" w:eastAsia="BatangChe" w:cs="Times New Roman"/>
          <w:szCs w:val="24"/>
        </w:rPr>
      </w:pPr>
      <w:r>
        <w:rPr>
          <w:rFonts w:eastAsia="BatangChe" w:cs="Times New Roman" w:ascii="Times New Roman" w:hAnsi="Times New Roman"/>
          <w:szCs w:val="24"/>
        </w:rPr>
      </w:r>
    </w:p>
    <w:p>
      <w:pPr>
        <w:pStyle w:val="Normal"/>
        <w:widowControl w:val="false"/>
        <w:autoSpaceDE w:val="false"/>
        <w:spacing w:lineRule="exact" w:line="200" w:before="0" w:after="0"/>
        <w:rPr>
          <w:rFonts w:ascii="Times New Roman" w:hAnsi="Times New Roman" w:eastAsia="BatangChe" w:cs="Times New Roman"/>
          <w:szCs w:val="24"/>
        </w:rPr>
      </w:pPr>
      <w:r>
        <w:rPr>
          <w:rFonts w:eastAsia="BatangChe" w:cs="Times New Roman" w:ascii="Times New Roman" w:hAnsi="Times New Roman"/>
          <w:szCs w:val="24"/>
        </w:rPr>
      </w:r>
    </w:p>
    <w:p>
      <w:pPr>
        <w:pStyle w:val="Normal"/>
        <w:widowControl w:val="false"/>
        <w:autoSpaceDE w:val="false"/>
        <w:spacing w:lineRule="exact" w:line="200" w:before="0" w:after="0"/>
        <w:rPr>
          <w:rFonts w:ascii="Times New Roman" w:hAnsi="Times New Roman" w:eastAsia="BatangChe" w:cs="Times New Roman"/>
          <w:szCs w:val="24"/>
        </w:rPr>
      </w:pPr>
      <w:r>
        <w:rPr>
          <w:rFonts w:eastAsia="BatangChe" w:cs="Times New Roman" w:ascii="Times New Roman" w:hAnsi="Times New Roman"/>
          <w:szCs w:val="24"/>
        </w:rPr>
      </w:r>
    </w:p>
    <w:p>
      <w:pPr>
        <w:sectPr>
          <w:type w:val="continuous"/>
          <w:pgSz w:w="11906" w:h="16838"/>
          <w:pgMar w:left="1660" w:right="1680" w:gutter="0" w:header="720" w:top="1560" w:footer="720" w:bottom="776"/>
          <w:formProt w:val="false"/>
          <w:textDirection w:val="lrTb"/>
          <w:docGrid w:type="default" w:linePitch="360" w:charSpace="0"/>
        </w:sectPr>
      </w:pPr>
    </w:p>
    <w:p>
      <w:pPr>
        <w:pStyle w:val="Heading1"/>
        <w:rPr>
          <w:rFonts w:ascii="Times New Roman" w:hAnsi="Times New Roman" w:eastAsia="BatangChe" w:cs="Times New Roman"/>
          <w:w w:val="95"/>
          <w:sz w:val="24"/>
          <w:szCs w:val="24"/>
        </w:rPr>
      </w:pPr>
      <w:r>
        <w:rPr>
          <w:rFonts w:eastAsia="BatangChe" w:cs="Times New Roman" w:ascii="Times New Roman" w:hAnsi="Times New Roman"/>
          <w:w w:val="95"/>
          <w:sz w:val="24"/>
          <w:szCs w:val="24"/>
        </w:rPr>
        <w:t>Introdução</w:t>
      </w:r>
    </w:p>
    <w:p>
      <w:pPr>
        <w:pStyle w:val="Normal"/>
        <w:spacing w:lineRule="auto" w:line="360"/>
        <w:rPr/>
      </w:pPr>
      <w:r>
        <w:rPr>
          <w:rFonts w:cs="Times New Roman" w:ascii="Times New Roman" w:hAnsi="Times New Roman"/>
          <w:szCs w:val="24"/>
        </w:rPr>
        <w:t>O Programa de Avaliação da Educação Profissional (PROVEI), do SENAI-SP, foi criado em 2001 como iniciativa pioneira de avaliação em larga escala na educação profissional. O programa avalia os estudantes concluintes dos cursos e, aplicado periodicamente, oferece a cada curso uma leitura de seus pontos fortes e de seus pontos a melhorar, subsidiando o planejamento pedagógico das escolas. Concebido inicialmente para os cursos de aprendizagem industrial e técnicos, o PROVEI teve seu escopo progressivamente ampliado, até alcançar, em 2021, os cursos superiores de tecnologia (CST).</w:t>
      </w:r>
    </w:p>
    <w:p>
      <w:pPr>
        <w:pStyle w:val="Normal"/>
        <w:spacing w:lineRule="auto" w:line="360"/>
        <w:rPr/>
      </w:pPr>
      <w:r>
        <w:rPr>
          <w:rFonts w:cs="Times New Roman" w:ascii="Times New Roman" w:hAnsi="Times New Roman"/>
          <w:szCs w:val="24"/>
        </w:rPr>
        <w:t>A elaboração das matrizes de referência dos cursos superiores partiu dos respectivos Projetos Pedagógicos de Curso, buscando traduzir o perfil de conclusão. Nesse movimento, as matrizes incorporavam capacidades de naturezas distintas, das mais elementares, de ordem técnica, às competências que diferenciam a formação superior. O instrumento, contudo, não as media com igual resolução. O teste de múltipla escolha, eficaz na aferição de conteúdos e procedimentos consolidados, mostrava-se pouco sensível às competências de nível superior. A essa limitação de forma somava-se uma de origem: elaborados por docentes cuja prática se constituiu no ethos da educação profissional, orientado à resolução técnica, os itens tendiam a reinscrever esse registro, ainda quando destinados a avaliar competências que o excediam.</w:t>
      </w:r>
    </w:p>
    <w:p>
      <w:pPr>
        <w:pStyle w:val="Normal"/>
        <w:spacing w:lineRule="auto" w:line="360"/>
        <w:rPr/>
      </w:pPr>
      <w:r>
        <w:rPr>
          <w:rFonts w:cs="Times New Roman" w:ascii="Times New Roman" w:hAnsi="Times New Roman"/>
          <w:szCs w:val="24"/>
        </w:rPr>
        <w:t>O efeito dessa limitação incide sobre a própria finalidade do programa. Voltado a subsidiar o planejamento pedagógico, o PROVEI depende de indicadores que discriminem, para cada curso, o que está consolidado e o que precisa avançar. Nos cursos superiores, porém, o desempenho aferido concentrava-se nas competências técnicas, elevando os indicadores e ofuscando o desenvolvimento das competências que diferenciam a formação superior, justamente aquilo que a devolutiva precisaria evidenciar. Delimita-se, assim, o problema que orienta esta pesquisa: como avaliar competências diferenciais de nível superior, a partir de um exame de larga escala?</w:t>
      </w:r>
    </w:p>
    <w:p>
      <w:pPr>
        <w:pStyle w:val="Normal"/>
        <w:spacing w:lineRule="auto" w:line="360"/>
        <w:rPr/>
      </w:pPr>
      <w:r>
        <w:rPr>
          <w:rFonts w:cs="Times New Roman" w:ascii="Times New Roman" w:hAnsi="Times New Roman"/>
          <w:szCs w:val="24"/>
        </w:rPr>
        <w:t>Enfrentar esse problema exige recolocar o que a avaliação deve tornar visível, questão para a qual o referencial da avaliação autêntica oferece um ponto de partida. Uma avaliação é autêntica quando requer do estudante a realização de tarefas semelhantes às que enfrentaria no exercício profissional, em vez do reconhecimento da resposta correta entre alternativas previamente dadas (Wiggins, 1993). A literatura sobre educação superior associa esse enfoque ao desenvolvimento das competências de ordem superior e das habilidades requeridas pelo mundo do trabalho (Sokhanvar; Salehi; Sokhanvar, 2021; Sotiriadou et al., 2019), precisamente aquelas que o instrumento vigente não alcança. Há, nesse ponto, convergência com a vocação do PROVEI, pois um programa voltado a subsidiar o planejamento pedagógico depende de que a avaliação torne visível o desenvolvimento dessas competências, e não apenas o domínio técnico que as antecede.</w:t>
      </w:r>
    </w:p>
    <w:p>
      <w:pPr>
        <w:pStyle w:val="Normal"/>
        <w:spacing w:lineRule="auto" w:line="360"/>
        <w:rPr>
          <w:rFonts w:ascii="Times New Roman" w:hAnsi="Times New Roman" w:cs="Times New Roman"/>
          <w:szCs w:val="24"/>
        </w:rPr>
      </w:pPr>
      <w:r>
        <w:rPr>
          <w:rFonts w:cs="Times New Roman" w:ascii="Times New Roman" w:hAnsi="Times New Roman"/>
          <w:szCs w:val="24"/>
        </w:rPr>
        <w:t>É a esse duplo compromisso, com a autenticidade da avaliação e com sua função diagnóstica, que responde esta pesquisa. Trata-se de uma design-based research, cujo objetivo é elaborar e validar uma proposta de avaliação de competências diferenciais de nível superior, aplicável em larga escala. A elaboração compreende a descrição metodológica de três componentes: as matrizes de referência, com descritores capazes de distinguir competências de nível técnico e superior; os instrumentos de avaliação; e o modelo de correção. A validação dá-se pela aplicação do modelo em cursos superiores de tecnologia do SENAI-SP.</w:t>
      </w:r>
    </w:p>
    <w:p>
      <w:pPr>
        <w:pStyle w:val="Heading1"/>
        <w:rPr>
          <w:rFonts w:ascii="Times New Roman" w:hAnsi="Times New Roman" w:cs="Times New Roman"/>
          <w:sz w:val="24"/>
          <w:szCs w:val="24"/>
        </w:rPr>
      </w:pPr>
      <w:r>
        <w:rPr>
          <w:rFonts w:cs="Times New Roman" w:ascii="Times New Roman" w:hAnsi="Times New Roman"/>
          <w:sz w:val="24"/>
          <w:szCs w:val="24"/>
        </w:rPr>
        <w:t>Metodologia</w:t>
      </w:r>
    </w:p>
    <w:p>
      <w:pPr>
        <w:pStyle w:val="Normal"/>
        <w:spacing w:lineRule="auto" w:line="360"/>
        <w:rPr/>
      </w:pPr>
      <w:r>
        <w:rPr>
          <w:rFonts w:cs="Times New Roman" w:ascii="Times New Roman" w:hAnsi="Times New Roman"/>
          <w:szCs w:val="24"/>
        </w:rPr>
        <w:t>Este trabalho consiste na construção de uma metodologia de avaliação de competências diferenciais de nível superior, com o propósito de contribuir para os estudos sobre avaliação da educação superior. Adota-se a design-based research, ou pesquisa de desenvolvimento, modo de investigação em que se constrói uma solução para um problema educacional concreto e se a aprimora ao longo de sucessivas aplicações reais, de modo que o conhecimento resulta da própria construção (Hoadley; Campos, 2022; Plomp, 2013). A interface com a pesquisa dá-se em dois momentos, na revisão teórica que fundamenta a proposição dos instrumentos e na aplicação que os testa, cujos resultados realimentam a construção.</w:t>
      </w:r>
    </w:p>
    <w:p>
      <w:pPr>
        <w:pStyle w:val="Normal"/>
        <w:spacing w:lineRule="auto" w:line="360"/>
        <w:rPr>
          <w:rFonts w:ascii="Times New Roman" w:hAnsi="Times New Roman" w:cs="Times New Roman"/>
          <w:szCs w:val="24"/>
        </w:rPr>
      </w:pPr>
      <w:r>
        <w:rPr>
          <w:rFonts w:cs="Times New Roman" w:ascii="Times New Roman" w:hAnsi="Times New Roman"/>
          <w:szCs w:val="24"/>
        </w:rPr>
        <w:t>Diferentemente de uma pesquisa tradicional, a pesquisa de desenvolvimento é orientada a criar soluções para o problema de pesquisa, em vez de testar soluções elaboradas previamente (Ford; McNally; Ford, 2017). Além disso, embora as soluções emerjam de problemas específicos, elas devem dialogar com desafios mais amplos no seu campo de pesquisa. Os objetivos desta pesquisa estão em consonância com iniciativas globais de avaliação da educação superior, como o AHELO/OCDE e o Calohee Consortium. Sua contribuição para o campo não se encerra, portanto, na proposição metodológica, prevendo a aplicação dos instrumentos em cursos superiores de tecnologia do SENAI-SP. Seu produto é, portanto, duplo, compreendendo a metodologia validada e a descrição que permite reconstruí-la para outros contextos.</w:t>
      </w:r>
    </w:p>
    <w:p>
      <w:pPr>
        <w:pStyle w:val="Heading1"/>
        <w:rPr>
          <w:rFonts w:ascii="Times New Roman" w:hAnsi="Times New Roman" w:cs="Times New Roman"/>
          <w:sz w:val="24"/>
          <w:szCs w:val="24"/>
        </w:rPr>
      </w:pPr>
      <w:r>
        <w:rPr>
          <w:rFonts w:cs="Times New Roman" w:ascii="Times New Roman" w:hAnsi="Times New Roman"/>
          <w:sz w:val="24"/>
          <w:szCs w:val="24"/>
        </w:rPr>
        <w:t>Resultados</w:t>
      </w:r>
    </w:p>
    <w:p>
      <w:pPr>
        <w:pStyle w:val="Normal"/>
        <w:spacing w:lineRule="auto" w:line="360" w:before="0" w:after="0"/>
        <w:rPr>
          <w:rFonts w:ascii="Times New Roman" w:hAnsi="Times New Roman" w:cs="Times New Roman"/>
          <w:lang w:val="en-US"/>
        </w:rPr>
      </w:pPr>
      <w:r>
        <w:rPr>
          <w:rFonts w:cs="Times New Roman" w:ascii="Times New Roman" w:hAnsi="Times New Roman"/>
          <w:lang w:val="en-US"/>
        </w:rPr>
        <w:t>A metodologia proposta articula três componentes, cada um respondendo a uma dimensão do problema. A matriz de referência define o que avaliar, distinguindo as competências de nível superior daquelas de nível técnico. O instrumento estabelece como avaliar, traduzindo essas competências em uma tarefa capaz de evidenciá-las. O modelo de correção determina como interpretar o desempenho, posicionando as respostas dos estudantes segundo as evidências previstas na matriz. Descrevem-se, a seguir, a construção de cada um desses componentes e as decisões metodológicas que a orientaram.</w:t>
      </w:r>
    </w:p>
    <w:p>
      <w:pPr>
        <w:pStyle w:val="Heading2"/>
        <w:rPr>
          <w:rFonts w:ascii="Times New Roman" w:hAnsi="Times New Roman" w:cs="Times New Roman"/>
          <w:sz w:val="24"/>
          <w:szCs w:val="24"/>
          <w:lang w:val="en-US"/>
        </w:rPr>
      </w:pPr>
      <w:r>
        <w:rPr>
          <w:rFonts w:cs="Times New Roman" w:ascii="Times New Roman" w:hAnsi="Times New Roman"/>
          <w:sz w:val="24"/>
          <w:szCs w:val="24"/>
          <w:lang w:val="en-US"/>
        </w:rPr>
        <w:t>Matriz de referência e o filtro de nível</w:t>
      </w:r>
    </w:p>
    <w:p>
      <w:pPr>
        <w:pStyle w:val="Normal"/>
        <w:spacing w:lineRule="auto" w:line="360" w:before="0" w:after="0"/>
        <w:rPr/>
      </w:pPr>
      <w:r>
        <w:rPr>
          <w:rFonts w:cs="Times New Roman" w:ascii="Times New Roman" w:hAnsi="Times New Roman"/>
          <w:lang w:val="en-US"/>
        </w:rPr>
        <w:t>O primeiro componente da proposta é a matriz de referência, cujo problema central consiste em estabelecer, de modo defensável, o que se toma por competência de nível superior. Para que essa distinção não dependa do arbítrio do elaborador, recorre-se a dois quadros de qualificação como referência externa, o Quadro Europeu de Qualificações (EQF) e o Quadro Brasileiro de Qualificações (QBQ), este último inspirado no primeiro. Ambos graduam as qualificações em níveis descritos por três eixos, os conhecimentos, as habilidades e a autonomia e responsabilidade, cuja progressão distingue um nível do seguinte. Embora o conteúdo a que a capacidade se refere também contribua para situá-la, não é ele que decide a distinção, e sim o grau de autonomia, de integração de conhecimentos e de enfrentamento de situações imprevisíveis que sua descrição exige.</w:t>
      </w:r>
    </w:p>
    <w:p>
      <w:pPr>
        <w:pStyle w:val="Normal"/>
        <w:spacing w:lineRule="auto" w:line="360" w:before="0" w:after="0"/>
        <w:rPr/>
      </w:pPr>
      <w:r>
        <w:rPr>
          <w:rFonts w:cs="Times New Roman" w:ascii="Times New Roman" w:hAnsi="Times New Roman"/>
          <w:lang w:val="en-US"/>
        </w:rPr>
        <w:t>Aplicado à construção da matriz, o referencial cumpre dupla função. Serve para selecionar, entre as capacidades extraídas do perfil de conclusão, aquelas que se situam no patamar superior, e como critério de redação, uma vez que incide sobre a formulação de cada capacidade, de maneira que aquelas cuja descrição se esgota na execução de procedimentos conhecidos não integram a matriz. A distinção entre técnico e superior, antes implícita e sujeita à cultura do elaborador, converte-se assim em critério explícito e ancorado.</w:t>
      </w:r>
    </w:p>
    <w:p>
      <w:pPr>
        <w:pStyle w:val="Heading2"/>
        <w:rPr>
          <w:rFonts w:ascii="Times New Roman" w:hAnsi="Times New Roman" w:cs="Times New Roman"/>
          <w:sz w:val="24"/>
          <w:szCs w:val="24"/>
          <w:lang w:val="en-US"/>
        </w:rPr>
      </w:pPr>
      <w:r>
        <w:rPr>
          <w:rFonts w:cs="Times New Roman" w:ascii="Times New Roman" w:hAnsi="Times New Roman"/>
          <w:sz w:val="24"/>
          <w:szCs w:val="24"/>
          <w:lang w:val="en-US"/>
        </w:rPr>
        <w:t>Instrumento de avaliação: estudo de caso</w:t>
      </w:r>
    </w:p>
    <w:p>
      <w:pPr>
        <w:pStyle w:val="Normal"/>
        <w:spacing w:lineRule="auto" w:line="360" w:before="0" w:after="0"/>
        <w:rPr/>
      </w:pPr>
      <w:r>
        <w:rPr>
          <w:rFonts w:cs="Times New Roman" w:ascii="Times New Roman" w:hAnsi="Times New Roman"/>
          <w:lang w:val="en-US"/>
        </w:rPr>
        <w:t>O segundo componente é o instrumento, para o qual se adota o estudo de caso, escolha que traduz o referencial da avaliação autêntica em um formato concreto. Ao apresentar uma situação profissional real ou verossímil, o estudo de caso requer que o estudante aplique seus conhecimentos a um problema pragmático, por vezes inédito, em vez de reconhecer respostas prontas (Herreid, 2011). Diferentemente do item de múltipla escolha, o caso não fornece o problema já formulado nem as alternativas de solução, exigindo que o estudante analise a situação sob múltiplas perspectivas, formule o problema e sustente uma decisão, o que favorece uma abordagem centrada na compreensão e na análise, e não na memorização (Rosier, 2022; Sümen; Adibelli, 2024). São essas operações de analisar, decidir e justificar que caracterizam a competência de nível superior e que o instrumento anterior não alcançava.</w:t>
      </w:r>
    </w:p>
    <w:p>
      <w:pPr>
        <w:pStyle w:val="Normal"/>
        <w:spacing w:lineRule="auto" w:line="360" w:before="0" w:after="0"/>
        <w:rPr/>
      </w:pPr>
      <w:r>
        <w:rPr>
          <w:rFonts w:cs="Times New Roman" w:ascii="Times New Roman" w:hAnsi="Times New Roman"/>
          <w:lang w:val="en-US"/>
        </w:rPr>
        <w:t>A análise do caso estrutura-se pelo framework PACADI (Weinstein; Brotspies; Gironda, 2020), que substitui as perguntas avulsas ao final do caso por uma sequência de seis etapas: problema, alternativas, critérios, análise, decisão e implementação. A avaliação organiza-se em dois momentos. No primeiro, individual, o estudante percorre as cinco etapas iniciais, do problema à decisão (PACAD), registrando por escrito sua análise. No segundo, em grupo, os estudantes consensuam uma decisão comum e elaboram o plano de implementação (I). O plano é apresentado a um avatar de inteligência artificial, que conduz a arguição e permite observar competências gerais para o mundo do trabalho, como a comunicação e as habilidades socioemocionais.</w:t>
      </w:r>
    </w:p>
    <w:p>
      <w:pPr>
        <w:pStyle w:val="Heading2"/>
        <w:rPr>
          <w:sz w:val="24"/>
          <w:szCs w:val="24"/>
          <w:lang w:val="en-US"/>
        </w:rPr>
      </w:pPr>
      <w:r>
        <w:rPr>
          <w:rFonts w:cs="Times New Roman" w:ascii="Times New Roman" w:hAnsi="Times New Roman"/>
          <w:sz w:val="24"/>
          <w:szCs w:val="24"/>
          <w:lang w:val="en-US"/>
        </w:rPr>
        <w:t>Correção: inteligência artificial assistida por especialistas</w:t>
      </w:r>
    </w:p>
    <w:p>
      <w:pPr>
        <w:pStyle w:val="Normal"/>
        <w:spacing w:lineRule="auto" w:line="360"/>
        <w:rPr>
          <w:rFonts w:ascii="Times New Roman" w:hAnsi="Times New Roman" w:cs="Times New Roman"/>
        </w:rPr>
      </w:pPr>
      <w:r>
        <w:rPr>
          <w:rFonts w:cs="Times New Roman" w:ascii="Times New Roman" w:hAnsi="Times New Roman"/>
        </w:rPr>
        <w:t>O terceiro componente responde ao desafio de dar escala a um instrumento de resposta aberta, sem gabarito. A correção apoia-se em inteligência artificial assistida por especialistas, orientada por rubricas construídas a partir da matriz. Para cada capacidade, elabora-se uma rubrica que descreve os níveis de desempenho em termos das evidências observáveis na resposta do estudante, de modo que a correção se ancora no que a resposta demonstra, e não na solução particular a que o estudante chega. A inteligência artificial posiciona o desempenho segundo esses níveis, e os especialistas verificam e ajustam esse posicionamento, num arranjo que concilia a escala da correção automática com o julgamento humano. A construção das rubricas segue o modelo de rubricas de avaliação do Centro de Políticas Públicas e Avaliação da Educação da Universidade Federal de Juiz de Fora (CAEd/UFJF), referência nacional na avaliação em larga escala.</w:t>
      </w:r>
    </w:p>
    <w:p>
      <w:pPr>
        <w:pStyle w:val="Heading1"/>
        <w:rPr>
          <w:rFonts w:ascii="Times New Roman" w:hAnsi="Times New Roman" w:cs="Times New Roman"/>
          <w:sz w:val="24"/>
          <w:szCs w:val="24"/>
        </w:rPr>
      </w:pPr>
      <w:r>
        <w:rPr>
          <w:rFonts w:cs="Times New Roman" w:ascii="Times New Roman" w:hAnsi="Times New Roman"/>
          <w:sz w:val="24"/>
          <w:szCs w:val="24"/>
        </w:rPr>
        <w:t>Conclusões e Considerações Finais</w:t>
      </w:r>
    </w:p>
    <w:p>
      <w:pPr>
        <w:pStyle w:val="Normal"/>
        <w:spacing w:lineRule="auto" w:line="360" w:before="0" w:after="0"/>
        <w:rPr>
          <w:rFonts w:ascii="Times New Roman" w:hAnsi="Times New Roman" w:cs="Times New Roman"/>
          <w:lang w:val="en-US"/>
        </w:rPr>
      </w:pPr>
      <w:r>
        <w:rPr>
          <w:rFonts w:cs="Times New Roman" w:ascii="Times New Roman" w:hAnsi="Times New Roman"/>
          <w:lang w:val="en-US"/>
        </w:rPr>
        <w:t>A pesquisa encontra-se na etapa de elaboração do instrumento. A aplicação nos cursos superiores de tecnologia do SENAI-SP está prevista para novembro de 2026, e a análise dos resultados, para o primeiro trimestre de 2027, quando será possível avaliar a eficácia do modelo em discriminar o desenvolvimento das competências diferenciais do nível superior. Como pesquisa de desenvolvimento, o trabalho não se encerra nessa primeira aplicação, cujos resultados devem realimentar a construção do instrumento e sua extensão a outros cursos.</w:t>
      </w:r>
    </w:p>
    <w:p>
      <w:pPr>
        <w:pStyle w:val="Heading1"/>
        <w:rPr>
          <w:rFonts w:ascii="Times New Roman" w:hAnsi="Times New Roman" w:cs="Times New Roman"/>
          <w:sz w:val="24"/>
          <w:szCs w:val="24"/>
          <w:lang w:val="en-US"/>
        </w:rPr>
      </w:pPr>
      <w:r>
        <w:rPr>
          <w:rFonts w:cs="Times New Roman" w:ascii="Times New Roman" w:hAnsi="Times New Roman"/>
          <w:sz w:val="24"/>
          <w:szCs w:val="24"/>
          <w:lang w:val="en-US"/>
        </w:rPr>
        <w:t>Referências</w:t>
      </w:r>
    </w:p>
    <w:p>
      <w:pPr>
        <w:pStyle w:val="Normal"/>
        <w:spacing w:before="0" w:after="60" w:line="240" w:lineRule="auto"/>
        <w:rPr>
          <w:rFonts w:ascii="Times New Roman" w:hAnsi="Times New Roman" w:cs="Times New Roman"/>
          <w:lang w:val="en-US"/>
        </w:rPr>
      </w:pPr>
      <w:r>
        <w:rPr>
          <w:rFonts w:cs="Times New Roman" w:ascii="Times New Roman" w:hAnsi="Times New Roman"/>
          <w:sz w:val="24"/>
          <w:lang w:val="en-US"/>
        </w:rPr>
        <w:t xml:space="preserve">ASHFORD-ROWE, K.; HERRINGTON, J.; BROWN, C. Establishing the critical elements that determine authentic assessment. </w:t>
      </w:r>
      <w:r>
        <w:rPr>
          <w:rFonts w:cs="Times New Roman" w:ascii="Times New Roman" w:hAnsi="Times New Roman"/>
          <w:b/>
          <w:bCs/>
          <w:sz w:val="24"/>
          <w:lang w:val="en-US"/>
        </w:rPr>
        <w:t>Assessment &amp; Evaluation in Higher Education</w:t>
      </w:r>
      <w:r>
        <w:rPr>
          <w:rFonts w:cs="Times New Roman" w:ascii="Times New Roman" w:hAnsi="Times New Roman"/>
          <w:sz w:val="24"/>
          <w:lang w:val="en-US"/>
        </w:rPr>
        <w:t>, v. 39, n. 2, p. 205-222, 2014.</w:t>
      </w:r>
    </w:p>
    <w:p>
      <w:pPr>
        <w:pStyle w:val="Normal"/>
        <w:spacing w:before="0" w:after="60" w:line="240" w:lineRule="auto"/>
        <w:rPr>
          <w:rFonts w:ascii="Times New Roman" w:hAnsi="Times New Roman" w:cs="Times New Roman"/>
          <w:lang w:val="en-US"/>
        </w:rPr>
      </w:pPr>
      <w:r>
        <w:rPr>
          <w:rFonts w:cs="Times New Roman" w:ascii="Times New Roman" w:hAnsi="Times New Roman"/>
          <w:sz w:val="24"/>
        </w:rPr>
        <w:t xml:space="preserve">BRASIL. Ministério do Trabalho e Previdência. </w:t>
      </w:r>
      <w:r>
        <w:rPr>
          <w:rStyle w:val="Strong"/>
          <w:rFonts w:cs="Times New Roman" w:ascii="Times New Roman" w:hAnsi="Times New Roman"/>
          <w:sz w:val="24"/>
        </w:rPr>
        <w:t>Portaria nº 1.255, de 27 de maio de 2022. Aprova o Quadro Brasileiro de Qualificações (QBQ)</w:t>
      </w:r>
      <w:r>
        <w:rPr>
          <w:rFonts w:cs="Times New Roman" w:ascii="Times New Roman" w:hAnsi="Times New Roman"/>
          <w:sz w:val="24"/>
        </w:rPr>
        <w:t>. Diário Oficial da União: seção 1, Brasília, DF, 30 maio 2022.</w:t>
      </w:r>
    </w:p>
    <w:p>
      <w:pPr>
        <w:pStyle w:val="Normal"/>
        <w:spacing w:before="0" w:after="60" w:line="240" w:lineRule="auto"/>
        <w:rPr/>
      </w:pPr>
      <w:r>
        <w:rPr>
          <w:rFonts w:cs="Times New Roman" w:ascii="Times New Roman" w:hAnsi="Times New Roman"/>
          <w:sz w:val="24"/>
          <w:lang w:val="en-US"/>
        </w:rPr>
        <w:t xml:space="preserve">CENTRO DE POLÍTICAS PÚBLICAS E AVALIAÇÃO DA EDUCAÇÃO (CAEd/UFJF). </w:t>
      </w:r>
      <w:r>
        <w:rPr>
          <w:rFonts w:cs="Times New Roman" w:ascii="Times New Roman" w:hAnsi="Times New Roman"/>
          <w:b/>
          <w:bCs/>
          <w:sz w:val="24"/>
          <w:lang w:val="en-US"/>
        </w:rPr>
        <w:t>Avaliação em larga escala</w:t>
      </w:r>
      <w:r>
        <w:rPr>
          <w:rFonts w:cs="Times New Roman" w:ascii="Times New Roman" w:hAnsi="Times New Roman"/>
          <w:sz w:val="24"/>
          <w:lang w:val="en-US"/>
        </w:rPr>
        <w:t xml:space="preserve">. Juiz de Fora: Universidade Federal de Juiz de Fora, [s. d.]. Disponível em: </w:t>
      </w:r>
      <w:hyperlink r:id="rId4">
        <w:r>
          <w:rPr>
            <w:rStyle w:val="Hyperlink"/>
            <w:rFonts w:cs="Times New Roman" w:ascii="Times New Roman" w:hAnsi="Times New Roman"/>
            <w:color w:val="0000FF"/>
            <w:u w:val="single"/>
            <w:lang w:val="en-US"/>
          </w:rPr>
          <w:t>https://caeddigital.net</w:t>
        </w:r>
      </w:hyperlink>
      <w:r>
        <w:rPr>
          <w:rFonts w:cs="Times New Roman" w:ascii="Times New Roman" w:hAnsi="Times New Roman"/>
          <w:sz w:val="24"/>
          <w:lang w:val="en-US"/>
        </w:rPr>
        <w:t>. Acesso em: 31 ago. 2026.</w:t>
      </w:r>
    </w:p>
    <w:p>
      <w:pPr>
        <w:pStyle w:val="Normal"/>
        <w:spacing w:before="0" w:after="60" w:line="240" w:lineRule="auto"/>
        <w:rPr/>
      </w:pPr>
      <w:r>
        <w:rPr>
          <w:rFonts w:cs="Times New Roman" w:ascii="Times New Roman" w:hAnsi="Times New Roman"/>
          <w:sz w:val="24"/>
          <w:lang w:val="en-US"/>
        </w:rPr>
        <w:t xml:space="preserve">FORD, C.; McNALLY, D.; FORD, K. Using design-based research in higher education innovation. </w:t>
      </w:r>
      <w:r>
        <w:rPr>
          <w:rFonts w:cs="Times New Roman" w:ascii="Times New Roman" w:hAnsi="Times New Roman"/>
          <w:b/>
          <w:bCs/>
          <w:sz w:val="24"/>
          <w:lang w:val="en-US"/>
        </w:rPr>
        <w:t>Online Learning</w:t>
      </w:r>
      <w:r>
        <w:rPr>
          <w:rFonts w:cs="Times New Roman" w:ascii="Times New Roman" w:hAnsi="Times New Roman"/>
          <w:sz w:val="24"/>
          <w:lang w:val="en-US"/>
        </w:rPr>
        <w:t>, v. 21, n. 3, p. 50-67, 2017.</w:t>
      </w:r>
    </w:p>
    <w:p>
      <w:pPr>
        <w:pStyle w:val="Normal"/>
        <w:spacing w:before="0" w:after="60" w:line="240" w:lineRule="auto"/>
        <w:rPr/>
      </w:pPr>
      <w:r>
        <w:rPr>
          <w:rFonts w:cs="Times New Roman" w:ascii="Times New Roman" w:hAnsi="Times New Roman"/>
          <w:sz w:val="24"/>
          <w:lang w:val="en-US"/>
        </w:rPr>
        <w:t xml:space="preserve">GULIKERS, J. T. M.; BASTIAENS, T. J.; KIRSCHNER, P. A. A five-dimensional framework for authentic assessment. </w:t>
      </w:r>
      <w:r>
        <w:rPr>
          <w:rFonts w:cs="Times New Roman" w:ascii="Times New Roman" w:hAnsi="Times New Roman"/>
          <w:b/>
          <w:bCs/>
          <w:sz w:val="24"/>
          <w:lang w:val="en-US"/>
        </w:rPr>
        <w:t>Educational Technology Research and Development</w:t>
      </w:r>
      <w:r>
        <w:rPr>
          <w:rFonts w:cs="Times New Roman" w:ascii="Times New Roman" w:hAnsi="Times New Roman"/>
          <w:sz w:val="24"/>
          <w:lang w:val="en-US"/>
        </w:rPr>
        <w:t>, v. 52, n. 3, p. 67-86, 2004.</w:t>
      </w:r>
    </w:p>
    <w:p>
      <w:pPr>
        <w:pStyle w:val="Normal"/>
        <w:spacing w:before="0" w:after="60" w:line="240" w:lineRule="auto"/>
        <w:rPr/>
      </w:pPr>
      <w:r>
        <w:rPr>
          <w:rFonts w:cs="Times New Roman" w:ascii="Times New Roman" w:hAnsi="Times New Roman"/>
          <w:sz w:val="24"/>
          <w:lang w:val="en-US"/>
        </w:rPr>
        <w:t xml:space="preserve">HERREID, C. F. Case study teaching. </w:t>
      </w:r>
      <w:r>
        <w:rPr>
          <w:rFonts w:cs="Times New Roman" w:ascii="Times New Roman" w:hAnsi="Times New Roman"/>
          <w:b/>
          <w:bCs/>
          <w:sz w:val="24"/>
          <w:lang w:val="en-US"/>
        </w:rPr>
        <w:t>New Directions for Teaching and Learning</w:t>
      </w:r>
      <w:r>
        <w:rPr>
          <w:rFonts w:cs="Times New Roman" w:ascii="Times New Roman" w:hAnsi="Times New Roman"/>
          <w:sz w:val="24"/>
          <w:lang w:val="en-US"/>
        </w:rPr>
        <w:t>, v. 2011, n. 128, p. 31-40, 2011.</w:t>
      </w:r>
    </w:p>
    <w:p>
      <w:pPr>
        <w:pStyle w:val="Normal"/>
        <w:spacing w:before="0" w:after="60" w:line="240" w:lineRule="auto"/>
        <w:rPr/>
      </w:pPr>
      <w:r>
        <w:rPr>
          <w:rFonts w:cs="Times New Roman" w:ascii="Times New Roman" w:hAnsi="Times New Roman"/>
          <w:sz w:val="24"/>
          <w:lang w:val="en-US"/>
        </w:rPr>
        <w:t xml:space="preserve">HOADLEY, C.; CAMPOS, F. C. Design-based research: what it is and why it matters to studying online learning. </w:t>
      </w:r>
      <w:r>
        <w:rPr>
          <w:rFonts w:cs="Times New Roman" w:ascii="Times New Roman" w:hAnsi="Times New Roman"/>
          <w:b/>
          <w:bCs/>
          <w:sz w:val="24"/>
          <w:lang w:val="en-US"/>
        </w:rPr>
        <w:t>Educational Psychologist</w:t>
      </w:r>
      <w:r>
        <w:rPr>
          <w:rFonts w:cs="Times New Roman" w:ascii="Times New Roman" w:hAnsi="Times New Roman"/>
          <w:sz w:val="24"/>
          <w:lang w:val="en-US"/>
        </w:rPr>
        <w:t>, v. 57, n. 3, p. 207-220, 2022.</w:t>
      </w:r>
    </w:p>
    <w:p>
      <w:pPr>
        <w:pStyle w:val="Normal"/>
        <w:spacing w:before="0" w:after="60" w:line="240" w:lineRule="auto"/>
        <w:rPr/>
      </w:pPr>
      <w:r>
        <w:rPr>
          <w:rFonts w:cs="Times New Roman" w:ascii="Times New Roman" w:hAnsi="Times New Roman"/>
          <w:sz w:val="24"/>
          <w:lang w:val="en-US"/>
        </w:rPr>
        <w:t xml:space="preserve">PLOMP, T. Educational design research: an introduction. In: PLOMP, T.; NIEVEEN, N. (org.). </w:t>
      </w:r>
      <w:r>
        <w:rPr>
          <w:rFonts w:cs="Times New Roman" w:ascii="Times New Roman" w:hAnsi="Times New Roman"/>
          <w:b/>
          <w:bCs/>
          <w:sz w:val="24"/>
          <w:lang w:val="en-US"/>
        </w:rPr>
        <w:t>Educational design research – Part A: an introduction</w:t>
      </w:r>
      <w:r>
        <w:rPr>
          <w:rFonts w:cs="Times New Roman" w:ascii="Times New Roman" w:hAnsi="Times New Roman"/>
          <w:sz w:val="24"/>
          <w:lang w:val="en-US"/>
        </w:rPr>
        <w:t>. Enschede: Netherlands Institute for Curriculum Development, 2013. p. 10-51.</w:t>
      </w:r>
    </w:p>
    <w:p>
      <w:pPr>
        <w:pStyle w:val="Normal"/>
        <w:spacing w:before="0" w:after="60" w:line="240" w:lineRule="auto"/>
        <w:rPr/>
      </w:pPr>
      <w:r>
        <w:rPr>
          <w:rFonts w:cs="Times New Roman" w:ascii="Times New Roman" w:hAnsi="Times New Roman"/>
          <w:sz w:val="24"/>
          <w:lang w:val="en-US"/>
        </w:rPr>
        <w:t xml:space="preserve">ROSIER, G. The case method evaluated in terms of higher education research: a pilot study. </w:t>
      </w:r>
      <w:r>
        <w:rPr>
          <w:rFonts w:cs="Times New Roman" w:ascii="Times New Roman" w:hAnsi="Times New Roman"/>
          <w:b/>
          <w:bCs/>
          <w:sz w:val="24"/>
          <w:lang w:val="en-US"/>
        </w:rPr>
        <w:t>The International Journal of Management Education</w:t>
      </w:r>
      <w:r>
        <w:rPr>
          <w:rFonts w:cs="Times New Roman" w:ascii="Times New Roman" w:hAnsi="Times New Roman"/>
          <w:sz w:val="24"/>
          <w:lang w:val="en-US"/>
        </w:rPr>
        <w:t>, v. 20, n. 3, p. 1-9, 2022.</w:t>
      </w:r>
    </w:p>
    <w:p>
      <w:pPr>
        <w:pStyle w:val="Normal"/>
        <w:spacing w:before="0" w:after="60" w:line="240" w:lineRule="auto"/>
        <w:rPr/>
      </w:pPr>
      <w:r>
        <w:rPr>
          <w:rFonts w:cs="Times New Roman" w:ascii="Times New Roman" w:hAnsi="Times New Roman"/>
          <w:sz w:val="24"/>
          <w:lang w:val="en-US"/>
        </w:rPr>
        <w:t xml:space="preserve">SOKHANVAR, Z.; SALEHI, K.; SOKHANVAR, F. Advantages of authentic assessment for improving the learning experience and employability skills of higher education students: a systematic literature review. </w:t>
      </w:r>
      <w:r>
        <w:rPr>
          <w:rFonts w:cs="Times New Roman" w:ascii="Times New Roman" w:hAnsi="Times New Roman"/>
          <w:b/>
          <w:bCs/>
          <w:sz w:val="24"/>
          <w:lang w:val="en-US"/>
        </w:rPr>
        <w:t>Studies in Educational Evaluation</w:t>
      </w:r>
      <w:r>
        <w:rPr>
          <w:rFonts w:cs="Times New Roman" w:ascii="Times New Roman" w:hAnsi="Times New Roman"/>
          <w:sz w:val="24"/>
          <w:lang w:val="en-US"/>
        </w:rPr>
        <w:t>, v. 70, 2021.</w:t>
      </w:r>
    </w:p>
    <w:p>
      <w:pPr>
        <w:pStyle w:val="Normal"/>
        <w:spacing w:before="0" w:after="60" w:line="240" w:lineRule="auto"/>
        <w:rPr/>
      </w:pPr>
      <w:r>
        <w:rPr>
          <w:rFonts w:cs="Times New Roman" w:ascii="Times New Roman" w:hAnsi="Times New Roman"/>
          <w:sz w:val="24"/>
          <w:lang w:val="en-US"/>
        </w:rPr>
        <w:t xml:space="preserve">SOTIRIADOU, P.; LOGAN, D.; DALY, A.; GUEST, R. The role of authentic assessment to preserve academic integrity and promote skill development and employability. </w:t>
      </w:r>
      <w:r>
        <w:rPr>
          <w:rFonts w:cs="Times New Roman" w:ascii="Times New Roman" w:hAnsi="Times New Roman"/>
          <w:b/>
          <w:bCs/>
          <w:sz w:val="24"/>
          <w:lang w:val="en-US"/>
        </w:rPr>
        <w:t>Studies in Higher Education</w:t>
      </w:r>
      <w:r>
        <w:rPr>
          <w:rFonts w:cs="Times New Roman" w:ascii="Times New Roman" w:hAnsi="Times New Roman"/>
          <w:sz w:val="24"/>
          <w:lang w:val="en-US"/>
        </w:rPr>
        <w:t>, v. 45, n. 11, p. 2132-2148, 2019.</w:t>
      </w:r>
    </w:p>
    <w:p>
      <w:pPr>
        <w:pStyle w:val="Normal"/>
        <w:spacing w:before="0" w:after="60" w:line="240" w:lineRule="auto"/>
        <w:rPr>
          <w:rFonts w:ascii="Times New Roman" w:hAnsi="Times New Roman" w:cs="Times New Roman"/>
          <w:lang w:val="en-US"/>
        </w:rPr>
      </w:pPr>
      <w:r>
        <w:rPr>
          <w:rFonts w:cs="Times New Roman" w:ascii="Times New Roman" w:hAnsi="Times New Roman"/>
          <w:sz w:val="24"/>
          <w:lang w:val="en-US"/>
        </w:rPr>
        <w:t xml:space="preserve">SÜMEN, A.; ADIBELLI, D. The effect of case-based teaching method on professional competence and clinical decision-making levels of public health nursing students: a sequential explanatory mixed-methods study. </w:t>
      </w:r>
      <w:r>
        <w:rPr>
          <w:rFonts w:cs="Times New Roman" w:ascii="Times New Roman" w:hAnsi="Times New Roman"/>
          <w:b/>
          <w:bCs/>
          <w:sz w:val="24"/>
          <w:lang w:val="en-US"/>
        </w:rPr>
        <w:t>Public Health Nursing</w:t>
      </w:r>
      <w:r>
        <w:rPr>
          <w:rFonts w:cs="Times New Roman" w:ascii="Times New Roman" w:hAnsi="Times New Roman"/>
          <w:sz w:val="24"/>
          <w:lang w:val="en-US"/>
        </w:rPr>
        <w:t>, v. 41, n. 3, p. 446-457, 2024.</w:t>
      </w:r>
    </w:p>
    <w:p>
      <w:pPr>
        <w:pStyle w:val="Normal"/>
        <w:spacing w:before="0" w:after="60" w:line="240" w:lineRule="auto"/>
        <w:rPr>
          <w:rFonts w:ascii="Times New Roman" w:hAnsi="Times New Roman" w:cs="Times New Roman"/>
          <w:lang w:val="en-US"/>
        </w:rPr>
      </w:pPr>
      <w:r>
        <w:rPr>
          <w:rFonts w:cs="Times New Roman" w:ascii="Times New Roman" w:hAnsi="Times New Roman"/>
          <w:sz w:val="24"/>
        </w:rPr>
        <w:t xml:space="preserve">UNIÃO EUROPEIA. </w:t>
      </w:r>
      <w:r>
        <w:rPr>
          <w:rStyle w:val="Strong"/>
          <w:rFonts w:cs="Times New Roman" w:ascii="Times New Roman" w:hAnsi="Times New Roman"/>
          <w:sz w:val="24"/>
        </w:rPr>
        <w:t>Recomendação do Conselho, de 22 de maio de 2017, relativa ao Quadro Europeu de Qualificações para a aprendizagem ao longo da vida</w:t>
      </w:r>
      <w:r>
        <w:rPr>
          <w:rFonts w:cs="Times New Roman" w:ascii="Times New Roman" w:hAnsi="Times New Roman"/>
          <w:sz w:val="24"/>
        </w:rPr>
        <w:t>. Jornal Oficial da União Europeia, C 189, p. 15-28, 15 jun. 2017.</w:t>
      </w:r>
    </w:p>
    <w:p>
      <w:pPr>
        <w:pStyle w:val="Normal"/>
        <w:spacing w:before="0" w:after="60" w:line="240" w:lineRule="auto"/>
        <w:rPr/>
      </w:pPr>
      <w:r>
        <w:rPr>
          <w:rFonts w:cs="Times New Roman" w:ascii="Times New Roman" w:hAnsi="Times New Roman"/>
          <w:sz w:val="24"/>
          <w:lang w:val="en-US"/>
        </w:rPr>
        <w:t xml:space="preserve">VILLARROEL, V.; BLOXHAM, S.; BRUNA, D.; BRUNA, C.; HERRERA-SEDA, C. Authentic assessment: creating a blueprint for course design. </w:t>
      </w:r>
      <w:r>
        <w:rPr>
          <w:rFonts w:cs="Times New Roman" w:ascii="Times New Roman" w:hAnsi="Times New Roman"/>
          <w:b/>
          <w:bCs/>
          <w:sz w:val="24"/>
          <w:lang w:val="en-US"/>
        </w:rPr>
        <w:t>Assessment &amp; Evaluation in Higher Education</w:t>
      </w:r>
      <w:r>
        <w:rPr>
          <w:rFonts w:cs="Times New Roman" w:ascii="Times New Roman" w:hAnsi="Times New Roman"/>
          <w:sz w:val="24"/>
          <w:lang w:val="en-US"/>
        </w:rPr>
        <w:t>, v. 43, n. 5, p. 840-854, 2018.</w:t>
      </w:r>
    </w:p>
    <w:p>
      <w:pPr>
        <w:pStyle w:val="Normal"/>
        <w:spacing w:before="0" w:after="60" w:line="240" w:lineRule="auto"/>
        <w:rPr/>
      </w:pPr>
      <w:r>
        <w:rPr>
          <w:rFonts w:cs="Times New Roman" w:ascii="Times New Roman" w:hAnsi="Times New Roman"/>
          <w:sz w:val="24"/>
          <w:lang w:val="en-US"/>
        </w:rPr>
        <w:t xml:space="preserve">WEINSTEIN, A.; BROTSPIES, H. V.; GIRONDA, J. T. </w:t>
      </w:r>
      <w:r>
        <w:rPr>
          <w:rFonts w:cs="Times New Roman" w:ascii="Times New Roman" w:hAnsi="Times New Roman"/>
          <w:b/>
          <w:bCs/>
          <w:sz w:val="24"/>
          <w:lang w:val="en-US"/>
        </w:rPr>
        <w:t>Do your students know how to analyze a case – really? A framework for using cases to help students become better decision makers</w:t>
      </w:r>
      <w:r>
        <w:rPr>
          <w:rFonts w:cs="Times New Roman" w:ascii="Times New Roman" w:hAnsi="Times New Roman"/>
          <w:sz w:val="24"/>
          <w:lang w:val="en-US"/>
        </w:rPr>
        <w:t>. Boston: Harvard Business Publishing Education, 2020.</w:t>
      </w:r>
    </w:p>
    <w:p>
      <w:pPr>
        <w:pStyle w:val="Normal"/>
        <w:spacing w:before="0" w:after="60" w:line="240" w:lineRule="auto"/>
        <w:rPr/>
      </w:pPr>
      <w:r>
        <w:rPr>
          <w:rFonts w:cs="Times New Roman" w:ascii="Times New Roman" w:hAnsi="Times New Roman"/>
          <w:sz w:val="24"/>
          <w:lang w:val="en-US"/>
        </w:rPr>
        <w:t xml:space="preserve">WIGGINS, G. P. </w:t>
      </w:r>
      <w:r>
        <w:rPr>
          <w:rFonts w:cs="Times New Roman" w:ascii="Times New Roman" w:hAnsi="Times New Roman"/>
          <w:b/>
          <w:bCs/>
          <w:sz w:val="24"/>
          <w:lang w:val="en-US"/>
        </w:rPr>
        <w:t>Assessing student performance</w:t>
      </w:r>
      <w:r>
        <w:rPr>
          <w:rFonts w:cs="Times New Roman" w:ascii="Times New Roman" w:hAnsi="Times New Roman"/>
          <w:sz w:val="24"/>
          <w:lang w:val="en-US"/>
        </w:rPr>
        <w:t>: exploring the purpose and limits of testing. San Francisco: Jossey-Bass, 1993.</w:t>
      </w:r>
    </w:p>
    <w:sectPr>
      <w:headerReference w:type="default" r:id="rId5"/>
      <w:footerReference w:type="default" r:id="rId6"/>
      <w:type w:val="nextPage"/>
      <w:pgSz w:w="11906" w:h="16838"/>
      <w:pgMar w:left="1440" w:right="1440" w:gutter="0" w:header="760" w:top="1440" w:footer="532"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sz w:val="19"/>
        <w:szCs w:val="19"/>
      </w:rPr>
    </w:pPr>
    <w:r>
      <w:rPr>
        <w:sz w:val="19"/>
        <w:szCs w:val="19"/>
      </w:rPr>
      <w:t>1</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180" w:type="dxa"/>
      <w:jc w:val="start"/>
      <w:tblInd w:w="0" w:type="dxa"/>
      <w:tblLayout w:type="fixed"/>
      <w:tblCellMar>
        <w:top w:w="0" w:type="dxa"/>
        <w:start w:w="108" w:type="dxa"/>
        <w:bottom w:w="0" w:type="dxa"/>
        <w:end w:w="108" w:type="dxa"/>
      </w:tblCellMar>
    </w:tblPr>
    <w:tblGrid>
      <w:gridCol w:w="7621"/>
      <w:gridCol w:w="1559"/>
    </w:tblGrid>
    <w:tr>
      <w:trPr/>
      <w:tc>
        <w:tcPr>
          <w:tcW w:w="7621" w:type="dxa"/>
          <w:tcBorders/>
          <w:vAlign w:val="center"/>
        </w:tcPr>
        <w:p>
          <w:pPr>
            <w:pStyle w:val="Normal"/>
            <w:widowControl w:val="false"/>
            <w:tabs>
              <w:tab w:val="clear" w:pos="720"/>
              <w:tab w:val="left" w:pos="2760" w:leader="none"/>
            </w:tabs>
            <w:autoSpaceDE w:val="false"/>
            <w:spacing w:lineRule="exact" w:line="200" w:before="0" w:after="0"/>
            <w:ind w:hanging="0" w:end="0"/>
            <w:jc w:val="start"/>
            <w:rPr>
              <w:rFonts w:cs="Arial"/>
              <w:i/>
              <w:i/>
              <w:sz w:val="20"/>
              <w:szCs w:val="20"/>
            </w:rPr>
          </w:pPr>
          <w:r>
            <w:rPr>
              <w:rFonts w:cs="Arial"/>
              <w:i/>
              <w:sz w:val="20"/>
              <w:szCs w:val="20"/>
            </w:rPr>
            <w:t>X CONBRATRI 26 a 28 de Outubro de 2026, São Paulo-SP</w:t>
          </w:r>
          <w:r>
            <mc:AlternateContent>
              <mc:Choice Requires="wps">
                <w:drawing>
                  <wp:anchor behindDoc="1" distT="0" distB="0" distL="114935" distR="114935" simplePos="0" locked="0" layoutInCell="0" allowOverlap="1" relativeHeight="8">
                    <wp:simplePos x="0" y="0"/>
                    <wp:positionH relativeFrom="page">
                      <wp:posOffset>6235700</wp:posOffset>
                    </wp:positionH>
                    <wp:positionV relativeFrom="page">
                      <wp:posOffset>10182225</wp:posOffset>
                    </wp:positionV>
                    <wp:extent cx="432435" cy="156845"/>
                    <wp:effectExtent l="0" t="0" r="0" b="0"/>
                    <wp:wrapNone/>
                    <wp:docPr id="5" name="Frame1"/>
                    <a:graphic xmlns:a="http://schemas.openxmlformats.org/drawingml/2006/main">
                      <a:graphicData uri="http://schemas.microsoft.com/office/word/2010/wordprocessingShape">
                        <wps:wsp>
                          <wps:cNvSpPr txBox="1"/>
                          <wps:spPr>
                            <a:xfrm>
                              <a:off x="0" y="0"/>
                              <a:ext cx="432435" cy="156845"/>
                            </a:xfrm>
                            <a:prstGeom prst="rect"/>
                            <a:solidFill>
                              <a:srgbClr val="FFFFFF">
                                <a:alpha val="0"/>
                              </a:srgbClr>
                            </a:solidFill>
                          </wps:spPr>
                          <wps:txbx>
                            <w:txbxContent>
                              <w:p>
                                <w:pPr>
                                  <w:pStyle w:val="Normal"/>
                                  <w:widowControl w:val="false"/>
                                  <w:autoSpaceDE w:val="false"/>
                                  <w:spacing w:lineRule="exact" w:line="223" w:before="0" w:after="0"/>
                                  <w:ind w:start="20" w:end="0"/>
                                  <w:rPr/>
                                </w:pPr>
                                <w:r>
                                  <w:rPr>
                                    <w:rFonts w:cs="Times New Roman" w:ascii="Times New Roman" w:hAnsi="Times New Roman"/>
                                    <w:w w:val="118"/>
                                    <w:sz w:val="20"/>
                                    <w:szCs w:val="20"/>
                                  </w:rPr>
                                  <w:t>Pág.</w:t>
                                </w:r>
                                <w:r>
                                  <w:rPr>
                                    <w:rFonts w:cs="Times New Roman" w:ascii="Times New Roman" w:hAnsi="Times New Roman"/>
                                    <w:spacing w:val="22"/>
                                    <w:w w:val="118"/>
                                    <w:sz w:val="20"/>
                                    <w:szCs w:val="20"/>
                                  </w:rPr>
                                  <w:t xml:space="preserve"> </w:t>
                                </w:r>
                                <w:r>
                                  <w:rPr>
                                    <w:rFonts w:cs="Times New Roman" w:ascii="Times New Roman" w:hAnsi="Times New Roman"/>
                                    <w:w w:val="118"/>
                                    <w:sz w:val="20"/>
                                    <w:szCs w:val="20"/>
                                  </w:rPr>
                                  <w:fldChar w:fldCharType="begin"/>
                                </w:r>
                                <w:r>
                                  <w:rPr>
                                    <w:sz w:val="20"/>
                                    <w:szCs w:val="20"/>
                                    <w:w w:val="118"/>
                                    <w:rFonts w:cs="Times New Roman" w:ascii="Times New Roman" w:hAnsi="Times New Roman"/>
                                  </w:rPr>
                                  <w:instrText xml:space="preserve"> PAGE </w:instrText>
                                </w:r>
                                <w:r>
                                  <w:rPr>
                                    <w:sz w:val="20"/>
                                    <w:szCs w:val="20"/>
                                    <w:w w:val="118"/>
                                    <w:rFonts w:cs="Times New Roman" w:ascii="Times New Roman" w:hAnsi="Times New Roman"/>
                                  </w:rPr>
                                  <w:fldChar w:fldCharType="separate"/>
                                </w:r>
                                <w:r>
                                  <w:rPr>
                                    <w:sz w:val="20"/>
                                    <w:szCs w:val="20"/>
                                    <w:w w:val="118"/>
                                    <w:rFonts w:cs="Times New Roman" w:ascii="Times New Roman" w:hAnsi="Times New Roman"/>
                                  </w:rPr>
                                  <w:t>7</w:t>
                                </w:r>
                                <w:r>
                                  <w:rPr>
                                    <w:sz w:val="20"/>
                                    <w:szCs w:val="20"/>
                                    <w:w w:val="118"/>
                                    <w:rFonts w:cs="Times New Roman" w:ascii="Times New Roman" w:hAnsi="Times New Roman"/>
                                  </w:rPr>
                                  <w:fldChar w:fldCharType="end"/>
                                </w:r>
                              </w:p>
                            </w:txbxContent>
                          </wps:txbx>
                          <wps:bodyPr anchor="t" lIns="635" tIns="635" rIns="635" bIns="635">
                            <a:noAutofit/>
                          </wps:bodyPr>
                        </wps:wsp>
                      </a:graphicData>
                    </a:graphic>
                  </wp:anchor>
                </w:drawing>
              </mc:Choice>
              <mc:Fallback>
                <w:pict>
                  <v:rect fillcolor="#FFFFFF" style="position:absolute;rotation:-0;width:34.05pt;height:12.35pt;mso-wrap-distance-left:9.05pt;mso-wrap-distance-right:9.05pt;mso-wrap-distance-top:0pt;mso-wrap-distance-bottom:0pt;margin-top:801.75pt;mso-position-vertical-relative:page;margin-left:491pt;mso-position-horizontal-relative:page">
                    <v:fill opacity="0f"/>
                    <v:textbox inset="0.000694444444444445in,0.000694444444444445in,0.000694444444444445in,0.000694444444444445in">
                      <w:txbxContent>
                        <w:p>
                          <w:pPr>
                            <w:pStyle w:val="Normal"/>
                            <w:widowControl w:val="false"/>
                            <w:autoSpaceDE w:val="false"/>
                            <w:spacing w:lineRule="exact" w:line="223" w:before="0" w:after="0"/>
                            <w:ind w:start="20" w:end="0"/>
                            <w:rPr/>
                          </w:pPr>
                          <w:r>
                            <w:rPr>
                              <w:rFonts w:cs="Times New Roman" w:ascii="Times New Roman" w:hAnsi="Times New Roman"/>
                              <w:w w:val="118"/>
                              <w:sz w:val="20"/>
                              <w:szCs w:val="20"/>
                            </w:rPr>
                            <w:t>Pág.</w:t>
                          </w:r>
                          <w:r>
                            <w:rPr>
                              <w:rFonts w:cs="Times New Roman" w:ascii="Times New Roman" w:hAnsi="Times New Roman"/>
                              <w:spacing w:val="22"/>
                              <w:w w:val="118"/>
                              <w:sz w:val="20"/>
                              <w:szCs w:val="20"/>
                            </w:rPr>
                            <w:t xml:space="preserve"> </w:t>
                          </w:r>
                          <w:r>
                            <w:rPr>
                              <w:rFonts w:cs="Times New Roman" w:ascii="Times New Roman" w:hAnsi="Times New Roman"/>
                              <w:w w:val="118"/>
                              <w:sz w:val="20"/>
                              <w:szCs w:val="20"/>
                            </w:rPr>
                            <w:fldChar w:fldCharType="begin"/>
                          </w:r>
                          <w:r>
                            <w:rPr>
                              <w:sz w:val="20"/>
                              <w:szCs w:val="20"/>
                              <w:w w:val="118"/>
                              <w:rFonts w:cs="Times New Roman" w:ascii="Times New Roman" w:hAnsi="Times New Roman"/>
                            </w:rPr>
                            <w:instrText xml:space="preserve"> PAGE </w:instrText>
                          </w:r>
                          <w:r>
                            <w:rPr>
                              <w:sz w:val="20"/>
                              <w:szCs w:val="20"/>
                              <w:w w:val="118"/>
                              <w:rFonts w:cs="Times New Roman" w:ascii="Times New Roman" w:hAnsi="Times New Roman"/>
                            </w:rPr>
                            <w:fldChar w:fldCharType="separate"/>
                          </w:r>
                          <w:r>
                            <w:rPr>
                              <w:sz w:val="20"/>
                              <w:szCs w:val="20"/>
                              <w:w w:val="118"/>
                              <w:rFonts w:cs="Times New Roman" w:ascii="Times New Roman" w:hAnsi="Times New Roman"/>
                            </w:rPr>
                            <w:t>7</w:t>
                          </w:r>
                          <w:r>
                            <w:rPr>
                              <w:sz w:val="20"/>
                              <w:szCs w:val="20"/>
                              <w:w w:val="118"/>
                              <w:rFonts w:cs="Times New Roman" w:ascii="Times New Roman" w:hAnsi="Times New Roman"/>
                            </w:rPr>
                            <w:fldChar w:fldCharType="end"/>
                          </w:r>
                        </w:p>
                      </w:txbxContent>
                    </v:textbox>
                    <w10:wrap type="none"/>
                  </v:rect>
                </w:pict>
              </mc:Fallback>
            </mc:AlternateContent>
          </w:r>
        </w:p>
      </w:tc>
      <w:tc>
        <w:tcPr>
          <w:tcW w:w="1559" w:type="dxa"/>
          <w:tcBorders/>
          <w:vAlign w:val="center"/>
        </w:tcPr>
        <w:p>
          <w:pPr>
            <w:pStyle w:val="Header"/>
            <w:spacing w:before="0" w:after="0"/>
            <w:jc w:val="end"/>
            <w:rPr>
              <w:rFonts w:cs="Arial"/>
              <w:i/>
              <w:i/>
              <w:sz w:val="20"/>
              <w:szCs w:val="20"/>
            </w:rPr>
          </w:pPr>
          <w:r>
            <w:rPr>
              <w:rFonts w:cs="Arial"/>
              <w:i/>
              <w:sz w:val="20"/>
              <w:szCs w:val="20"/>
            </w:rPr>
            <w:t xml:space="preserve">Pág. </w:t>
          </w:r>
          <w:r>
            <w:rPr>
              <w:rFonts w:cs="Arial"/>
              <w:i/>
              <w:sz w:val="20"/>
              <w:szCs w:val="20"/>
            </w:rPr>
            <w:fldChar w:fldCharType="begin"/>
          </w:r>
          <w:r>
            <w:rPr>
              <w:sz w:val="20"/>
              <w:i/>
              <w:szCs w:val="20"/>
              <w:rFonts w:cs="Arial"/>
            </w:rPr>
            <w:instrText xml:space="preserve"> PAGE </w:instrText>
          </w:r>
          <w:r>
            <w:rPr>
              <w:sz w:val="20"/>
              <w:i/>
              <w:szCs w:val="20"/>
              <w:rFonts w:cs="Arial"/>
            </w:rPr>
            <w:fldChar w:fldCharType="separate"/>
          </w:r>
          <w:r>
            <w:rPr>
              <w:sz w:val="20"/>
              <w:i/>
              <w:szCs w:val="20"/>
              <w:rFonts w:cs="Arial"/>
            </w:rPr>
            <w:t>7</w:t>
          </w:r>
          <w:r>
            <w:rPr>
              <w:sz w:val="20"/>
              <w:i/>
              <w:szCs w:val="20"/>
              <w:rFonts w:cs="Arial"/>
            </w:rPr>
            <w:fldChar w:fldCharType="end"/>
          </w:r>
        </w:p>
      </w:tc>
    </w:tr>
  </w:tbl>
  <w:p>
    <w:pPr>
      <w:pStyle w:val="Normal"/>
      <w:widowControl w:val="false"/>
      <w:tabs>
        <w:tab w:val="clear" w:pos="720"/>
        <w:tab w:val="left" w:pos="2760" w:leader="none"/>
      </w:tabs>
      <w:autoSpaceDE w:val="false"/>
      <w:spacing w:lineRule="exact" w:line="200" w:before="0" w:after="0"/>
      <w:ind w:hanging="0" w:end="0"/>
      <w:rPr>
        <w:rFonts w:ascii="Times New Roman" w:hAnsi="Times New Roman" w:cs="Times New Roman"/>
        <w:sz w:val="20"/>
        <w:szCs w:val="20"/>
      </w:rPr>
    </w:pPr>
    <w:r>
      <w:rPr>
        <w:rFonts w:cs="Times New Roman" w:ascii="Times New Roman" w:hAnsi="Times New Roman"/>
        <w:sz w:val="20"/>
        <w:szCs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lang w:val="en-US" w:eastAsia="en-US"/>
      </w:rPr>
      <w:tab/>
      <w:tab/>
    </w:r>
    <w:r>
      <w:rPr>
        <w:lang w:val="en-US" w:eastAsia="en-US"/>
      </w:rPr>
      <w:drawing>
        <wp:inline distT="0" distB="0" distL="0" distR="0">
          <wp:extent cx="1104265" cy="525780"/>
          <wp:effectExtent l="0" t="0" r="0" b="0"/>
          <wp:docPr id="1" name="Imagem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 title=""/>
                  <pic:cNvPicPr>
                    <a:picLocks noChangeAspect="1" noChangeArrowheads="1"/>
                  </pic:cNvPicPr>
                </pic:nvPicPr>
                <pic:blipFill>
                  <a:blip r:embed="rId1"/>
                  <a:srcRect l="-25" t="-52" r="-25" b="-52"/>
                  <a:stretch>
                    <a:fillRect/>
                  </a:stretch>
                </pic:blipFill>
                <pic:spPr bwMode="auto">
                  <a:xfrm>
                    <a:off x="0" y="0"/>
                    <a:ext cx="1104265" cy="525780"/>
                  </a:xfrm>
                  <a:prstGeom prst="rect">
                    <a:avLst/>
                  </a:prstGeom>
                </pic:spPr>
              </pic:pic>
            </a:graphicData>
          </a:graphic>
        </wp:inline>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autoSpaceDE w:val="false"/>
      <w:spacing w:lineRule="exact" w:line="207" w:before="0" w:after="0"/>
      <w:ind w:end="-28"/>
      <w:jc w:val="center"/>
      <w:rPr>
        <w:rFonts w:cs="Arial"/>
        <w:i/>
        <w:i/>
        <w:sz w:val="19"/>
        <w:szCs w:val="19"/>
      </w:rPr>
    </w:pPr>
    <w:r>
      <mc:AlternateContent>
        <mc:Choice Requires="wpg">
          <w:drawing>
            <wp:anchor behindDoc="1" distT="0" distB="0" distL="114935" distR="114935" simplePos="0" locked="0" layoutInCell="0" allowOverlap="1" relativeHeight="14">
              <wp:simplePos x="0" y="0"/>
              <wp:positionH relativeFrom="page">
                <wp:posOffset>911860</wp:posOffset>
              </wp:positionH>
              <wp:positionV relativeFrom="page">
                <wp:posOffset>784860</wp:posOffset>
              </wp:positionV>
              <wp:extent cx="5735320" cy="635"/>
              <wp:effectExtent l="2540" t="3175" r="3175" b="1270"/>
              <wp:wrapNone/>
              <wp:docPr id="2" name=""/>
              <a:graphic xmlns:a="http://schemas.openxmlformats.org/drawingml/2006/main">
                <a:graphicData uri="http://schemas.microsoft.com/office/word/2010/wordprocessingGroup">
                  <wpg:wgp>
                    <wpg:cNvGrpSpPr/>
                    <wpg:grpSpPr>
                      <a:xfrm>
                        <a:off x="0" y="0"/>
                        <a:ext cx="5735160" cy="720"/>
                        <a:chOff x="0" y="0"/>
                        <a:chExt cx="5735160" cy="720"/>
                      </a:xfrm>
                    </wpg:grpSpPr>
                    <wps:wsp>
                      <wps:cNvPr id="3" name=""/>
                      <wps:cNvSpPr/>
                      <wps:spPr>
                        <a:xfrm>
                          <a:off x="0" y="0"/>
                          <a:ext cx="5735160" cy="720"/>
                        </a:xfrm>
                        <a:custGeom>
                          <a:avLst/>
                          <a:gdLst/>
                          <a:ahLst/>
                          <a:rect l="l" t="t" r="r" b="b"/>
                          <a:pathLst>
                            <a:path w="9025" h="0">
                              <a:moveTo>
                                <a:pt x="0" y="0"/>
                              </a:moveTo>
                              <a:lnTo>
                                <a:pt x="9025" y="0"/>
                              </a:lnTo>
                            </a:path>
                          </a:pathLst>
                        </a:custGeom>
                        <a:noFill/>
                        <a:ln w="5040">
                          <a:solidFill>
                            <a:srgbClr val="000000"/>
                          </a:solidFill>
                          <a:round/>
                        </a:ln>
                      </wps:spPr>
                      <wps:style>
                        <a:lnRef idx="0"/>
                        <a:fillRef idx="0"/>
                        <a:effectRef idx="0"/>
                        <a:fontRef idx="minor"/>
                      </wps:style>
                      <wps:bodyPr/>
                    </wps:wsp>
                    <wps:wsp>
                      <wps:cNvPr id="4" name=""/>
                      <wps:cNvSpPr/>
                      <wps:spPr>
                        <a:xfrm>
                          <a:off x="0" y="0"/>
                          <a:ext cx="5735160" cy="720"/>
                        </a:xfrm>
                        <a:custGeom>
                          <a:avLst/>
                          <a:gdLst/>
                          <a:ahLst/>
                          <a:rect l="l" t="t" r="r" b="b"/>
                          <a:pathLst>
                            <a:path w="9025" h="0">
                              <a:moveTo>
                                <a:pt x="9025" y="0"/>
                              </a:moveTo>
                              <a:lnTo>
                                <a:pt x="0" y="0"/>
                              </a:lnTo>
                            </a:path>
                          </a:pathLst>
                        </a:custGeom>
                        <a:noFill/>
                        <a:ln w="5040">
                          <a:solidFill>
                            <a:srgbClr val="000000"/>
                          </a:solidFill>
                          <a:round/>
                        </a:ln>
                      </wps:spPr>
                      <wps:style>
                        <a:lnRef idx="0"/>
                        <a:fillRef idx="0"/>
                        <a:effectRef idx="0"/>
                        <a:fontRef idx="minor"/>
                      </wps:style>
                      <wps:bodyPr/>
                    </wps:wsp>
                  </wpg:wgp>
                </a:graphicData>
              </a:graphic>
            </wp:anchor>
          </w:drawing>
        </mc:Choice>
        <mc:Fallback>
          <w:pict>
            <v:group id="shape_0" style="position:absolute;margin-left:71.8pt;margin-top:61.8pt;width:451.6pt;height:0.05pt" coordorigin="1436,1236" coordsize="9032,1">
              <v:shape id="shape_0" path="m0,0l9025,0e" stroked="t" o:allowincell="f" style="position:absolute;left:1436;top:1236;width:9031;height:0;mso-wrap-style:none;v-text-anchor:middle;mso-position-horizontal-relative:page;mso-position-vertical-relative:page">
                <v:fill o:detectmouseclick="t" on="false"/>
                <v:stroke color="black" weight="5040" joinstyle="round" endcap="flat"/>
                <w10:wrap type="none"/>
              </v:shape>
              <v:shape id="shape_0" path="m9025,0l0,0e" stroked="t" o:allowincell="f" style="position:absolute;left:1436;top:1236;width:9031;height:0;mso-wrap-style:none;v-text-anchor:middle;mso-position-horizontal-relative:page;mso-position-vertical-relative:page">
                <v:fill o:detectmouseclick="t" on="false"/>
                <v:stroke color="black" weight="5040" joinstyle="round" endcap="flat"/>
                <w10:wrap type="none"/>
              </v:shape>
            </v:group>
          </w:pict>
        </mc:Fallback>
      </mc:AlternateContent>
    </w:r>
    <w:r>
      <w:rPr>
        <w:rFonts w:cs="Arial"/>
        <w:i/>
        <w:sz w:val="19"/>
        <w:szCs w:val="19"/>
      </w:rPr>
      <w:t>Inteligência artificial e avaliação autêntica na educação superior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432" w:hanging="432"/>
      </w:pPr>
      <w:rPr>
        <w:sz w:val="24"/>
        <w:szCs w:val="24"/>
        <w:rFonts w:ascii="Times New Roman" w:hAnsi="Times New Roman" w:cs="Times New Roman"/>
      </w:rPr>
    </w:lvl>
    <w:lvl w:ilvl="1">
      <w:start w:val="1"/>
      <w:pStyle w:val="Heading2"/>
      <w:numFmt w:val="decimal"/>
      <w:lvlText w:val="%1.%2"/>
      <w:lvlJc w:val="start"/>
      <w:pPr>
        <w:tabs>
          <w:tab w:val="num" w:pos="0"/>
        </w:tabs>
        <w:ind w:start="576" w:hanging="576"/>
      </w:pPr>
      <w:rPr>
        <w:sz w:val="24"/>
        <w:szCs w:val="24"/>
        <w:rFonts w:ascii="Times New Roman" w:hAnsi="Times New Roman" w:cs="Times New Roman"/>
      </w:rPr>
    </w:lvl>
    <w:lvl w:ilvl="2">
      <w:start w:val="1"/>
      <w:pStyle w:val="Heading3"/>
      <w:numFmt w:val="decimal"/>
      <w:lvlText w:val="%1.%2.%3"/>
      <w:lvlJc w:val="start"/>
      <w:pPr>
        <w:tabs>
          <w:tab w:val="num" w:pos="0"/>
        </w:tabs>
        <w:ind w:start="720" w:hanging="720"/>
      </w:pPr>
    </w:lvl>
    <w:lvl w:ilvl="3">
      <w:start w:val="1"/>
      <w:pStyle w:val="Heading4"/>
      <w:numFmt w:val="decimal"/>
      <w:lvlText w:val="%1.%2.%3.%4"/>
      <w:lvlJc w:val="start"/>
      <w:pPr>
        <w:tabs>
          <w:tab w:val="num" w:pos="0"/>
        </w:tabs>
        <w:ind w:start="864" w:hanging="864"/>
      </w:pPr>
    </w:lvl>
    <w:lvl w:ilvl="4">
      <w:start w:val="1"/>
      <w:pStyle w:val="Heading5"/>
      <w:numFmt w:val="decimal"/>
      <w:lvlText w:val="%1.%2.%3.%4.%5"/>
      <w:lvlJc w:val="start"/>
      <w:pPr>
        <w:tabs>
          <w:tab w:val="num" w:pos="0"/>
        </w:tabs>
        <w:ind w:start="1008" w:hanging="1008"/>
      </w:pPr>
    </w:lvl>
    <w:lvl w:ilvl="5">
      <w:start w:val="1"/>
      <w:pStyle w:val="Heading6"/>
      <w:numFmt w:val="decimal"/>
      <w:lvlText w:val="%1.%2.%3.%4.%5.%6"/>
      <w:lvlJc w:val="start"/>
      <w:pPr>
        <w:tabs>
          <w:tab w:val="num" w:pos="0"/>
        </w:tabs>
        <w:ind w:start="1152" w:hanging="1152"/>
      </w:pPr>
    </w:lvl>
    <w:lvl w:ilvl="6">
      <w:start w:val="1"/>
      <w:pStyle w:val="Heading7"/>
      <w:numFmt w:val="decimal"/>
      <w:lvlText w:val="%1.%2.%3.%4.%5.%6.%7"/>
      <w:lvlJc w:val="start"/>
      <w:pPr>
        <w:tabs>
          <w:tab w:val="num" w:pos="0"/>
        </w:tabs>
        <w:ind w:start="1296" w:hanging="1296"/>
      </w:pPr>
    </w:lvl>
    <w:lvl w:ilvl="7">
      <w:start w:val="1"/>
      <w:pStyle w:val="Heading8"/>
      <w:numFmt w:val="decimal"/>
      <w:lvlText w:val="%1.%2.%3.%4.%5.%6.%7.%8"/>
      <w:lvlJc w:val="start"/>
      <w:pPr>
        <w:tabs>
          <w:tab w:val="num" w:pos="0"/>
        </w:tabs>
        <w:ind w:start="1440" w:hanging="1440"/>
      </w:pPr>
    </w:lvl>
    <w:lvl w:ilvl="8">
      <w:start w:val="1"/>
      <w:pStyle w:val="Heading9"/>
      <w:numFmt w:val="decimal"/>
      <w:lvlText w:val="%1.%2.%3.%4.%5.%6.%7.%8.%9"/>
      <w:lvlJc w:val="start"/>
      <w:pPr>
        <w:tabs>
          <w:tab w:val="num" w:pos="0"/>
        </w:tabs>
        <w:ind w:start="1584" w:hanging="1584"/>
      </w:pPr>
    </w:lvl>
  </w:abstractNum>
  <w:num w:numId="1">
    <w:abstractNumId w:val="1"/>
  </w:num>
</w:numbering>
</file>

<file path=word/settings.xml><?xml version="1.0" encoding="utf-8"?>
<w:settings xmlns:w="http://schemas.openxmlformats.org/wordprocessingml/2006/main">
  <w:zoom w:percent="167"/>
  <w:defaultTabStop w:val="720"/>
  <w:autoHyphenation w:val="true"/>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before="0" w:after="200"/>
      <w:ind w:firstLine="720" w:start="0" w:end="0"/>
      <w:jc w:val="both"/>
    </w:pPr>
    <w:rPr>
      <w:rFonts w:ascii="Arial" w:hAnsi="Arial" w:eastAsia="Times New Roman" w:cs="Arial"/>
      <w:color w:val="auto"/>
      <w:sz w:val="24"/>
      <w:szCs w:val="22"/>
      <w:lang w:val="pt-BR" w:bidi="ar-SA" w:eastAsia="zh-CN"/>
    </w:rPr>
  </w:style>
  <w:style w:type="paragraph" w:styleId="Heading1">
    <w:name w:val="Heading 1"/>
    <w:basedOn w:val="Normal"/>
    <w:next w:val="Normal"/>
    <w:qFormat/>
    <w:pPr>
      <w:keepNext w:val="true"/>
      <w:numPr>
        <w:ilvl w:val="0"/>
        <w:numId w:val="1"/>
      </w:numPr>
      <w:spacing w:before="240" w:after="60"/>
      <w:ind w:hanging="0" w:start="0" w:end="0"/>
      <w:outlineLvl w:val="0"/>
    </w:pPr>
    <w:rPr>
      <w:rFonts w:eastAsia="Times New Roman" w:cs="Times New Roman"/>
      <w:b/>
      <w:bCs/>
      <w:kern w:val="2"/>
      <w:sz w:val="32"/>
      <w:szCs w:val="32"/>
    </w:rPr>
  </w:style>
  <w:style w:type="paragraph" w:styleId="Heading2">
    <w:name w:val="Heading 2"/>
    <w:basedOn w:val="Normal"/>
    <w:next w:val="Normal"/>
    <w:qFormat/>
    <w:pPr>
      <w:keepNext w:val="true"/>
      <w:numPr>
        <w:ilvl w:val="1"/>
        <w:numId w:val="1"/>
      </w:numPr>
      <w:spacing w:before="240" w:after="60"/>
      <w:ind w:hanging="0" w:start="0" w:end="0"/>
      <w:outlineLvl w:val="1"/>
    </w:pPr>
    <w:rPr>
      <w:rFonts w:eastAsia="Times New Roman" w:cs="Times New Roman"/>
      <w:b/>
      <w:bCs/>
      <w:iCs/>
      <w:sz w:val="28"/>
      <w:szCs w:val="28"/>
    </w:rPr>
  </w:style>
  <w:style w:type="paragraph" w:styleId="Heading3">
    <w:name w:val="Heading 3"/>
    <w:basedOn w:val="Normal"/>
    <w:next w:val="Normal"/>
    <w:qFormat/>
    <w:pPr>
      <w:keepNext w:val="true"/>
      <w:numPr>
        <w:ilvl w:val="2"/>
        <w:numId w:val="1"/>
      </w:numPr>
      <w:spacing w:before="240" w:after="60"/>
      <w:ind w:hanging="0" w:start="0" w:end="0"/>
      <w:outlineLvl w:val="2"/>
    </w:pPr>
    <w:rPr>
      <w:rFonts w:ascii="Cambria" w:hAnsi="Cambria" w:eastAsia="Times New Roman" w:cs="Times New Roman"/>
      <w:b/>
      <w:bCs/>
      <w:sz w:val="26"/>
      <w:szCs w:val="26"/>
    </w:rPr>
  </w:style>
  <w:style w:type="paragraph" w:styleId="Heading4">
    <w:name w:val="Heading 4"/>
    <w:basedOn w:val="Normal"/>
    <w:next w:val="Normal"/>
    <w:qFormat/>
    <w:pPr>
      <w:keepNext w:val="true"/>
      <w:numPr>
        <w:ilvl w:val="3"/>
        <w:numId w:val="1"/>
      </w:numPr>
      <w:spacing w:before="240" w:after="60"/>
      <w:ind w:hanging="0" w:start="0" w:end="0"/>
      <w:outlineLvl w:val="3"/>
    </w:pPr>
    <w:rPr>
      <w:rFonts w:ascii="Calibri" w:hAnsi="Calibri" w:cs="Calibri"/>
      <w:b/>
      <w:bCs/>
      <w:sz w:val="28"/>
      <w:szCs w:val="28"/>
    </w:rPr>
  </w:style>
  <w:style w:type="paragraph" w:styleId="Heading5">
    <w:name w:val="Heading 5"/>
    <w:basedOn w:val="Normal"/>
    <w:next w:val="Normal"/>
    <w:qFormat/>
    <w:pPr>
      <w:numPr>
        <w:ilvl w:val="4"/>
        <w:numId w:val="1"/>
      </w:numPr>
      <w:spacing w:before="240" w:after="60"/>
      <w:ind w:hanging="0" w:start="0" w:end="0"/>
      <w:outlineLvl w:val="4"/>
    </w:pPr>
    <w:rPr>
      <w:rFonts w:ascii="Calibri" w:hAnsi="Calibri" w:cs="Calibri"/>
      <w:b/>
      <w:bCs/>
      <w:i/>
      <w:iCs/>
      <w:sz w:val="26"/>
      <w:szCs w:val="26"/>
    </w:rPr>
  </w:style>
  <w:style w:type="paragraph" w:styleId="Heading6">
    <w:name w:val="Heading 6"/>
    <w:basedOn w:val="Normal"/>
    <w:next w:val="Normal"/>
    <w:qFormat/>
    <w:pPr>
      <w:numPr>
        <w:ilvl w:val="5"/>
        <w:numId w:val="1"/>
      </w:numPr>
      <w:spacing w:before="240" w:after="60"/>
      <w:ind w:hanging="0" w:start="0" w:end="0"/>
      <w:outlineLvl w:val="5"/>
    </w:pPr>
    <w:rPr>
      <w:rFonts w:ascii="Calibri" w:hAnsi="Calibri" w:cs="Calibri"/>
      <w:b/>
      <w:bCs/>
      <w:sz w:val="22"/>
    </w:rPr>
  </w:style>
  <w:style w:type="paragraph" w:styleId="Heading7">
    <w:name w:val="Heading 7"/>
    <w:basedOn w:val="Normal"/>
    <w:next w:val="Normal"/>
    <w:qFormat/>
    <w:pPr>
      <w:numPr>
        <w:ilvl w:val="6"/>
        <w:numId w:val="1"/>
      </w:numPr>
      <w:spacing w:before="240" w:after="60"/>
      <w:ind w:hanging="0" w:start="0" w:end="0"/>
      <w:outlineLvl w:val="6"/>
    </w:pPr>
    <w:rPr>
      <w:rFonts w:ascii="Calibri" w:hAnsi="Calibri" w:cs="Calibri"/>
      <w:szCs w:val="24"/>
    </w:rPr>
  </w:style>
  <w:style w:type="paragraph" w:styleId="Heading8">
    <w:name w:val="Heading 8"/>
    <w:basedOn w:val="Normal"/>
    <w:next w:val="Normal"/>
    <w:qFormat/>
    <w:pPr>
      <w:numPr>
        <w:ilvl w:val="7"/>
        <w:numId w:val="1"/>
      </w:numPr>
      <w:spacing w:before="240" w:after="60"/>
      <w:ind w:hanging="0" w:start="0" w:end="0"/>
      <w:outlineLvl w:val="7"/>
    </w:pPr>
    <w:rPr>
      <w:rFonts w:ascii="Calibri" w:hAnsi="Calibri" w:cs="Calibri"/>
      <w:i/>
      <w:iCs/>
      <w:szCs w:val="24"/>
    </w:rPr>
  </w:style>
  <w:style w:type="paragraph" w:styleId="Heading9">
    <w:name w:val="Heading 9"/>
    <w:basedOn w:val="Normal"/>
    <w:next w:val="Normal"/>
    <w:qFormat/>
    <w:pPr>
      <w:numPr>
        <w:ilvl w:val="8"/>
        <w:numId w:val="1"/>
      </w:numPr>
      <w:spacing w:before="240" w:after="60"/>
      <w:ind w:hanging="0" w:start="0" w:end="0"/>
      <w:outlineLvl w:val="8"/>
    </w:pPr>
    <w:rPr>
      <w:rFonts w:ascii="Cambria" w:hAnsi="Cambria" w:eastAsia="Times New Roman" w:cs="Times New Roman"/>
      <w:sz w:val="22"/>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Times New Roman" w:hAnsi="Times New Roman" w:cs="Times New Roman"/>
      <w:sz w:val="24"/>
      <w:szCs w:val="24"/>
    </w:rPr>
  </w:style>
  <w:style w:type="character" w:styleId="DefaultParagraphFont">
    <w:name w:val="Default Paragraph Font"/>
    <w:qFormat/>
    <w:rPr/>
  </w:style>
  <w:style w:type="character" w:styleId="HeaderChar">
    <w:name w:val="Header Char"/>
    <w:qFormat/>
    <w:rPr>
      <w:rFonts w:ascii="Arial" w:hAnsi="Arial" w:cs="Arial"/>
    </w:rPr>
  </w:style>
  <w:style w:type="character" w:styleId="FooterChar">
    <w:name w:val="Footer Char"/>
    <w:qFormat/>
    <w:rPr>
      <w:rFonts w:ascii="Arial" w:hAnsi="Arial" w:cs="Arial"/>
    </w:rPr>
  </w:style>
  <w:style w:type="character" w:styleId="Heading1Char">
    <w:name w:val="Heading 1 Char"/>
    <w:qFormat/>
    <w:rPr>
      <w:rFonts w:ascii="Arial" w:hAnsi="Arial" w:eastAsia="Times New Roman" w:cs="Times New Roman"/>
      <w:b/>
      <w:bCs/>
      <w:kern w:val="2"/>
      <w:sz w:val="32"/>
      <w:szCs w:val="32"/>
    </w:rPr>
  </w:style>
  <w:style w:type="character" w:styleId="TitleChar">
    <w:name w:val="Title Char"/>
    <w:qFormat/>
    <w:rPr>
      <w:rFonts w:ascii="Arial" w:hAnsi="Arial" w:cs="Arial"/>
      <w:sz w:val="39"/>
      <w:szCs w:val="39"/>
      <w:vertAlign w:val="subscript"/>
    </w:rPr>
  </w:style>
  <w:style w:type="character" w:styleId="Heading2Char">
    <w:name w:val="Heading 2 Char"/>
    <w:qFormat/>
    <w:rPr>
      <w:rFonts w:ascii="Arial" w:hAnsi="Arial" w:eastAsia="Times New Roman" w:cs="Times New Roman"/>
      <w:b/>
      <w:bCs/>
      <w:iCs/>
      <w:sz w:val="28"/>
      <w:szCs w:val="28"/>
    </w:rPr>
  </w:style>
  <w:style w:type="character" w:styleId="SubtitleChar">
    <w:name w:val="Subtitle Char"/>
    <w:qFormat/>
    <w:rPr>
      <w:rFonts w:ascii="Cambria" w:hAnsi="Cambria" w:eastAsia="Times New Roman" w:cs="Times New Roman"/>
      <w:sz w:val="24"/>
      <w:szCs w:val="24"/>
    </w:rPr>
  </w:style>
  <w:style w:type="character" w:styleId="Heading3Char">
    <w:name w:val="Heading 3 Char"/>
    <w:qFormat/>
    <w:rPr>
      <w:rFonts w:ascii="Cambria" w:hAnsi="Cambria" w:eastAsia="Times New Roman" w:cs="Times New Roman"/>
      <w:b/>
      <w:bCs/>
      <w:sz w:val="26"/>
      <w:szCs w:val="26"/>
    </w:rPr>
  </w:style>
  <w:style w:type="character" w:styleId="Heading4Char">
    <w:name w:val="Heading 4 Char"/>
    <w:qFormat/>
    <w:rPr>
      <w:b/>
      <w:bCs/>
      <w:sz w:val="28"/>
      <w:szCs w:val="28"/>
    </w:rPr>
  </w:style>
  <w:style w:type="character" w:styleId="Heading5Char">
    <w:name w:val="Heading 5 Char"/>
    <w:qFormat/>
    <w:rPr>
      <w:b/>
      <w:bCs/>
      <w:i/>
      <w:iCs/>
      <w:sz w:val="26"/>
      <w:szCs w:val="26"/>
    </w:rPr>
  </w:style>
  <w:style w:type="character" w:styleId="Heading6Char">
    <w:name w:val="Heading 6 Char"/>
    <w:qFormat/>
    <w:rPr>
      <w:b/>
      <w:bCs/>
    </w:rPr>
  </w:style>
  <w:style w:type="character" w:styleId="Heading7Char">
    <w:name w:val="Heading 7 Char"/>
    <w:qFormat/>
    <w:rPr>
      <w:sz w:val="24"/>
      <w:szCs w:val="24"/>
    </w:rPr>
  </w:style>
  <w:style w:type="character" w:styleId="Heading8Char">
    <w:name w:val="Heading 8 Char"/>
    <w:qFormat/>
    <w:rPr>
      <w:i/>
      <w:iCs/>
      <w:sz w:val="24"/>
      <w:szCs w:val="24"/>
    </w:rPr>
  </w:style>
  <w:style w:type="character" w:styleId="Heading9Char">
    <w:name w:val="Heading 9 Char"/>
    <w:qFormat/>
    <w:rPr>
      <w:rFonts w:ascii="Cambria" w:hAnsi="Cambria" w:eastAsia="Times New Roman" w:cs="Times New Roman"/>
    </w:rPr>
  </w:style>
  <w:style w:type="character" w:styleId="FootnoteTextChar">
    <w:name w:val="Footnote Text Char"/>
    <w:qFormat/>
    <w:rPr>
      <w:rFonts w:ascii="Arial" w:hAnsi="Arial" w:cs="Arial"/>
    </w:rPr>
  </w:style>
  <w:style w:type="character" w:styleId="FootnoteCharacters">
    <w:name w:val="Footnote Characters"/>
    <w:qFormat/>
    <w:rPr>
      <w:vertAlign w:val="superscript"/>
    </w:rPr>
  </w:style>
  <w:style w:type="character" w:styleId="Hyperlink">
    <w:name w:val="Hyperlink"/>
    <w:rPr>
      <w:color w:val="0563C1"/>
      <w:u w:val="single"/>
    </w:rPr>
  </w:style>
  <w:style w:type="character" w:styleId="MenoPendente">
    <w:name w:val="Menção Pendente"/>
    <w:qFormat/>
    <w:rPr>
      <w:color w:val="605E5C"/>
      <w:shd w:fill="E1DFDD" w:val="clear"/>
    </w:rPr>
  </w:style>
  <w:style w:type="character" w:styleId="Strong">
    <w:name w:val="Strong"/>
    <w:qFormat/>
    <w:rPr>
      <w:b/>
      <w:bCs/>
    </w:rPr>
  </w:style>
  <w:style w:type="paragraph" w:styleId="Heading">
    <w:name w:val="Heading"/>
    <w:basedOn w:val="Normal"/>
    <w:next w:val="Normal"/>
    <w:qFormat/>
    <w:pPr>
      <w:widowControl w:val="false"/>
      <w:autoSpaceDE w:val="false"/>
      <w:spacing w:lineRule="exact" w:line="447" w:before="0" w:after="0"/>
      <w:ind w:firstLine="720" w:start="2904" w:end="2884"/>
      <w:jc w:val="center"/>
    </w:pPr>
    <w:rPr>
      <w:rFonts w:cs="Arial"/>
      <w:position w:val="-1"/>
      <w:sz w:val="39"/>
      <w:szCs w:val="39"/>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252" w:leader="none"/>
        <w:tab w:val="right" w:pos="8504" w:leader="none"/>
      </w:tabs>
    </w:pPr>
    <w:rPr/>
  </w:style>
  <w:style w:type="paragraph" w:styleId="Footer">
    <w:name w:val="Footer"/>
    <w:basedOn w:val="Normal"/>
    <w:pPr>
      <w:tabs>
        <w:tab w:val="clear" w:pos="720"/>
        <w:tab w:val="center" w:pos="4252" w:leader="none"/>
        <w:tab w:val="right" w:pos="8504" w:leader="none"/>
      </w:tabs>
    </w:pPr>
    <w:rPr/>
  </w:style>
  <w:style w:type="paragraph" w:styleId="Subtitle">
    <w:name w:val="Subtitle"/>
    <w:basedOn w:val="Normal"/>
    <w:next w:val="Normal"/>
    <w:qFormat/>
    <w:pPr>
      <w:spacing w:before="0" w:after="60"/>
      <w:jc w:val="center"/>
      <w:outlineLvl w:val="1"/>
    </w:pPr>
    <w:rPr>
      <w:rFonts w:ascii="Cambria" w:hAnsi="Cambria" w:eastAsia="Times New Roman" w:cs="Times New Roman"/>
      <w:szCs w:val="24"/>
    </w:rPr>
  </w:style>
  <w:style w:type="paragraph" w:styleId="FootnoteText">
    <w:name w:val="Footnote Text"/>
    <w:basedOn w:val="Normal"/>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yperlink" Target="https://caeddigital.net/" TargetMode="External"/><Relationship Id="rId5" Type="http://schemas.openxmlformats.org/officeDocument/2006/relationships/header" Target="header2.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2026-07-28T20:52:00Z</dcterms:created>
  <dc:creator>Leandro Marino</dc:creator>
  <dc:description>DocumentCreationInfo</dc:description>
  <cp:keywords/>
  <dc:language>en-US</dc:language>
  <cp:lastModifiedBy>André Martins</cp:lastModifiedBy>
  <cp:lastPrinted>2013-09-13T15:20:00Z</cp:lastPrinted>
  <dcterms:modified xsi:type="dcterms:W3CDTF">2026-09-01T00:25:00Z</dcterms:modified>
  <cp:revision>5</cp:revision>
  <dc:subject/>
  <dc:title/>
</cp:coreProperties>
</file>