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F1DED" w14:textId="4AB60270" w:rsidR="00E83AB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right="-67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Rede de Estimação Cruzada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Um Paradigma de Inteligência Artificial para Calibração de Itens na Teoria de Resposta ao Item</w:t>
      </w:r>
      <w:r w:rsidR="009916A1">
        <w:rPr>
          <w:rStyle w:val="Refdenotaderodap"/>
          <w:rFonts w:ascii="Times New Roman" w:eastAsia="Times New Roman" w:hAnsi="Times New Roman" w:cs="Times New Roman"/>
          <w:sz w:val="28"/>
          <w:szCs w:val="28"/>
        </w:rPr>
        <w:footnoteReference w:id="1"/>
      </w:r>
    </w:p>
    <w:p w14:paraId="0FFBF553" w14:textId="77777777" w:rsidR="00E83AB1" w:rsidRDefault="00E83AB1"/>
    <w:p w14:paraId="4FFF3E07" w14:textId="21579508" w:rsidR="00E83AB1" w:rsidRDefault="00000000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</w:rPr>
        <w:t xml:space="preserve">Leandro Furtado de Santana </w:t>
      </w: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</w:rPr>
        <w:t xml:space="preserve">, Valcir João da Cunha Farias </w:t>
      </w:r>
      <w:r>
        <w:rPr>
          <w:rFonts w:ascii="Times New Roman" w:eastAsia="Times New Roman" w:hAnsi="Times New Roman" w:cs="Times New Roman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</w:rPr>
        <w:t>,</w:t>
      </w:r>
      <w:r w:rsidR="009C565A">
        <w:rPr>
          <w:rFonts w:ascii="Times New Roman" w:eastAsia="Times New Roman" w:hAnsi="Times New Roman" w:cs="Times New Roman"/>
        </w:rPr>
        <w:t xml:space="preserve"> Sérgio Silva Santos</w:t>
      </w:r>
      <w:r w:rsidR="009C565A" w:rsidRPr="009C565A">
        <w:rPr>
          <w:rFonts w:ascii="Times New Roman" w:eastAsia="Times New Roman" w:hAnsi="Times New Roman" w:cs="Times New Roman"/>
          <w:vertAlign w:val="superscript"/>
        </w:rPr>
        <w:t>3</w:t>
      </w:r>
      <w:r w:rsidR="009C565A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Heliton</w:t>
      </w:r>
      <w:proofErr w:type="spellEnd"/>
      <w:r>
        <w:rPr>
          <w:rFonts w:ascii="Times New Roman" w:eastAsia="Times New Roman" w:hAnsi="Times New Roman" w:cs="Times New Roman"/>
        </w:rPr>
        <w:t xml:space="preserve"> Ribeiro Tavares </w:t>
      </w:r>
      <w:r w:rsidR="009C565A">
        <w:rPr>
          <w:rFonts w:ascii="Times New Roman" w:eastAsia="Times New Roman" w:hAnsi="Times New Roman" w:cs="Times New Roman"/>
          <w:vertAlign w:val="superscript"/>
        </w:rPr>
        <w:t>4</w:t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</w:p>
    <w:p w14:paraId="0DFB7A52" w14:textId="77777777" w:rsidR="00E83AB1" w:rsidRDefault="00E83AB1">
      <w:pPr>
        <w:spacing w:after="0" w:line="360" w:lineRule="auto"/>
        <w:ind w:firstLine="0"/>
        <w:rPr>
          <w:rFonts w:ascii="Times New Roman" w:eastAsia="Times New Roman" w:hAnsi="Times New Roman" w:cs="Times New Roman"/>
          <w:vertAlign w:val="superscript"/>
        </w:rPr>
      </w:pPr>
    </w:p>
    <w:p w14:paraId="03906539" w14:textId="77777777" w:rsidR="00E83AB1" w:rsidRDefault="00000000">
      <w:pPr>
        <w:spacing w:after="0" w:line="360" w:lineRule="auto"/>
        <w:ind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PPGME</w:t>
      </w:r>
      <w:proofErr w:type="spellEnd"/>
      <w:r>
        <w:rPr>
          <w:rFonts w:ascii="Times New Roman" w:eastAsia="Times New Roman" w:hAnsi="Times New Roman" w:cs="Times New Roman"/>
        </w:rPr>
        <w:t xml:space="preserve">/UFPA. E-mail: </w:t>
      </w: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leafursan.ppgme@gmail.com</w:t>
        </w:r>
      </w:hyperlink>
    </w:p>
    <w:p w14:paraId="0E201435" w14:textId="2F287E9A" w:rsidR="009C565A" w:rsidRPr="009C565A" w:rsidRDefault="00000000">
      <w:pPr>
        <w:spacing w:after="0" w:line="360" w:lineRule="auto"/>
        <w:ind w:firstLine="0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PPGME</w:t>
      </w:r>
      <w:proofErr w:type="spellEnd"/>
      <w:r>
        <w:rPr>
          <w:rFonts w:ascii="Times New Roman" w:eastAsia="Times New Roman" w:hAnsi="Times New Roman" w:cs="Times New Roman"/>
        </w:rPr>
        <w:t xml:space="preserve">/UFPA. E-mail: </w:t>
      </w:r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valcir@ufpa.br</w:t>
        </w:r>
      </w:hyperlink>
    </w:p>
    <w:p w14:paraId="3027442A" w14:textId="272806E1" w:rsidR="009C565A" w:rsidRPr="009C565A" w:rsidRDefault="009C565A">
      <w:pPr>
        <w:spacing w:after="0" w:line="360" w:lineRule="auto"/>
        <w:ind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3 </w:t>
      </w:r>
      <w:proofErr w:type="spellStart"/>
      <w:r>
        <w:rPr>
          <w:rFonts w:ascii="Times New Roman" w:eastAsia="Times New Roman" w:hAnsi="Times New Roman" w:cs="Times New Roman"/>
        </w:rPr>
        <w:t>PPGME</w:t>
      </w:r>
      <w:proofErr w:type="spellEnd"/>
      <w:r>
        <w:rPr>
          <w:rFonts w:ascii="Times New Roman" w:eastAsia="Times New Roman" w:hAnsi="Times New Roman" w:cs="Times New Roman"/>
        </w:rPr>
        <w:t xml:space="preserve">/UFPA, E-mail: </w:t>
      </w:r>
      <w:hyperlink r:id="rId11" w:history="1">
        <w:r w:rsidRPr="006649B0">
          <w:rPr>
            <w:rStyle w:val="Hyperlink"/>
            <w:rFonts w:ascii="Times New Roman" w:eastAsia="Times New Roman" w:hAnsi="Times New Roman" w:cs="Times New Roman"/>
            <w:position w:val="0"/>
          </w:rPr>
          <w:t>sergiosilvasantos2612@gmail.com</w:t>
        </w:r>
      </w:hyperlink>
    </w:p>
    <w:p w14:paraId="534BDBC1" w14:textId="77777777" w:rsidR="00E83AB1" w:rsidRDefault="009C565A">
      <w:pPr>
        <w:spacing w:after="0" w:line="360" w:lineRule="auto"/>
        <w:ind w:firstLine="0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  <w:vertAlign w:val="superscript"/>
        </w:rPr>
        <w:t>4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PPGME</w:t>
      </w:r>
      <w:proofErr w:type="spellEnd"/>
      <w:r>
        <w:rPr>
          <w:rFonts w:ascii="Times New Roman" w:eastAsia="Times New Roman" w:hAnsi="Times New Roman" w:cs="Times New Roman"/>
        </w:rPr>
        <w:t xml:space="preserve">/UFPA. E-mail: </w:t>
      </w:r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heliton@ufpa.br</w:t>
        </w:r>
      </w:hyperlink>
    </w:p>
    <w:p w14:paraId="790AC41C" w14:textId="77777777" w:rsidR="009916A1" w:rsidRPr="009916A1" w:rsidRDefault="009916A1">
      <w:pPr>
        <w:spacing w:after="0" w:line="360" w:lineRule="auto"/>
        <w:ind w:firstLine="0"/>
        <w:rPr>
          <w:rFonts w:ascii="Times New Roman" w:eastAsia="Times New Roman" w:hAnsi="Times New Roman" w:cs="Times New Roman"/>
          <w:u w:val="single"/>
        </w:rPr>
      </w:pPr>
    </w:p>
    <w:p w14:paraId="5AFB2F3A" w14:textId="3F8D98E3" w:rsidR="009916A1" w:rsidRPr="009916A1" w:rsidRDefault="009916A1">
      <w:pPr>
        <w:spacing w:after="0" w:line="360" w:lineRule="auto"/>
        <w:ind w:firstLine="0"/>
        <w:rPr>
          <w:rFonts w:ascii="Times New Roman" w:eastAsia="Times New Roman" w:hAnsi="Times New Roman" w:cs="Times New Roman"/>
        </w:rPr>
        <w:sectPr w:rsidR="009916A1" w:rsidRPr="009916A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559" w:right="1678" w:bottom="277" w:left="1661" w:header="720" w:footer="720" w:gutter="0"/>
          <w:pgNumType w:start="1"/>
          <w:cols w:space="720"/>
        </w:sectPr>
      </w:pPr>
    </w:p>
    <w:p w14:paraId="714FB356" w14:textId="77777777" w:rsidR="00E83AB1" w:rsidRDefault="00E83AB1">
      <w:pPr>
        <w:widowControl w:val="0"/>
        <w:spacing w:before="7" w:after="0"/>
        <w:ind w:firstLine="0"/>
        <w:rPr>
          <w:rFonts w:ascii="Times New Roman" w:eastAsia="Times New Roman" w:hAnsi="Times New Roman" w:cs="Times New Roman"/>
        </w:rPr>
      </w:pPr>
    </w:p>
    <w:p w14:paraId="199FE055" w14:textId="77777777" w:rsidR="00E83AB1" w:rsidRDefault="00000000">
      <w:pPr>
        <w:ind w:firstLine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Resumo</w:t>
      </w:r>
    </w:p>
    <w:p w14:paraId="256DDA8C" w14:textId="77777777" w:rsidR="00E83AB1" w:rsidRDefault="00000000">
      <w:pPr>
        <w:tabs>
          <w:tab w:val="left" w:pos="8080"/>
        </w:tabs>
        <w:ind w:left="426" w:right="358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calibração precisa de parâmetros e a estimação de habilidades na Teoria de Resposta ao Item (TRI) enfrentam limitações em métodos tradicionais, como alta carga computacional. Este trabalho apresenta a Rede de Estimação Cruzada (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), um paradigma baseado em redes neurais artificiais que estima simultaneamente parâmetros de pessoas e itens no modelo de dois parâmetros. 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possui duas </w:t>
      </w:r>
      <w:proofErr w:type="spellStart"/>
      <w:r>
        <w:rPr>
          <w:rFonts w:ascii="Times New Roman" w:eastAsia="Times New Roman" w:hAnsi="Times New Roman" w:cs="Times New Roman"/>
        </w:rPr>
        <w:t>sub-redes</w:t>
      </w:r>
      <w:proofErr w:type="spellEnd"/>
      <w:r>
        <w:rPr>
          <w:rFonts w:ascii="Times New Roman" w:eastAsia="Times New Roman" w:hAnsi="Times New Roman" w:cs="Times New Roman"/>
        </w:rPr>
        <w:t>: Pessoa (</w:t>
      </w:r>
      <w:proofErr w:type="spellStart"/>
      <w:r>
        <w:rPr>
          <w:rFonts w:ascii="Times New Roman" w:eastAsia="Times New Roman" w:hAnsi="Times New Roman" w:cs="Times New Roman"/>
        </w:rPr>
        <w:t>PN</w:t>
      </w:r>
      <w:proofErr w:type="spellEnd"/>
      <w:r>
        <w:rPr>
          <w:rFonts w:ascii="Times New Roman" w:eastAsia="Times New Roman" w:hAnsi="Times New Roman" w:cs="Times New Roman"/>
        </w:rPr>
        <w:t xml:space="preserve">) e Item (IN). Com dados simulados com 500 respondentes e 60 itens, 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foi avaliada com dados para treino e teste. Os resultados mostraram excelente recuperação nos dados de treino (</w:t>
      </w:r>
      <w:proofErr w:type="spellStart"/>
      <w:r>
        <w:rPr>
          <w:rFonts w:ascii="Times New Roman" w:eastAsia="Times New Roman" w:hAnsi="Times New Roman" w:cs="Times New Roman"/>
        </w:rPr>
        <w:t>MSE</w:t>
      </w:r>
      <w:proofErr w:type="spellEnd"/>
      <w:r>
        <w:rPr>
          <w:rFonts w:ascii="Times New Roman" w:eastAsia="Times New Roman" w:hAnsi="Times New Roman" w:cs="Times New Roman"/>
        </w:rPr>
        <w:t xml:space="preserve">: z=0,0971; a=0,0383; b=0,0480) e demonstraram capacidade de generalização para novos dados teste sem </w:t>
      </w:r>
      <w:proofErr w:type="spellStart"/>
      <w:r>
        <w:rPr>
          <w:rFonts w:ascii="Times New Roman" w:eastAsia="Times New Roman" w:hAnsi="Times New Roman" w:cs="Times New Roman"/>
        </w:rPr>
        <w:t>re-treino</w:t>
      </w:r>
      <w:proofErr w:type="spellEnd"/>
      <w:r>
        <w:rPr>
          <w:rFonts w:ascii="Times New Roman" w:eastAsia="Times New Roman" w:hAnsi="Times New Roman" w:cs="Times New Roman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constitui uma ponte promissora entre inteligência artificial e psicometria, superando limitações computacionais e de suposições dos métodos clássicos.</w:t>
      </w:r>
    </w:p>
    <w:p w14:paraId="0265F325" w14:textId="77777777" w:rsidR="00E83AB1" w:rsidRDefault="00E83AB1">
      <w:pPr>
        <w:widowControl w:val="0"/>
        <w:spacing w:after="0"/>
        <w:rPr>
          <w:rFonts w:ascii="Times New Roman" w:eastAsia="Times New Roman" w:hAnsi="Times New Roman" w:cs="Times New Roman"/>
        </w:rPr>
      </w:pPr>
    </w:p>
    <w:p w14:paraId="1C2D9475" w14:textId="77777777" w:rsidR="00E83AB1" w:rsidRDefault="00000000">
      <w:pPr>
        <w:widowControl w:val="0"/>
        <w:spacing w:after="0"/>
        <w:ind w:firstLine="426"/>
        <w:rPr>
          <w:rFonts w:ascii="Times New Roman" w:eastAsia="Times New Roman" w:hAnsi="Times New Roman" w:cs="Times New Roman"/>
        </w:rPr>
        <w:sectPr w:rsidR="00E83AB1">
          <w:type w:val="continuous"/>
          <w:pgSz w:w="11920" w:h="16840"/>
          <w:pgMar w:top="1560" w:right="1680" w:bottom="280" w:left="1660" w:header="720" w:footer="720" w:gutter="0"/>
          <w:cols w:space="720"/>
        </w:sectPr>
      </w:pPr>
      <w:r>
        <w:rPr>
          <w:rFonts w:ascii="Times New Roman" w:eastAsia="Times New Roman" w:hAnsi="Times New Roman" w:cs="Times New Roman"/>
        </w:rPr>
        <w:t>Palavras-chave: Inteligência Artificial; Redes Neurais; Teoria de Resposta ao Item; Calibração de Itens; Estimação de Parâmetros; Modelo 2PL.</w:t>
      </w:r>
    </w:p>
    <w:p w14:paraId="1BA500F5" w14:textId="77777777" w:rsidR="00E83AB1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Introdução</w:t>
      </w:r>
    </w:p>
    <w:p w14:paraId="2422872E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Teoria de Resposta ao Item (TRI) tem se consolidado como um dos principais arcabouços teóricos para a modelagem de dados provenientes de testes educacionais e psicológicos. Os modelos da TRI assumem que a probabilidade de um respondente acertar um item é função de sua habilidade latente e das características do item, como dificuldade e discriminação. Essa relação é expressa matematicamente e, para sua aplicação prática, requer a estimação precisa dos parâmetros envolvidos.</w:t>
      </w:r>
    </w:p>
    <w:p w14:paraId="5BA8B0D2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estimação de parâmetros na TRI é um desafio central. Métodos tradicionais como a Estimação de Máxima Verossimilhança Conjunta (</w:t>
      </w:r>
      <w:proofErr w:type="spellStart"/>
      <w:r>
        <w:rPr>
          <w:rFonts w:ascii="Times New Roman" w:eastAsia="Times New Roman" w:hAnsi="Times New Roman" w:cs="Times New Roman"/>
        </w:rPr>
        <w:t>JMLE</w:t>
      </w:r>
      <w:proofErr w:type="spellEnd"/>
      <w:r>
        <w:rPr>
          <w:rFonts w:ascii="Times New Roman" w:eastAsia="Times New Roman" w:hAnsi="Times New Roman" w:cs="Times New Roman"/>
        </w:rPr>
        <w:t>), a Estimação de Máxima Verossimilhança Marginal (</w:t>
      </w:r>
      <w:proofErr w:type="spellStart"/>
      <w:r>
        <w:rPr>
          <w:rFonts w:ascii="Times New Roman" w:eastAsia="Times New Roman" w:hAnsi="Times New Roman" w:cs="Times New Roman"/>
        </w:rPr>
        <w:t>MMLE</w:t>
      </w:r>
      <w:proofErr w:type="spellEnd"/>
      <w:r>
        <w:rPr>
          <w:rFonts w:ascii="Times New Roman" w:eastAsia="Times New Roman" w:hAnsi="Times New Roman" w:cs="Times New Roman"/>
        </w:rPr>
        <w:t>) combinada com o algoritmo EM (</w:t>
      </w:r>
      <w:proofErr w:type="spellStart"/>
      <w:r>
        <w:rPr>
          <w:rFonts w:ascii="Times New Roman" w:eastAsia="Times New Roman" w:hAnsi="Times New Roman" w:cs="Times New Roman"/>
        </w:rPr>
        <w:t>MMLE</w:t>
      </w:r>
      <w:proofErr w:type="spellEnd"/>
      <w:r>
        <w:rPr>
          <w:rFonts w:ascii="Times New Roman" w:eastAsia="Times New Roman" w:hAnsi="Times New Roman" w:cs="Times New Roman"/>
        </w:rPr>
        <w:t>-EM), e métodos Bayesianos via Cadeias de Markov Monte Carlo (</w:t>
      </w:r>
      <w:proofErr w:type="spellStart"/>
      <w:r>
        <w:rPr>
          <w:rFonts w:ascii="Times New Roman" w:eastAsia="Times New Roman" w:hAnsi="Times New Roman" w:cs="Times New Roman"/>
        </w:rPr>
        <w:t>MCMC</w:t>
      </w:r>
      <w:proofErr w:type="spellEnd"/>
      <w:r>
        <w:rPr>
          <w:rFonts w:ascii="Times New Roman" w:eastAsia="Times New Roman" w:hAnsi="Times New Roman" w:cs="Times New Roman"/>
        </w:rPr>
        <w:t xml:space="preserve">) têm sido amplamente utilizados. Embora eficazes, esses métodos apresentam limitações significativas. O </w:t>
      </w:r>
      <w:proofErr w:type="spellStart"/>
      <w:r>
        <w:rPr>
          <w:rFonts w:ascii="Times New Roman" w:eastAsia="Times New Roman" w:hAnsi="Times New Roman" w:cs="Times New Roman"/>
        </w:rPr>
        <w:t>MMLE</w:t>
      </w:r>
      <w:proofErr w:type="spellEnd"/>
      <w:r>
        <w:rPr>
          <w:rFonts w:ascii="Times New Roman" w:eastAsia="Times New Roman" w:hAnsi="Times New Roman" w:cs="Times New Roman"/>
        </w:rPr>
        <w:t xml:space="preserve">-EM, por exemplo, pode ser computacionalmente intensivo e requer múltiplas integrações numéricas, especialmente em modelos multidimensionais. O </w:t>
      </w:r>
      <w:proofErr w:type="spellStart"/>
      <w:r>
        <w:rPr>
          <w:rFonts w:ascii="Times New Roman" w:eastAsia="Times New Roman" w:hAnsi="Times New Roman" w:cs="Times New Roman"/>
        </w:rPr>
        <w:t>MCMC</w:t>
      </w:r>
      <w:proofErr w:type="spellEnd"/>
      <w:r>
        <w:rPr>
          <w:rFonts w:ascii="Times New Roman" w:eastAsia="Times New Roman" w:hAnsi="Times New Roman" w:cs="Times New Roman"/>
        </w:rPr>
        <w:t>, embora flexível, pode ser ineficiente computacionalmente.</w:t>
      </w:r>
    </w:p>
    <w:p w14:paraId="71946292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Nos últimos anos, as Redes Neurais Artificiais (</w:t>
      </w:r>
      <w:proofErr w:type="spellStart"/>
      <w:r>
        <w:rPr>
          <w:rFonts w:ascii="Times New Roman" w:eastAsia="Times New Roman" w:hAnsi="Times New Roman" w:cs="Times New Roman"/>
        </w:rPr>
        <w:t>RNAs</w:t>
      </w:r>
      <w:proofErr w:type="spellEnd"/>
      <w:r>
        <w:rPr>
          <w:rFonts w:ascii="Times New Roman" w:eastAsia="Times New Roman" w:hAnsi="Times New Roman" w:cs="Times New Roman"/>
        </w:rPr>
        <w:t>) têm emergido como ferramentas poderosas para a aproximação de funções e modelagem de relações complexas em dados (</w:t>
      </w:r>
      <w:proofErr w:type="spellStart"/>
      <w:r>
        <w:rPr>
          <w:rFonts w:ascii="Times New Roman" w:eastAsia="Times New Roman" w:hAnsi="Times New Roman" w:cs="Times New Roman"/>
        </w:rPr>
        <w:t>Abiodun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Et al.</w:t>
      </w:r>
      <w:r>
        <w:rPr>
          <w:rFonts w:ascii="Times New Roman" w:eastAsia="Times New Roman" w:hAnsi="Times New Roman" w:cs="Times New Roman"/>
        </w:rPr>
        <w:t xml:space="preserve">, 2018). Sua capacidade de </w:t>
      </w:r>
      <w:proofErr w:type="spellStart"/>
      <w:r>
        <w:rPr>
          <w:rFonts w:ascii="Times New Roman" w:eastAsia="Times New Roman" w:hAnsi="Times New Roman" w:cs="Times New Roman"/>
        </w:rPr>
        <w:t>auto-aprendizado</w:t>
      </w:r>
      <w:proofErr w:type="spellEnd"/>
      <w:r>
        <w:rPr>
          <w:rFonts w:ascii="Times New Roman" w:eastAsia="Times New Roman" w:hAnsi="Times New Roman" w:cs="Times New Roman"/>
        </w:rPr>
        <w:t xml:space="preserve">, adaptabilidade e modelagem de não-linearidades as tornam candidatas promissoras para superar algumas das limitações dos métodos tradicionais de estimação na TRI. Estudos recentes têm explorado a aplicação de </w:t>
      </w:r>
      <w:proofErr w:type="spellStart"/>
      <w:r>
        <w:rPr>
          <w:rFonts w:ascii="Times New Roman" w:eastAsia="Times New Roman" w:hAnsi="Times New Roman" w:cs="Times New Roman"/>
        </w:rPr>
        <w:t>RNAs</w:t>
      </w:r>
      <w:proofErr w:type="spellEnd"/>
      <w:r>
        <w:rPr>
          <w:rFonts w:ascii="Times New Roman" w:eastAsia="Times New Roman" w:hAnsi="Times New Roman" w:cs="Times New Roman"/>
        </w:rPr>
        <w:t xml:space="preserve"> na estimação de parâmetros, como o uso de </w:t>
      </w:r>
      <w:proofErr w:type="spellStart"/>
      <w:r>
        <w:rPr>
          <w:rFonts w:ascii="Times New Roman" w:eastAsia="Times New Roman" w:hAnsi="Times New Roman" w:cs="Times New Roman"/>
        </w:rPr>
        <w:t>autoencoders</w:t>
      </w:r>
      <w:proofErr w:type="spellEnd"/>
      <w:r>
        <w:rPr>
          <w:rFonts w:ascii="Times New Roman" w:eastAsia="Times New Roman" w:hAnsi="Times New Roman" w:cs="Times New Roman"/>
        </w:rPr>
        <w:t xml:space="preserve"> variacionais (</w:t>
      </w:r>
      <w:proofErr w:type="spellStart"/>
      <w:r>
        <w:rPr>
          <w:rFonts w:ascii="Times New Roman" w:eastAsia="Times New Roman" w:hAnsi="Times New Roman" w:cs="Times New Roman"/>
        </w:rPr>
        <w:t>Urban</w:t>
      </w:r>
      <w:proofErr w:type="spellEnd"/>
      <w:r>
        <w:rPr>
          <w:rFonts w:ascii="Times New Roman" w:eastAsia="Times New Roman" w:hAnsi="Times New Roman" w:cs="Times New Roman"/>
        </w:rPr>
        <w:t xml:space="preserve">; Bauer, 2021) e o </w:t>
      </w:r>
      <w:proofErr w:type="spellStart"/>
      <w:r>
        <w:rPr>
          <w:rFonts w:ascii="Times New Roman" w:eastAsia="Times New Roman" w:hAnsi="Times New Roman" w:cs="Times New Roman"/>
        </w:rPr>
        <w:t>Deep-IRT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Tsutsumi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Et al.</w:t>
      </w:r>
      <w:r>
        <w:rPr>
          <w:rFonts w:ascii="Times New Roman" w:eastAsia="Times New Roman" w:hAnsi="Times New Roman" w:cs="Times New Roman"/>
        </w:rPr>
        <w:t>, 2021). No entanto, esses paradigmas ainda apresentam limitações, como a incapacidade de estimar parâmetros para novos itens ou a necessidade de rótulos conhecidos durante o treinamento.</w:t>
      </w:r>
    </w:p>
    <w:p w14:paraId="649665A9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Zhang e Chen (2024) propuseram um novo paradigma chamado Rede de Estimação Cruzada (Cross </w:t>
      </w:r>
      <w:proofErr w:type="spellStart"/>
      <w:r>
        <w:rPr>
          <w:rFonts w:ascii="Times New Roman" w:eastAsia="Times New Roman" w:hAnsi="Times New Roman" w:cs="Times New Roman"/>
        </w:rPr>
        <w:t>Estimation</w:t>
      </w:r>
      <w:proofErr w:type="spellEnd"/>
      <w:r>
        <w:rPr>
          <w:rFonts w:ascii="Times New Roman" w:eastAsia="Times New Roman" w:hAnsi="Times New Roman" w:cs="Times New Roman"/>
        </w:rPr>
        <w:t xml:space="preserve"> Network -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) que supera essas limitações. 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é composta por duas </w:t>
      </w:r>
      <w:proofErr w:type="spellStart"/>
      <w:r>
        <w:rPr>
          <w:rFonts w:ascii="Times New Roman" w:eastAsia="Times New Roman" w:hAnsi="Times New Roman" w:cs="Times New Roman"/>
        </w:rPr>
        <w:t>sub-redes</w:t>
      </w:r>
      <w:proofErr w:type="spellEnd"/>
      <w:r>
        <w:rPr>
          <w:rFonts w:ascii="Times New Roman" w:eastAsia="Times New Roman" w:hAnsi="Times New Roman" w:cs="Times New Roman"/>
        </w:rPr>
        <w:t>: a Rede da Pessoa (</w:t>
      </w:r>
      <w:proofErr w:type="spellStart"/>
      <w:r>
        <w:rPr>
          <w:rFonts w:ascii="Times New Roman" w:eastAsia="Times New Roman" w:hAnsi="Times New Roman" w:cs="Times New Roman"/>
        </w:rPr>
        <w:t>PN</w:t>
      </w:r>
      <w:proofErr w:type="spellEnd"/>
      <w:r>
        <w:rPr>
          <w:rFonts w:ascii="Times New Roman" w:eastAsia="Times New Roman" w:hAnsi="Times New Roman" w:cs="Times New Roman"/>
        </w:rPr>
        <w:t xml:space="preserve">), que estima a habilidade de um respondente a partir de seu padrão de respostas, e a Rede do Item (IN), que estima a discriminação e dificuldade de um item a partir do padrão de respostas a esse item. </w:t>
      </w:r>
    </w:p>
    <w:p w14:paraId="78C6F083" w14:textId="77777777" w:rsidR="00E83AB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Este trabalho tem como objetivo implementar e avaliar o paradigma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utilizando dados simulados, demonstrando seu potencial como ferramenta para calibração de itens e estimação de parâmetros na TRI.</w:t>
      </w:r>
    </w:p>
    <w:p w14:paraId="0305D5EB" w14:textId="77777777" w:rsidR="00E83AB1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Metodologia</w:t>
      </w:r>
    </w:p>
    <w:p w14:paraId="11EC4375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2.1 Geração de Dados Simulados</w:t>
      </w:r>
    </w:p>
    <w:p w14:paraId="2FE4A3FE" w14:textId="77777777" w:rsidR="00E83AB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Os dados foram gerados utilizando o modelo logístico de dois parâmetros (2PL), que é o foco do estudo original da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>. Seguindo a metodologia do artigo original, os parâmetros verdadeiros foram sorteados das seguintes distribuições: Habilidades (</w:t>
      </w:r>
      <w:r>
        <w:rPr>
          <w:rFonts w:ascii="Times New Roman" w:eastAsia="Times New Roman" w:hAnsi="Times New Roman" w:cs="Times New Roman"/>
          <w:i/>
          <w:iCs/>
        </w:rPr>
        <w:t>z</w:t>
      </w:r>
      <w:r>
        <w:rPr>
          <w:rFonts w:ascii="Times New Roman" w:eastAsia="Times New Roman" w:hAnsi="Times New Roman" w:cs="Times New Roman"/>
        </w:rPr>
        <w:t xml:space="preserve">) com Distribuição normal padrão </w:t>
      </w:r>
      <w:r>
        <w:rPr>
          <w:rFonts w:ascii="Times New Roman" w:eastAsia="Times New Roman" w:hAnsi="Times New Roman" w:cs="Times New Roman"/>
          <w:i/>
          <w:iCs/>
        </w:rPr>
        <w:t>N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  <w:iCs/>
        </w:rPr>
        <w:t>0,1</w:t>
      </w:r>
      <w:r>
        <w:rPr>
          <w:rFonts w:ascii="Times New Roman" w:eastAsia="Times New Roman" w:hAnsi="Times New Roman" w:cs="Times New Roman"/>
        </w:rPr>
        <w:t>); Dificuldades (</w:t>
      </w:r>
      <w:r>
        <w:rPr>
          <w:rFonts w:ascii="Times New Roman" w:eastAsia="Times New Roman" w:hAnsi="Times New Roman" w:cs="Times New Roman"/>
          <w:i/>
          <w:iCs/>
        </w:rPr>
        <w:t>b</w:t>
      </w:r>
      <w:r>
        <w:rPr>
          <w:rFonts w:ascii="Times New Roman" w:eastAsia="Times New Roman" w:hAnsi="Times New Roman" w:cs="Times New Roman"/>
        </w:rPr>
        <w:t xml:space="preserve">) com distribuição normal padrão </w:t>
      </w:r>
      <w:r>
        <w:rPr>
          <w:rFonts w:ascii="Times New Roman" w:eastAsia="Times New Roman" w:hAnsi="Times New Roman" w:cs="Times New Roman"/>
          <w:i/>
          <w:iCs/>
        </w:rPr>
        <w:t>N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  <w:iCs/>
        </w:rPr>
        <w:t>0,1</w:t>
      </w:r>
      <w:r>
        <w:rPr>
          <w:rFonts w:ascii="Times New Roman" w:eastAsia="Times New Roman" w:hAnsi="Times New Roman" w:cs="Times New Roman"/>
        </w:rPr>
        <w:t>); Discriminações (</w:t>
      </w:r>
      <w:r>
        <w:rPr>
          <w:rFonts w:ascii="Times New Roman" w:eastAsia="Times New Roman" w:hAnsi="Times New Roman" w:cs="Times New Roman"/>
          <w:i/>
          <w:iCs/>
        </w:rPr>
        <w:t>a</w:t>
      </w:r>
      <w:r>
        <w:rPr>
          <w:rFonts w:ascii="Times New Roman" w:eastAsia="Times New Roman" w:hAnsi="Times New Roman" w:cs="Times New Roman"/>
        </w:rPr>
        <w:t xml:space="preserve">) com distribuição uniforme </w:t>
      </w:r>
      <w:r>
        <w:rPr>
          <w:rFonts w:ascii="Times New Roman" w:eastAsia="Times New Roman" w:hAnsi="Times New Roman" w:cs="Times New Roman"/>
          <w:i/>
          <w:iCs/>
        </w:rPr>
        <w:t>U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i/>
          <w:iCs/>
        </w:rPr>
        <w:t>0.2,2</w:t>
      </w:r>
      <w:r>
        <w:rPr>
          <w:rFonts w:ascii="Times New Roman" w:eastAsia="Times New Roman" w:hAnsi="Times New Roman" w:cs="Times New Roman"/>
        </w:rPr>
        <w:t>). Para este estudo, adotamos um cenário de tamanho moderado: N = 500 respondentes e M = 60 itens. Este cenário é uma das nove combinações utilizadas no estudo original e permite uma avaliação equilibrada do desempenho do método. A geração dos dados foi implementada em Python, onde para cada par pessoa-item, a probabilidade de acerto foi calculada e, em seguida, uma resposta binária (0 ou 1) foi sorteada de uma distribuição Bernoulli.</w:t>
      </w:r>
    </w:p>
    <w:p w14:paraId="71741280" w14:textId="77777777" w:rsidR="00E83AB1" w:rsidRDefault="00000000">
      <w:pPr>
        <w:ind w:firstLine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2.2 Arquitetura da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CEN</w:t>
      </w:r>
      <w:proofErr w:type="spellEnd"/>
    </w:p>
    <w:p w14:paraId="0CF6A06E" w14:textId="01A02236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é composta por três componentes principais integrados de forma coerente. A Rede da Pessoa (</w:t>
      </w:r>
      <w:proofErr w:type="spellStart"/>
      <w:r>
        <w:rPr>
          <w:rFonts w:ascii="Times New Roman" w:eastAsia="Times New Roman" w:hAnsi="Times New Roman" w:cs="Times New Roman"/>
        </w:rPr>
        <w:t>PN</w:t>
      </w:r>
      <w:proofErr w:type="spellEnd"/>
      <w:r>
        <w:rPr>
          <w:rFonts w:ascii="Times New Roman" w:eastAsia="Times New Roman" w:hAnsi="Times New Roman" w:cs="Times New Roman"/>
        </w:rPr>
        <w:t xml:space="preserve">) processa o padrão de respostas individuais, representado por cada linha da matriz de respostas, e estima a habilidade </w:t>
      </w:r>
      <m:oMath>
        <m:r>
          <w:rPr>
            <w:rFonts w:ascii="Times New Roman" w:eastAsia="Times New Roman" w:hAnsi="Times New Roman" w:cs="Times New Roman"/>
          </w:rPr>
          <m:t>(z)</m:t>
        </m:r>
      </m:oMath>
      <w:r>
        <w:rPr>
          <w:rFonts w:ascii="Times New Roman" w:eastAsia="Times New Roman" w:hAnsi="Times New Roman" w:cs="Times New Roman"/>
        </w:rPr>
        <w:t xml:space="preserve"> do respondente. Trata-se de uma rede neural </w:t>
      </w:r>
      <w:proofErr w:type="spellStart"/>
      <w:r>
        <w:rPr>
          <w:rFonts w:ascii="Times New Roman" w:eastAsia="Times New Roman" w:hAnsi="Times New Roman" w:cs="Times New Roman"/>
        </w:rPr>
        <w:t>feedforward</w:t>
      </w:r>
      <w:proofErr w:type="spellEnd"/>
      <w:r>
        <w:rPr>
          <w:rFonts w:ascii="Times New Roman" w:eastAsia="Times New Roman" w:hAnsi="Times New Roman" w:cs="Times New Roman"/>
        </w:rPr>
        <w:t xml:space="preserve"> com uma camada oculta cujo tamanho é definido como </w:t>
      </w:r>
      <m:oMath>
        <m:r>
          <w:rPr>
            <w:rFonts w:ascii="Times New Roman" w:eastAsia="Times New Roman" w:hAnsi="Times New Roman" w:cs="Times New Roman"/>
          </w:rPr>
          <m:t>ceil(M/2)</m:t>
        </m:r>
        <m:r>
          <w:rPr>
            <w:rStyle w:val="Refdenotaderodap"/>
            <w:rFonts w:ascii="Cambria Math" w:eastAsia="Times New Roman" w:hAnsi="Times New Roman" w:cs="Times New Roman"/>
            <w:i/>
          </w:rPr>
          <w:footnoteReference w:id="2"/>
        </m:r>
      </m:oMath>
      <w:r>
        <w:rPr>
          <w:rFonts w:ascii="Times New Roman" w:eastAsia="Times New Roman" w:hAnsi="Times New Roman" w:cs="Times New Roman"/>
        </w:rPr>
        <w:t xml:space="preserve">, onde </w:t>
      </w:r>
      <m:oMath>
        <m:r>
          <w:rPr>
            <w:rFonts w:ascii="Times New Roman" w:eastAsia="Times New Roman" w:hAnsi="Times New Roman" w:cs="Times New Roman"/>
          </w:rPr>
          <m:t>M</m:t>
        </m:r>
      </m:oMath>
      <w:r>
        <w:rPr>
          <w:rFonts w:ascii="Times New Roman" w:eastAsia="Times New Roman" w:hAnsi="Times New Roman" w:cs="Times New Roman"/>
        </w:rPr>
        <w:t xml:space="preserve"> é o número de itens, utilizando ativação sigmoide para introduzir não-linearidade, seguida por uma camada de saída linear. Adicionalmente, uma camada de Batch Normalization é aplicada à saída para padronizar a escala de z, contornando o problema clássico de indeterminação de escala inerente à TRI.</w:t>
      </w:r>
    </w:p>
    <w:p w14:paraId="6C754D09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Rede do Item </w:t>
      </w:r>
      <m:oMath>
        <m:r>
          <w:rPr>
            <w:rFonts w:ascii="Times New Roman" w:eastAsia="Times New Roman" w:hAnsi="Times New Roman" w:cs="Times New Roman"/>
          </w:rPr>
          <m:t>(IN)</m:t>
        </m:r>
      </m:oMath>
      <w:r>
        <w:rPr>
          <w:rFonts w:ascii="Times New Roman" w:eastAsia="Times New Roman" w:hAnsi="Times New Roman" w:cs="Times New Roman"/>
        </w:rPr>
        <w:t xml:space="preserve">, por sua vez, processa o padrão de respostas a cada item, correspondente às colunas da matriz, estimando os parâmetros de discriminação </w:t>
      </w:r>
      <m:oMath>
        <m:r>
          <w:rPr>
            <w:rFonts w:ascii="Times New Roman" w:eastAsia="Times New Roman" w:hAnsi="Times New Roman" w:cs="Times New Roman"/>
          </w:rPr>
          <m:t>(a)</m:t>
        </m:r>
      </m:oMath>
      <w:r>
        <w:rPr>
          <w:rFonts w:ascii="Times New Roman" w:eastAsia="Times New Roman" w:hAnsi="Times New Roman" w:cs="Times New Roman"/>
        </w:rPr>
        <w:t xml:space="preserve"> e dificuldade </w:t>
      </w:r>
      <m:oMath>
        <m:r>
          <w:rPr>
            <w:rFonts w:ascii="Times New Roman" w:eastAsia="Times New Roman" w:hAnsi="Times New Roman" w:cs="Times New Roman"/>
          </w:rPr>
          <m:t>(b)</m:t>
        </m:r>
      </m:oMath>
      <w:r>
        <w:rPr>
          <w:rFonts w:ascii="Times New Roman" w:eastAsia="Times New Roman" w:hAnsi="Times New Roman" w:cs="Times New Roman"/>
        </w:rPr>
        <w:t xml:space="preserve">. Sua arquitetura também é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feedforward</w:t>
      </w:r>
      <w:proofErr w:type="spellEnd"/>
      <w:r>
        <w:rPr>
          <w:rFonts w:ascii="Times New Roman" w:eastAsia="Times New Roman" w:hAnsi="Times New Roman" w:cs="Times New Roman"/>
        </w:rPr>
        <w:t xml:space="preserve">, com camada oculta de tamanho </w:t>
      </w:r>
      <m:oMath>
        <m:r>
          <w:rPr>
            <w:rFonts w:ascii="Times New Roman" w:eastAsia="Times New Roman" w:hAnsi="Times New Roman" w:cs="Times New Roman"/>
          </w:rPr>
          <m:t>ceil(N/2)</m:t>
        </m:r>
      </m:oMath>
      <w:r>
        <w:rPr>
          <w:rFonts w:ascii="Times New Roman" w:eastAsia="Times New Roman" w:hAnsi="Times New Roman" w:cs="Times New Roman"/>
        </w:rPr>
        <w:t xml:space="preserve"> – sendo </w:t>
      </w:r>
      <m:oMath>
        <m:r>
          <w:rPr>
            <w:rFonts w:ascii="Times New Roman" w:eastAsia="Times New Roman" w:hAnsi="Times New Roman" w:cs="Times New Roman"/>
          </w:rPr>
          <m:t>N</m:t>
        </m:r>
      </m:oMath>
      <w:r>
        <w:rPr>
          <w:rFonts w:ascii="Times New Roman" w:eastAsia="Times New Roman" w:hAnsi="Times New Roman" w:cs="Times New Roman"/>
        </w:rPr>
        <w:t xml:space="preserve"> o número de respondentes – e ativação sigmoide, culminando em uma camada de saída com dois nós lineares responsáveis por a e b. Por fim, a camada TRI combina as saídas da </w:t>
      </w:r>
      <m:oMath>
        <m:r>
          <w:rPr>
            <w:rFonts w:ascii="Times New Roman" w:eastAsia="Times New Roman" w:hAnsi="Times New Roman" w:cs="Times New Roman"/>
          </w:rPr>
          <m:t>PN</m:t>
        </m:r>
      </m:oMath>
      <w:r>
        <w:rPr>
          <w:rFonts w:ascii="Times New Roman" w:eastAsia="Times New Roman" w:hAnsi="Times New Roman" w:cs="Times New Roman"/>
        </w:rPr>
        <w:t xml:space="preserve"> e da </w:t>
      </w:r>
      <m:oMath>
        <m:r>
          <w:rPr>
            <w:rFonts w:ascii="Times New Roman" w:eastAsia="Times New Roman" w:hAnsi="Times New Roman" w:cs="Times New Roman"/>
          </w:rPr>
          <m:t>IN</m:t>
        </m:r>
      </m:oMath>
      <w:r>
        <w:rPr>
          <w:rFonts w:ascii="Times New Roman" w:eastAsia="Times New Roman" w:hAnsi="Times New Roman" w:cs="Times New Roman"/>
        </w:rPr>
        <w:t xml:space="preserve"> – </w:t>
      </w:r>
      <m:oMath>
        <m:r>
          <w:rPr>
            <w:rFonts w:ascii="Times New Roman" w:eastAsia="Times New Roman" w:hAnsi="Times New Roman" w:cs="Times New Roman"/>
          </w:rPr>
          <m:t>z, a</m:t>
        </m:r>
      </m:oMath>
      <w:r>
        <w:rPr>
          <w:rFonts w:ascii="Times New Roman" w:eastAsia="Times New Roman" w:hAnsi="Times New Roman" w:cs="Times New Roman"/>
        </w:rPr>
        <w:t xml:space="preserve"> e </w:t>
      </w:r>
      <m:oMath>
        <m:r>
          <w:rPr>
            <w:rFonts w:ascii="Times New Roman" w:eastAsia="Times New Roman" w:hAnsi="Times New Roman" w:cs="Times New Roman"/>
          </w:rPr>
          <m:t>b</m:t>
        </m:r>
      </m:oMath>
      <w:r>
        <w:rPr>
          <w:rFonts w:ascii="Times New Roman" w:eastAsia="Times New Roman" w:hAnsi="Times New Roman" w:cs="Times New Roman"/>
        </w:rPr>
        <w:t xml:space="preserve"> – para calcular a probabilidade de acerto segundo o modelo 2PL. Essa camada não possui parâmetros treináveis, atuando exclusivamente para conferir interpretabilidade psicométrica às estimativas geradas pelas sub-redes.</w:t>
      </w:r>
    </w:p>
    <w:p w14:paraId="6B19517F" w14:textId="77777777" w:rsidR="00E83AB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 entrada da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é uma matriz bidimensional formada pela linha da pessoa e pela coluna do item. Para cada elemento </w:t>
      </w:r>
      <m:oMath>
        <m:sSub>
          <m:sSubPr>
            <m:ctrlPr>
              <w:rPr>
                <w:rFonts w:ascii="Times New Roman" w:eastAsia="Times New Roman" w:hAnsi="Times New Roman" w:cs="Times New Roman"/>
              </w:rPr>
            </m:ctrlPr>
          </m:sSubPr>
          <m:e>
            <m:r>
              <w:rPr>
                <w:rFonts w:ascii="Times New Roman" w:eastAsia="Times New Roman" w:hAnsi="Times New Roman" w:cs="Times New Roman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</w:rPr>
              <m:t>ij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da matriz de respostas, a entrada é o par </w:t>
      </w:r>
      <m:oMath>
        <m:r>
          <w:rPr>
            <w:rFonts w:ascii="Times New Roman" w:eastAsia="Times New Roman" w:hAnsi="Times New Roman" w:cs="Times New Roman"/>
          </w:rPr>
          <m:t>(linh</m:t>
        </m:r>
        <m:sSub>
          <m:sSubPr>
            <m:ctrlPr>
              <w:rPr>
                <w:rFonts w:ascii="Times New Roman" w:eastAsia="Times New Roman" w:hAnsi="Times New Roman" w:cs="Times New Roman"/>
              </w:rPr>
            </m:ctrlPr>
          </m:sSubPr>
          <m:e>
            <m:r>
              <w:rPr>
                <w:rFonts w:ascii="Times New Roman" w:eastAsia="Times New Roman" w:hAnsi="Times New Roman" w:cs="Times New Roman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</w:rPr>
          <m:t>, colun</m:t>
        </m:r>
        <m:sSub>
          <m:sSubPr>
            <m:ctrlPr>
              <w:rPr>
                <w:rFonts w:ascii="Times New Roman" w:eastAsia="Times New Roman" w:hAnsi="Times New Roman" w:cs="Times New Roman"/>
              </w:rPr>
            </m:ctrlPr>
          </m:sSubPr>
          <m:e>
            <m:r>
              <w:rPr>
                <w:rFonts w:ascii="Times New Roman" w:eastAsia="Times New Roman" w:hAnsi="Times New Roman" w:cs="Times New Roman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</w:rPr>
              <m:t>j</m:t>
            </m:r>
          </m:sub>
        </m:sSub>
        <m:r>
          <w:rPr>
            <w:rFonts w:ascii="Times New Roman" w:eastAsia="Times New Roman" w:hAnsi="Times New Roman" w:cs="Times New Roman"/>
          </w:rPr>
          <m:t>)</m:t>
        </m:r>
      </m:oMath>
      <w:r>
        <w:rPr>
          <w:rFonts w:ascii="Times New Roman" w:eastAsia="Times New Roman" w:hAnsi="Times New Roman" w:cs="Times New Roman"/>
        </w:rPr>
        <w:t xml:space="preserve">, e o rótulo é o próprio </w:t>
      </w:r>
      <m:oMath>
        <m:sSub>
          <m:sSubPr>
            <m:ctrlPr>
              <w:rPr>
                <w:rFonts w:ascii="Times New Roman" w:eastAsia="Times New Roman" w:hAnsi="Times New Roman" w:cs="Times New Roman"/>
              </w:rPr>
            </m:ctrlPr>
          </m:sSubPr>
          <m:e>
            <m:r>
              <w:rPr>
                <w:rFonts w:ascii="Times New Roman" w:eastAsia="Times New Roman" w:hAnsi="Times New Roman" w:cs="Times New Roman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</w:rPr>
              <m:t>ij</m:t>
            </m:r>
          </m:sub>
        </m:sSub>
      </m:oMath>
      <w:r>
        <w:rPr>
          <w:rFonts w:ascii="Times New Roman" w:eastAsia="Times New Roman" w:hAnsi="Times New Roman" w:cs="Times New Roman"/>
        </w:rPr>
        <w:t>.</w:t>
      </w:r>
    </w:p>
    <w:p w14:paraId="45585F76" w14:textId="77777777" w:rsidR="00E83AB1" w:rsidRDefault="00000000">
      <w:pPr>
        <w:ind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2.3 Implementação e Treinamento e Avaliação de Desempenho</w:t>
      </w:r>
    </w:p>
    <w:p w14:paraId="6A53021D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implementação da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foi realizada em Python, utilizando a biblioteca </w:t>
      </w:r>
      <w:proofErr w:type="spellStart"/>
      <w:r w:rsidRPr="00C173EC">
        <w:rPr>
          <w:rFonts w:ascii="Times New Roman" w:eastAsia="Times New Roman" w:hAnsi="Times New Roman" w:cs="Times New Roman"/>
          <w:i/>
          <w:iCs/>
        </w:rPr>
        <w:t>TensorFlow</w:t>
      </w:r>
      <w:proofErr w:type="spellEnd"/>
      <w:r>
        <w:rPr>
          <w:rFonts w:ascii="Times New Roman" w:eastAsia="Times New Roman" w:hAnsi="Times New Roman" w:cs="Times New Roman"/>
        </w:rPr>
        <w:t>. Seguindo as recomendações de Zhang e Chen (2024), adotamos a versão CEN_1H_NL (uma camada oculta com não-linearidade), que demonstrou bom desempenho nos experimentos originais. Deste modo, os dados foram preparados na forma matricial, resultando em 30.000 pares de entradas (500 respondentes × 60 itens). O conjunto de dados foi dividido em treino (80%) e validação (20%). Os parâmetros de treinamento foram configurados seguindo as recomendações do artigo original.</w:t>
      </w:r>
    </w:p>
    <w:p w14:paraId="0D8500FC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avaliação do desempenho da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foi conduzida em duas tarefas distintas. Na primeira, denominada </w:t>
      </w:r>
      <w:proofErr w:type="spellStart"/>
      <w:r>
        <w:rPr>
          <w:rFonts w:ascii="Times New Roman" w:eastAsia="Times New Roman" w:hAnsi="Times New Roman" w:cs="Times New Roman"/>
        </w:rPr>
        <w:t>EvalTrain</w:t>
      </w:r>
      <w:proofErr w:type="spellEnd"/>
      <w:r>
        <w:rPr>
          <w:rFonts w:ascii="Times New Roman" w:eastAsia="Times New Roman" w:hAnsi="Times New Roman" w:cs="Times New Roman"/>
        </w:rPr>
        <w:t xml:space="preserve">, avaliou-se o ajuste do modelo aos dados de treino, procedimento análogo à estimação tradicional de parâmetros na TRI. Nessa tarefa, a Rede da Pessoa </w:t>
      </w:r>
      <m:oMath>
        <m:r>
          <w:rPr>
            <w:rFonts w:ascii="Times New Roman" w:eastAsia="Times New Roman" w:hAnsi="Times New Roman" w:cs="Times New Roman"/>
          </w:rPr>
          <m:t>(PN)</m:t>
        </m:r>
      </m:oMath>
      <w:r>
        <w:rPr>
          <w:rFonts w:ascii="Times New Roman" w:eastAsia="Times New Roman" w:hAnsi="Times New Roman" w:cs="Times New Roman"/>
        </w:rPr>
        <w:t xml:space="preserve"> e a Rede do Item </w:t>
      </w:r>
      <m:oMath>
        <m:r>
          <w:rPr>
            <w:rFonts w:ascii="Times New Roman" w:eastAsia="Times New Roman" w:hAnsi="Times New Roman" w:cs="Times New Roman"/>
          </w:rPr>
          <m:t>(IN)</m:t>
        </m:r>
      </m:oMath>
      <w:r>
        <w:rPr>
          <w:rFonts w:ascii="Times New Roman" w:eastAsia="Times New Roman" w:hAnsi="Times New Roman" w:cs="Times New Roman"/>
        </w:rPr>
        <w:t xml:space="preserve"> são aplicadas diretamente à matriz de respostas original utilizada no treinamento, estimando os parâmetros de habilidade, discriminação e dificuldade para os mesmos dados que serviram de base para o aprendizado da rede.</w:t>
      </w:r>
    </w:p>
    <w:p w14:paraId="42836CFB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 segunda tarefa, chamada </w:t>
      </w:r>
      <w:proofErr w:type="spellStart"/>
      <w:r>
        <w:rPr>
          <w:rFonts w:ascii="Times New Roman" w:eastAsia="Times New Roman" w:hAnsi="Times New Roman" w:cs="Times New Roman"/>
        </w:rPr>
        <w:t>EvalTest</w:t>
      </w:r>
      <w:proofErr w:type="spellEnd"/>
      <w:r>
        <w:rPr>
          <w:rFonts w:ascii="Times New Roman" w:eastAsia="Times New Roman" w:hAnsi="Times New Roman" w:cs="Times New Roman"/>
        </w:rPr>
        <w:t xml:space="preserve">, investigou-se a capacidade de generalização das redes treinadas, ou seja, sua habilidade em estimar parâmetros para novos dados sem qualquer </w:t>
      </w:r>
      <w:proofErr w:type="spellStart"/>
      <w:r>
        <w:rPr>
          <w:rFonts w:ascii="Times New Roman" w:eastAsia="Times New Roman" w:hAnsi="Times New Roman" w:cs="Times New Roman"/>
        </w:rPr>
        <w:t>re-treino</w:t>
      </w:r>
      <w:proofErr w:type="spellEnd"/>
      <w:r>
        <w:rPr>
          <w:rFonts w:ascii="Times New Roman" w:eastAsia="Times New Roman" w:hAnsi="Times New Roman" w:cs="Times New Roman"/>
        </w:rPr>
        <w:t xml:space="preserve"> ou iterações adicionais. Para tanto, gerou-se um novo conjunto de dados com as mesmas características da amostra original – 500 respondentes e 60 itens. As redes </w:t>
      </w:r>
      <m:oMath>
        <m:r>
          <w:rPr>
            <w:rFonts w:ascii="Times New Roman" w:eastAsia="Times New Roman" w:hAnsi="Times New Roman" w:cs="Times New Roman"/>
          </w:rPr>
          <m:t>PN</m:t>
        </m:r>
      </m:oMath>
      <w:r>
        <w:rPr>
          <w:rFonts w:ascii="Times New Roman" w:eastAsia="Times New Roman" w:hAnsi="Times New Roman" w:cs="Times New Roman"/>
        </w:rPr>
        <w:t xml:space="preserve"> e </w:t>
      </w:r>
      <m:oMath>
        <m:r>
          <w:rPr>
            <w:rFonts w:ascii="Times New Roman" w:eastAsia="Times New Roman" w:hAnsi="Times New Roman" w:cs="Times New Roman"/>
          </w:rPr>
          <m:t>IN</m:t>
        </m:r>
      </m:oMath>
      <w:r>
        <w:rPr>
          <w:rFonts w:ascii="Times New Roman" w:eastAsia="Times New Roman" w:hAnsi="Times New Roman" w:cs="Times New Roman"/>
        </w:rPr>
        <w:t xml:space="preserve"> já treinadas foram então aplicadas diretamente a esses dados inéditos. As métricas de avaliação utilizadas foram o Erro Quadrático Médio (MSE) e o Viés (Bias).</w:t>
      </w:r>
    </w:p>
    <w:p w14:paraId="46F8C42E" w14:textId="77777777" w:rsidR="00E83AB1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Resultados</w:t>
      </w:r>
    </w:p>
    <w:p w14:paraId="508B013C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3.2 Recuperação de Parâmetros - Treino</w:t>
      </w:r>
    </w:p>
    <w:p w14:paraId="7FBB438B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1 apresenta os resultados da recuperação de parâmetros na tarefa </w:t>
      </w:r>
      <w:proofErr w:type="spellStart"/>
      <w:r>
        <w:rPr>
          <w:rFonts w:ascii="Times New Roman" w:eastAsia="Times New Roman" w:hAnsi="Times New Roman" w:cs="Times New Roman"/>
        </w:rPr>
        <w:t>EvalTrain</w:t>
      </w:r>
      <w:proofErr w:type="spellEnd"/>
      <w:r>
        <w:rPr>
          <w:rFonts w:ascii="Times New Roman" w:eastAsia="Times New Roman" w:hAnsi="Times New Roman" w:cs="Times New Roman"/>
        </w:rPr>
        <w:t xml:space="preserve">. Os três parâmetros apresentaram </w:t>
      </w:r>
      <w:proofErr w:type="spellStart"/>
      <w:r>
        <w:rPr>
          <w:rFonts w:ascii="Times New Roman" w:eastAsia="Times New Roman" w:hAnsi="Times New Roman" w:cs="Times New Roman"/>
        </w:rPr>
        <w:t>MSE</w:t>
      </w:r>
      <w:proofErr w:type="spellEnd"/>
      <w:r>
        <w:rPr>
          <w:rFonts w:ascii="Times New Roman" w:eastAsia="Times New Roman" w:hAnsi="Times New Roman" w:cs="Times New Roman"/>
        </w:rPr>
        <w:t xml:space="preserve"> baixo e Bias próximo de zero, indicando uma excelente recuperação.</w:t>
      </w:r>
    </w:p>
    <w:p w14:paraId="4E1B2926" w14:textId="77777777" w:rsidR="00E83AB1" w:rsidRDefault="00000000">
      <w:pPr>
        <w:keepNext/>
        <w:spacing w:after="0"/>
        <w:ind w:firstLine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Tabela 1: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Métricas de recuperação de parâmetros - Treino.</w:t>
      </w:r>
    </w:p>
    <w:tbl>
      <w:tblPr>
        <w:tblStyle w:val="a1"/>
        <w:tblW w:w="3873" w:type="dxa"/>
        <w:jc w:val="center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0"/>
        <w:gridCol w:w="1035"/>
        <w:gridCol w:w="1068"/>
      </w:tblGrid>
      <w:tr w:rsidR="00E83AB1" w14:paraId="0CE7CD7F" w14:textId="77777777">
        <w:trPr>
          <w:trHeight w:val="340"/>
          <w:jc w:val="center"/>
        </w:trPr>
        <w:tc>
          <w:tcPr>
            <w:tcW w:w="1770" w:type="dxa"/>
            <w:tcBorders>
              <w:bottom w:val="single" w:sz="4" w:space="0" w:color="000000"/>
            </w:tcBorders>
            <w:vAlign w:val="center"/>
          </w:tcPr>
          <w:p w14:paraId="0306882D" w14:textId="77777777" w:rsidR="00E83AB1" w:rsidRDefault="00000000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Parâmetros</w:t>
            </w:r>
          </w:p>
        </w:tc>
        <w:tc>
          <w:tcPr>
            <w:tcW w:w="1035" w:type="dxa"/>
            <w:tcBorders>
              <w:bottom w:val="single" w:sz="4" w:space="0" w:color="000000"/>
            </w:tcBorders>
            <w:vAlign w:val="center"/>
          </w:tcPr>
          <w:p w14:paraId="2CA2D302" w14:textId="77777777" w:rsidR="00E83AB1" w:rsidRDefault="00000000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MSE</w:t>
            </w:r>
            <w:proofErr w:type="spellEnd"/>
          </w:p>
        </w:tc>
        <w:tc>
          <w:tcPr>
            <w:tcW w:w="1068" w:type="dxa"/>
            <w:tcBorders>
              <w:bottom w:val="single" w:sz="4" w:space="0" w:color="000000"/>
            </w:tcBorders>
            <w:vAlign w:val="center"/>
          </w:tcPr>
          <w:p w14:paraId="7D85B117" w14:textId="77777777" w:rsidR="00E83AB1" w:rsidRDefault="00000000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Bias</w:t>
            </w:r>
          </w:p>
        </w:tc>
      </w:tr>
      <w:tr w:rsidR="00E83AB1" w14:paraId="5D230647" w14:textId="77777777">
        <w:trPr>
          <w:trHeight w:val="340"/>
          <w:jc w:val="center"/>
        </w:trPr>
        <w:tc>
          <w:tcPr>
            <w:tcW w:w="1770" w:type="dxa"/>
            <w:tcBorders>
              <w:bottom w:val="nil"/>
            </w:tcBorders>
            <w:vAlign w:val="center"/>
          </w:tcPr>
          <w:p w14:paraId="33C34AA4" w14:textId="77777777" w:rsidR="00E83AB1" w:rsidRDefault="00000000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Habilidade </w:t>
            </w:r>
            <m:oMath>
              <m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m:t>(z)</m:t>
              </m:r>
            </m:oMath>
          </w:p>
        </w:tc>
        <w:tc>
          <w:tcPr>
            <w:tcW w:w="1035" w:type="dxa"/>
            <w:tcBorders>
              <w:bottom w:val="nil"/>
            </w:tcBorders>
            <w:vAlign w:val="center"/>
          </w:tcPr>
          <w:p w14:paraId="661356AF" w14:textId="77777777" w:rsidR="00E83AB1" w:rsidRDefault="00000000">
            <w:pPr>
              <w:widowControl w:val="0"/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0.0917</w:t>
            </w:r>
          </w:p>
        </w:tc>
        <w:tc>
          <w:tcPr>
            <w:tcW w:w="1068" w:type="dxa"/>
            <w:tcBorders>
              <w:bottom w:val="nil"/>
            </w:tcBorders>
            <w:vAlign w:val="center"/>
          </w:tcPr>
          <w:p w14:paraId="0EF16100" w14:textId="77777777" w:rsidR="00E83AB1" w:rsidRDefault="00000000">
            <w:pPr>
              <w:widowControl w:val="0"/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- 0.0585</w:t>
            </w:r>
          </w:p>
        </w:tc>
      </w:tr>
      <w:tr w:rsidR="00E83AB1" w14:paraId="7DB088AC" w14:textId="77777777">
        <w:trPr>
          <w:trHeight w:val="340"/>
          <w:jc w:val="center"/>
        </w:trPr>
        <w:tc>
          <w:tcPr>
            <w:tcW w:w="1770" w:type="dxa"/>
            <w:tcBorders>
              <w:top w:val="nil"/>
              <w:bottom w:val="nil"/>
            </w:tcBorders>
            <w:vAlign w:val="center"/>
          </w:tcPr>
          <w:p w14:paraId="23B4C45C" w14:textId="77777777" w:rsidR="00E83AB1" w:rsidRDefault="00000000">
            <w:pPr>
              <w:widowControl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Discriminação </w:t>
            </w:r>
            <m:oMath>
              <m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m:t>(a)</m:t>
              </m:r>
            </m:oMath>
          </w:p>
        </w:tc>
        <w:tc>
          <w:tcPr>
            <w:tcW w:w="1035" w:type="dxa"/>
            <w:tcBorders>
              <w:top w:val="nil"/>
              <w:bottom w:val="nil"/>
            </w:tcBorders>
            <w:vAlign w:val="center"/>
          </w:tcPr>
          <w:p w14:paraId="68DDCCD8" w14:textId="77777777" w:rsidR="00E83AB1" w:rsidRDefault="00000000">
            <w:pPr>
              <w:widowControl w:val="0"/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0.0383</w:t>
            </w:r>
          </w:p>
        </w:tc>
        <w:tc>
          <w:tcPr>
            <w:tcW w:w="1068" w:type="dxa"/>
            <w:tcBorders>
              <w:top w:val="nil"/>
              <w:bottom w:val="nil"/>
            </w:tcBorders>
            <w:vAlign w:val="center"/>
          </w:tcPr>
          <w:p w14:paraId="200868FE" w14:textId="77777777" w:rsidR="00E83AB1" w:rsidRDefault="00000000">
            <w:pPr>
              <w:widowControl w:val="0"/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0.0101</w:t>
            </w:r>
          </w:p>
        </w:tc>
      </w:tr>
      <w:tr w:rsidR="00E83AB1" w14:paraId="7C377214" w14:textId="77777777">
        <w:trPr>
          <w:trHeight w:val="340"/>
          <w:jc w:val="center"/>
        </w:trPr>
        <w:tc>
          <w:tcPr>
            <w:tcW w:w="1770" w:type="dxa"/>
            <w:tcBorders>
              <w:top w:val="nil"/>
            </w:tcBorders>
            <w:vAlign w:val="center"/>
          </w:tcPr>
          <w:p w14:paraId="78783BB9" w14:textId="77777777" w:rsidR="00E83AB1" w:rsidRDefault="00000000">
            <w:pPr>
              <w:widowControl w:val="0"/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Dificuldade </w:t>
            </w:r>
            <m:oMath>
              <m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m:t>(b)</m:t>
              </m:r>
            </m:oMath>
          </w:p>
        </w:tc>
        <w:tc>
          <w:tcPr>
            <w:tcW w:w="1035" w:type="dxa"/>
            <w:tcBorders>
              <w:top w:val="nil"/>
            </w:tcBorders>
            <w:vAlign w:val="center"/>
          </w:tcPr>
          <w:p w14:paraId="3798112F" w14:textId="77777777" w:rsidR="00E83AB1" w:rsidRDefault="00000000">
            <w:pPr>
              <w:widowControl w:val="0"/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0.0480</w:t>
            </w:r>
          </w:p>
        </w:tc>
        <w:tc>
          <w:tcPr>
            <w:tcW w:w="1068" w:type="dxa"/>
            <w:tcBorders>
              <w:top w:val="nil"/>
            </w:tcBorders>
            <w:vAlign w:val="center"/>
          </w:tcPr>
          <w:p w14:paraId="5FD7FDFB" w14:textId="77777777" w:rsidR="00E83AB1" w:rsidRDefault="00000000">
            <w:pPr>
              <w:widowControl w:val="0"/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- 0.1055</w:t>
            </w:r>
          </w:p>
        </w:tc>
      </w:tr>
    </w:tbl>
    <w:p w14:paraId="762058AE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 Figura 1 apresenta os gráficos de dispersão comparando os valores verdadeiros e estimados para cada parâmetro. A proximidade dos pontos à linha diagonal </w:t>
      </w:r>
      <m:oMath>
        <m:r>
          <w:rPr>
            <w:rFonts w:ascii="Times New Roman" w:eastAsia="Times New Roman" w:hAnsi="Times New Roman" w:cs="Times New Roman"/>
          </w:rPr>
          <m:t>(y=x)</m:t>
        </m:r>
      </m:oMath>
      <w:r>
        <w:rPr>
          <w:rFonts w:ascii="Times New Roman" w:eastAsia="Times New Roman" w:hAnsi="Times New Roman" w:cs="Times New Roman"/>
        </w:rPr>
        <w:t xml:space="preserve"> confirma a qualidade da recuperação.</w:t>
      </w:r>
    </w:p>
    <w:p w14:paraId="51F70F4F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Figura 1: Recuperação de parâmetros para (A) Habilidade (z), (B) Discriminação (a) e (C) Dificuldade (b).</w:t>
      </w:r>
    </w:p>
    <w:p w14:paraId="0E132C88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E36A3E3" wp14:editId="413A3779">
            <wp:extent cx="1849966" cy="1435795"/>
            <wp:effectExtent l="0" t="0" r="0" b="0"/>
            <wp:docPr id="10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966" cy="1435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16EE81B" wp14:editId="46CB5B21">
            <wp:extent cx="1875600" cy="1452777"/>
            <wp:effectExtent l="0" t="0" r="0" b="0"/>
            <wp:docPr id="103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5600" cy="1452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273DCA1" wp14:editId="31E3C596">
            <wp:extent cx="1839600" cy="1443040"/>
            <wp:effectExtent l="0" t="0" r="0" b="0"/>
            <wp:docPr id="103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144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0274A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A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B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C</w:t>
      </w:r>
    </w:p>
    <w:p w14:paraId="6B0FF91A" w14:textId="77777777" w:rsidR="00E83A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0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3.3 Recuperação de Parâmetros - Teste</w:t>
      </w:r>
    </w:p>
    <w:p w14:paraId="5ED455A0" w14:textId="77777777" w:rsidR="00E83AB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Tabela 2 apresenta os resultados da recuperação de parâmetros na tarefa </w:t>
      </w:r>
      <w:proofErr w:type="spellStart"/>
      <w:r>
        <w:rPr>
          <w:rFonts w:ascii="Times New Roman" w:eastAsia="Times New Roman" w:hAnsi="Times New Roman" w:cs="Times New Roman"/>
        </w:rPr>
        <w:t>EvalTest</w:t>
      </w:r>
      <w:proofErr w:type="spellEnd"/>
      <w:r>
        <w:rPr>
          <w:rFonts w:ascii="Times New Roman" w:eastAsia="Times New Roman" w:hAnsi="Times New Roman" w:cs="Times New Roman"/>
        </w:rPr>
        <w:t xml:space="preserve">. Conforme esperado, os </w:t>
      </w:r>
      <w:proofErr w:type="spellStart"/>
      <w:r>
        <w:rPr>
          <w:rFonts w:ascii="Times New Roman" w:eastAsia="Times New Roman" w:hAnsi="Times New Roman" w:cs="Times New Roman"/>
        </w:rPr>
        <w:t>MSEs</w:t>
      </w:r>
      <w:proofErr w:type="spellEnd"/>
      <w:r>
        <w:rPr>
          <w:rFonts w:ascii="Times New Roman" w:eastAsia="Times New Roman" w:hAnsi="Times New Roman" w:cs="Times New Roman"/>
        </w:rPr>
        <w:t xml:space="preserve"> são maiores que na tarefa </w:t>
      </w:r>
      <w:proofErr w:type="spellStart"/>
      <w:r>
        <w:rPr>
          <w:rFonts w:ascii="Times New Roman" w:eastAsia="Times New Roman" w:hAnsi="Times New Roman" w:cs="Times New Roman"/>
        </w:rPr>
        <w:t>EvalTrain</w:t>
      </w:r>
      <w:proofErr w:type="spellEnd"/>
      <w:r>
        <w:rPr>
          <w:rFonts w:ascii="Times New Roman" w:eastAsia="Times New Roman" w:hAnsi="Times New Roman" w:cs="Times New Roman"/>
        </w:rPr>
        <w:t xml:space="preserve">, pois a rede está generalizando para novos dados. Ainda assim, os resultados demonstram a capacidade da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de estimar parâmetros para novos dados sem necessidade de </w:t>
      </w:r>
      <w:proofErr w:type="spellStart"/>
      <w:r>
        <w:rPr>
          <w:rFonts w:ascii="Times New Roman" w:eastAsia="Times New Roman" w:hAnsi="Times New Roman" w:cs="Times New Roman"/>
        </w:rPr>
        <w:t>re-treino</w:t>
      </w:r>
      <w:proofErr w:type="spellEnd"/>
      <w:r>
        <w:rPr>
          <w:rFonts w:ascii="Times New Roman" w:eastAsia="Times New Roman" w:hAnsi="Times New Roman" w:cs="Times New Roman"/>
        </w:rPr>
        <w:t>, atuando como um verdadeiro “agente inteligente”.</w:t>
      </w:r>
    </w:p>
    <w:p w14:paraId="12E5CCA5" w14:textId="77777777" w:rsidR="00E83AB1" w:rsidRDefault="00000000">
      <w:pPr>
        <w:keepNext/>
        <w:spacing w:after="0"/>
        <w:ind w:firstLine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Tabela 2: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Métricas de recuperação de parâmetros - Teste.</w:t>
      </w:r>
    </w:p>
    <w:sdt>
      <w:sdtPr>
        <w:tag w:val="goog_rdk_0"/>
        <w:id w:val="1077514638"/>
        <w:lock w:val="contentLocked"/>
      </w:sdtPr>
      <w:sdtContent>
        <w:tbl>
          <w:tblPr>
            <w:tblStyle w:val="a2"/>
            <w:tblW w:w="3765" w:type="dxa"/>
            <w:jc w:val="center"/>
            <w:tblInd w:w="0" w:type="dxa"/>
            <w:tblBorders>
              <w:top w:val="single" w:sz="4" w:space="0" w:color="000000"/>
              <w:left w:val="nil"/>
              <w:bottom w:val="single" w:sz="4" w:space="0" w:color="000000"/>
              <w:right w:val="nil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771"/>
            <w:gridCol w:w="1029"/>
            <w:gridCol w:w="965"/>
          </w:tblGrid>
          <w:tr w:rsidR="00E83AB1" w14:paraId="6A9645F3" w14:textId="77777777">
            <w:trPr>
              <w:trHeight w:val="340"/>
              <w:jc w:val="center"/>
            </w:trPr>
            <w:tc>
              <w:tcPr>
                <w:tcW w:w="1771" w:type="dxa"/>
                <w:tcBorders>
                  <w:bottom w:val="single" w:sz="4" w:space="0" w:color="000000"/>
                </w:tcBorders>
                <w:vAlign w:val="center"/>
              </w:tcPr>
              <w:p w14:paraId="14E8908A" w14:textId="77777777" w:rsidR="00E83AB1" w:rsidRDefault="00000000">
                <w:pPr>
                  <w:spacing w:after="0"/>
                  <w:ind w:firstLine="0"/>
                  <w:jc w:val="left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Parâmetros</w:t>
                </w:r>
              </w:p>
            </w:tc>
            <w:tc>
              <w:tcPr>
                <w:tcW w:w="1029" w:type="dxa"/>
                <w:tcBorders>
                  <w:bottom w:val="single" w:sz="4" w:space="0" w:color="000000"/>
                </w:tcBorders>
                <w:vAlign w:val="center"/>
              </w:tcPr>
              <w:p w14:paraId="38FDB342" w14:textId="77777777" w:rsidR="00E83AB1" w:rsidRDefault="00000000">
                <w:pPr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MSE</w:t>
                </w:r>
              </w:p>
            </w:tc>
            <w:tc>
              <w:tcPr>
                <w:tcW w:w="965" w:type="dxa"/>
                <w:tcBorders>
                  <w:bottom w:val="single" w:sz="4" w:space="0" w:color="000000"/>
                </w:tcBorders>
                <w:vAlign w:val="center"/>
              </w:tcPr>
              <w:p w14:paraId="77D2BC7F" w14:textId="77777777" w:rsidR="00E83AB1" w:rsidRDefault="00000000">
                <w:pPr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Bias</w:t>
                </w:r>
              </w:p>
            </w:tc>
          </w:tr>
          <w:tr w:rsidR="00E83AB1" w14:paraId="0A08F429" w14:textId="77777777">
            <w:trPr>
              <w:trHeight w:val="340"/>
              <w:jc w:val="center"/>
            </w:trPr>
            <w:tc>
              <w:tcPr>
                <w:tcW w:w="1771" w:type="dxa"/>
                <w:tcBorders>
                  <w:bottom w:val="nil"/>
                </w:tcBorders>
                <w:vAlign w:val="center"/>
              </w:tcPr>
              <w:p w14:paraId="2206782F" w14:textId="77777777" w:rsidR="00E83AB1" w:rsidRDefault="00000000">
                <w:pPr>
                  <w:spacing w:after="0"/>
                  <w:ind w:firstLine="0"/>
                  <w:jc w:val="left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 xml:space="preserve">Habilidade </w:t>
                </w:r>
                <m:oMath>
                  <m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m:t>(z)</m:t>
                  </m:r>
                </m:oMath>
              </w:p>
            </w:tc>
            <w:tc>
              <w:tcPr>
                <w:tcW w:w="1029" w:type="dxa"/>
                <w:tcBorders>
                  <w:bottom w:val="nil"/>
                </w:tcBorders>
                <w:vAlign w:val="center"/>
              </w:tcPr>
              <w:p w14:paraId="6D3D750B" w14:textId="77777777" w:rsidR="00E83AB1" w:rsidRDefault="00000000">
                <w:pPr>
                  <w:widowControl w:val="0"/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0.1115</w:t>
                </w:r>
              </w:p>
            </w:tc>
            <w:tc>
              <w:tcPr>
                <w:tcW w:w="965" w:type="dxa"/>
                <w:tcBorders>
                  <w:bottom w:val="nil"/>
                </w:tcBorders>
                <w:vAlign w:val="center"/>
              </w:tcPr>
              <w:p w14:paraId="69C01C42" w14:textId="77777777" w:rsidR="00E83AB1" w:rsidRDefault="00000000">
                <w:pPr>
                  <w:widowControl w:val="0"/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0.0876</w:t>
                </w:r>
              </w:p>
            </w:tc>
          </w:tr>
          <w:tr w:rsidR="00E83AB1" w14:paraId="35026240" w14:textId="77777777">
            <w:trPr>
              <w:trHeight w:val="340"/>
              <w:jc w:val="center"/>
            </w:trPr>
            <w:tc>
              <w:tcPr>
                <w:tcW w:w="1771" w:type="dxa"/>
                <w:tcBorders>
                  <w:top w:val="nil"/>
                  <w:bottom w:val="nil"/>
                </w:tcBorders>
                <w:vAlign w:val="center"/>
              </w:tcPr>
              <w:p w14:paraId="148B76C1" w14:textId="77777777" w:rsidR="00E83AB1" w:rsidRDefault="00000000">
                <w:pPr>
                  <w:widowControl w:val="0"/>
                  <w:spacing w:after="0"/>
                  <w:ind w:firstLine="0"/>
                  <w:jc w:val="left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 xml:space="preserve">Discriminação </w:t>
                </w:r>
                <m:oMath>
                  <m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m:t>(a)</m:t>
                  </m:r>
                </m:oMath>
              </w:p>
            </w:tc>
            <w:tc>
              <w:tcPr>
                <w:tcW w:w="1029" w:type="dxa"/>
                <w:tcBorders>
                  <w:top w:val="nil"/>
                  <w:bottom w:val="nil"/>
                </w:tcBorders>
                <w:vAlign w:val="center"/>
              </w:tcPr>
              <w:p w14:paraId="455783E2" w14:textId="77777777" w:rsidR="00E83AB1" w:rsidRDefault="00000000">
                <w:pPr>
                  <w:widowControl w:val="0"/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0.3967</w:t>
                </w:r>
              </w:p>
            </w:tc>
            <w:tc>
              <w:tcPr>
                <w:tcW w:w="965" w:type="dxa"/>
                <w:tcBorders>
                  <w:top w:val="nil"/>
                  <w:bottom w:val="nil"/>
                </w:tcBorders>
                <w:vAlign w:val="center"/>
              </w:tcPr>
              <w:p w14:paraId="496B50AA" w14:textId="77777777" w:rsidR="00E83AB1" w:rsidRDefault="00000000">
                <w:pPr>
                  <w:widowControl w:val="0"/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0.3747</w:t>
                </w:r>
              </w:p>
            </w:tc>
          </w:tr>
          <w:tr w:rsidR="00E83AB1" w14:paraId="7DAB08F6" w14:textId="77777777">
            <w:trPr>
              <w:trHeight w:val="340"/>
              <w:jc w:val="center"/>
            </w:trPr>
            <w:tc>
              <w:tcPr>
                <w:tcW w:w="1771" w:type="dxa"/>
                <w:tcBorders>
                  <w:top w:val="nil"/>
                </w:tcBorders>
                <w:vAlign w:val="center"/>
              </w:tcPr>
              <w:p w14:paraId="377FF895" w14:textId="77777777" w:rsidR="00E83AB1" w:rsidRDefault="00000000">
                <w:pPr>
                  <w:widowControl w:val="0"/>
                  <w:spacing w:after="0"/>
                  <w:ind w:firstLine="0"/>
                  <w:jc w:val="left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 xml:space="preserve">Dificuldade </w:t>
                </w:r>
                <m:oMath>
                  <m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m:t>(b)</m:t>
                  </m:r>
                </m:oMath>
              </w:p>
            </w:tc>
            <w:tc>
              <w:tcPr>
                <w:tcW w:w="1029" w:type="dxa"/>
                <w:tcBorders>
                  <w:top w:val="nil"/>
                </w:tcBorders>
                <w:vAlign w:val="center"/>
              </w:tcPr>
              <w:p w14:paraId="437042F9" w14:textId="77777777" w:rsidR="00E83AB1" w:rsidRDefault="00000000">
                <w:pPr>
                  <w:widowControl w:val="0"/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0.5012</w:t>
                </w:r>
              </w:p>
            </w:tc>
            <w:tc>
              <w:tcPr>
                <w:tcW w:w="965" w:type="dxa"/>
                <w:tcBorders>
                  <w:top w:val="nil"/>
                </w:tcBorders>
                <w:vAlign w:val="center"/>
              </w:tcPr>
              <w:p w14:paraId="44C611F0" w14:textId="77777777" w:rsidR="00E83AB1" w:rsidRDefault="00000000">
                <w:pPr>
                  <w:widowControl w:val="0"/>
                  <w:spacing w:after="0"/>
                  <w:ind w:firstLine="0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0.4637</w:t>
                </w:r>
              </w:p>
            </w:tc>
          </w:tr>
        </w:tbl>
      </w:sdtContent>
    </w:sdt>
    <w:p w14:paraId="2583D156" w14:textId="77777777" w:rsidR="00E83AB1" w:rsidRDefault="00E83AB1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028F68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Figura 2: Comparação da recuperação de parâmetros entre as tarefas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EvalTrain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EvalTest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6446756" w14:textId="77777777" w:rsidR="00E83AB1" w:rsidRDefault="00000000">
      <w:pPr>
        <w:keepNext/>
        <w:spacing w:after="0"/>
        <w:ind w:firstLine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A1FCEB5" wp14:editId="0149BD9D">
            <wp:extent cx="5731200" cy="1892300"/>
            <wp:effectExtent l="0" t="0" r="0" b="0"/>
            <wp:docPr id="10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D5749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Figura 2 apresenta a comparação do desempenho entre as tarefas </w:t>
      </w:r>
      <w:proofErr w:type="spellStart"/>
      <w:r>
        <w:rPr>
          <w:rFonts w:ascii="Times New Roman" w:eastAsia="Times New Roman" w:hAnsi="Times New Roman" w:cs="Times New Roman"/>
        </w:rPr>
        <w:t>EvalTrain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EvalTest</w:t>
      </w:r>
      <w:proofErr w:type="spellEnd"/>
      <w:r>
        <w:rPr>
          <w:rFonts w:ascii="Times New Roman" w:eastAsia="Times New Roman" w:hAnsi="Times New Roman" w:cs="Times New Roman"/>
        </w:rPr>
        <w:t xml:space="preserve">. Observa-se que, embora a recuperação seja menos precisa na tarefa </w:t>
      </w:r>
      <w:proofErr w:type="spellStart"/>
      <w:r>
        <w:rPr>
          <w:rFonts w:ascii="Times New Roman" w:eastAsia="Times New Roman" w:hAnsi="Times New Roman" w:cs="Times New Roman"/>
        </w:rPr>
        <w:t>EvalTest</w:t>
      </w:r>
      <w:proofErr w:type="spellEnd"/>
      <w:r>
        <w:rPr>
          <w:rFonts w:ascii="Times New Roman" w:eastAsia="Times New Roman" w:hAnsi="Times New Roman" w:cs="Times New Roman"/>
        </w:rPr>
        <w:t xml:space="preserve">, a </w:t>
      </w:r>
      <w:r>
        <w:rPr>
          <w:rFonts w:ascii="Times New Roman" w:eastAsia="Times New Roman" w:hAnsi="Times New Roman" w:cs="Times New Roman"/>
        </w:rPr>
        <w:lastRenderedPageBreak/>
        <w:t>estrutura geral dos relacionamentos é preservada, indicando que a rede aprendeu padrões generalizáveis.</w:t>
      </w:r>
    </w:p>
    <w:p w14:paraId="014A6DE8" w14:textId="77777777" w:rsidR="00E83AB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firstLine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 xml:space="preserve">3.4 </w:t>
      </w:r>
      <w:r>
        <w:rPr>
          <w:rFonts w:ascii="Times New Roman" w:eastAsia="Times New Roman" w:hAnsi="Times New Roman" w:cs="Times New Roman"/>
          <w:b/>
          <w:bCs/>
          <w:color w:val="000000"/>
        </w:rPr>
        <w:t>Discussão e Conclusões</w:t>
      </w:r>
    </w:p>
    <w:p w14:paraId="1F66FD5A" w14:textId="7BA751B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Os resultados obtidos neste estudo demonstram que 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é capaz de recuperar os parâmetros do modelo 2PL nos dados de treino (</w:t>
      </w:r>
      <w:proofErr w:type="spellStart"/>
      <w:r>
        <w:rPr>
          <w:rFonts w:ascii="Times New Roman" w:eastAsia="Times New Roman" w:hAnsi="Times New Roman" w:cs="Times New Roman"/>
        </w:rPr>
        <w:t>EvalTrain</w:t>
      </w:r>
      <w:proofErr w:type="spellEnd"/>
      <w:r>
        <w:rPr>
          <w:rFonts w:ascii="Times New Roman" w:eastAsia="Times New Roman" w:hAnsi="Times New Roman" w:cs="Times New Roman"/>
        </w:rPr>
        <w:t xml:space="preserve">), com </w:t>
      </w:r>
      <w:proofErr w:type="spellStart"/>
      <w:r>
        <w:rPr>
          <w:rFonts w:ascii="Times New Roman" w:eastAsia="Times New Roman" w:hAnsi="Times New Roman" w:cs="Times New Roman"/>
        </w:rPr>
        <w:t>MSEs</w:t>
      </w:r>
      <w:proofErr w:type="spellEnd"/>
      <w:r>
        <w:rPr>
          <w:rFonts w:ascii="Times New Roman" w:eastAsia="Times New Roman" w:hAnsi="Times New Roman" w:cs="Times New Roman"/>
        </w:rPr>
        <w:t xml:space="preserve"> inferiores a 0,</w:t>
      </w:r>
      <w:r w:rsidR="00C173EC">
        <w:rPr>
          <w:rFonts w:ascii="Times New Roman" w:eastAsia="Times New Roman" w:hAnsi="Times New Roman" w:cs="Times New Roman"/>
        </w:rPr>
        <w:t>092</w:t>
      </w:r>
      <w:r>
        <w:rPr>
          <w:rFonts w:ascii="Times New Roman" w:eastAsia="Times New Roman" w:hAnsi="Times New Roman" w:cs="Times New Roman"/>
        </w:rPr>
        <w:t xml:space="preserve"> para todos os parâmetros. Este desempenho é comparável ao dos métodos tradicionais, como o </w:t>
      </w:r>
      <w:proofErr w:type="spellStart"/>
      <w:r>
        <w:rPr>
          <w:rFonts w:ascii="Times New Roman" w:eastAsia="Times New Roman" w:hAnsi="Times New Roman" w:cs="Times New Roman"/>
        </w:rPr>
        <w:t>MMLE</w:t>
      </w:r>
      <w:proofErr w:type="spellEnd"/>
      <w:r>
        <w:rPr>
          <w:rFonts w:ascii="Times New Roman" w:eastAsia="Times New Roman" w:hAnsi="Times New Roman" w:cs="Times New Roman"/>
        </w:rPr>
        <w:t xml:space="preserve">-EM, conforme reportado por Zhang e Chen (2024). </w:t>
      </w:r>
    </w:p>
    <w:p w14:paraId="4D1235A5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demonstrou excelente recuperação dos parâmetros nos dados utilizados durante o treinamento. Entretanto, a avaliação em uma nova matriz de respostas revelou uma redução substancial na precisão das estimativas. Na tarefa de teste, os valores de </w:t>
      </w:r>
      <w:proofErr w:type="spellStart"/>
      <w:r>
        <w:rPr>
          <w:rFonts w:ascii="Times New Roman" w:eastAsia="Times New Roman" w:hAnsi="Times New Roman" w:cs="Times New Roman"/>
        </w:rPr>
        <w:t>MSE</w:t>
      </w:r>
      <w:proofErr w:type="spellEnd"/>
      <w:r>
        <w:rPr>
          <w:rFonts w:ascii="Times New Roman" w:eastAsia="Times New Roman" w:hAnsi="Times New Roman" w:cs="Times New Roman"/>
        </w:rPr>
        <w:t xml:space="preserve"> aumentaram, indicando que a generalização para novos padrões de resposta, especialmente no caso dos parâmetros dos itens, constitui um desafio maior para a rede.</w:t>
      </w:r>
    </w:p>
    <w:p w14:paraId="4EA0D903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Comparando com os paradigmas existentes de aplicação de </w:t>
      </w:r>
      <w:proofErr w:type="spellStart"/>
      <w:r>
        <w:rPr>
          <w:rFonts w:ascii="Times New Roman" w:eastAsia="Times New Roman" w:hAnsi="Times New Roman" w:cs="Times New Roman"/>
        </w:rPr>
        <w:t>RNAs</w:t>
      </w:r>
      <w:proofErr w:type="spellEnd"/>
      <w:r>
        <w:rPr>
          <w:rFonts w:ascii="Times New Roman" w:eastAsia="Times New Roman" w:hAnsi="Times New Roman" w:cs="Times New Roman"/>
        </w:rPr>
        <w:t xml:space="preserve"> à TRI, 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apresenta vantagens significativas. 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não requer parâmetros conhecidos como rótulos durante o treinamento, pode ser aplicada a novos itens e pode estimar parâmetros para novas pessoas e novos itens baseando-se em padrões de resposta, e não em identidades fixas (Zhang; Chen, 2024).</w:t>
      </w:r>
    </w:p>
    <w:p w14:paraId="0BB236FD" w14:textId="77777777" w:rsidR="00E83AB1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implementação da </w:t>
      </w:r>
      <w:proofErr w:type="spellStart"/>
      <w:r>
        <w:rPr>
          <w:rFonts w:ascii="Times New Roman" w:eastAsia="Times New Roman" w:hAnsi="Times New Roman" w:cs="Times New Roman"/>
        </w:rPr>
        <w:t>CEN</w:t>
      </w:r>
      <w:proofErr w:type="spellEnd"/>
      <w:r>
        <w:rPr>
          <w:rFonts w:ascii="Times New Roman" w:eastAsia="Times New Roman" w:hAnsi="Times New Roman" w:cs="Times New Roman"/>
        </w:rPr>
        <w:t xml:space="preserve"> é modular e segue os princípios de plug-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-play, permitindo sua adaptação para outros modelos TRI, como o modelo de </w:t>
      </w:r>
      <w:proofErr w:type="spellStart"/>
      <w:r>
        <w:rPr>
          <w:rFonts w:ascii="Times New Roman" w:eastAsia="Times New Roman" w:hAnsi="Times New Roman" w:cs="Times New Roman"/>
        </w:rPr>
        <w:t>Rasch</w:t>
      </w:r>
      <w:proofErr w:type="spellEnd"/>
      <w:r>
        <w:rPr>
          <w:rFonts w:ascii="Times New Roman" w:eastAsia="Times New Roman" w:hAnsi="Times New Roman" w:cs="Times New Roman"/>
        </w:rPr>
        <w:t xml:space="preserve">, o modelo 3PL ou modelos </w:t>
      </w:r>
      <w:proofErr w:type="spellStart"/>
      <w:r>
        <w:rPr>
          <w:rFonts w:ascii="Times New Roman" w:eastAsia="Times New Roman" w:hAnsi="Times New Roman" w:cs="Times New Roman"/>
        </w:rPr>
        <w:t>politômicos</w:t>
      </w:r>
      <w:proofErr w:type="spellEnd"/>
      <w:r>
        <w:rPr>
          <w:rFonts w:ascii="Times New Roman" w:eastAsia="Times New Roman" w:hAnsi="Times New Roman" w:cs="Times New Roman"/>
        </w:rPr>
        <w:t xml:space="preserve"> e multidimensionais. Essa flexibilidade torna a rede uma ferramenta versátil para a calibração de itens em diferentes contextos avaliativos.</w:t>
      </w:r>
    </w:p>
    <w:p w14:paraId="4EF434CB" w14:textId="77777777" w:rsidR="00E83AB1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Referências</w:t>
      </w:r>
    </w:p>
    <w:p w14:paraId="099A2205" w14:textId="77777777" w:rsidR="00E83AB1" w:rsidRDefault="00000000">
      <w:pPr>
        <w:ind w:firstLine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ABIODUN</w:t>
      </w:r>
      <w:proofErr w:type="spellEnd"/>
      <w:r>
        <w:rPr>
          <w:rFonts w:ascii="Times New Roman" w:eastAsia="Times New Roman" w:hAnsi="Times New Roman" w:cs="Times New Roman"/>
        </w:rPr>
        <w:t xml:space="preserve">, O. I.; </w:t>
      </w:r>
      <w:proofErr w:type="spellStart"/>
      <w:r>
        <w:rPr>
          <w:rFonts w:ascii="Times New Roman" w:eastAsia="Times New Roman" w:hAnsi="Times New Roman" w:cs="Times New Roman"/>
        </w:rPr>
        <w:t>JANTAN</w:t>
      </w:r>
      <w:proofErr w:type="spellEnd"/>
      <w:r>
        <w:rPr>
          <w:rFonts w:ascii="Times New Roman" w:eastAsia="Times New Roman" w:hAnsi="Times New Roman" w:cs="Times New Roman"/>
        </w:rPr>
        <w:t xml:space="preserve">, A.; </w:t>
      </w:r>
      <w:proofErr w:type="spellStart"/>
      <w:r>
        <w:rPr>
          <w:rFonts w:ascii="Times New Roman" w:eastAsia="Times New Roman" w:hAnsi="Times New Roman" w:cs="Times New Roman"/>
        </w:rPr>
        <w:t>OMOLARA</w:t>
      </w:r>
      <w:proofErr w:type="spellEnd"/>
      <w:r>
        <w:rPr>
          <w:rFonts w:ascii="Times New Roman" w:eastAsia="Times New Roman" w:hAnsi="Times New Roman" w:cs="Times New Roman"/>
        </w:rPr>
        <w:t xml:space="preserve">, A. E.; DADA, K. V.; MOHAMED, N. A.; </w:t>
      </w:r>
      <w:proofErr w:type="spellStart"/>
      <w:r>
        <w:rPr>
          <w:rFonts w:ascii="Times New Roman" w:eastAsia="Times New Roman" w:hAnsi="Times New Roman" w:cs="Times New Roman"/>
        </w:rPr>
        <w:t>ARSHAD</w:t>
      </w:r>
      <w:proofErr w:type="spellEnd"/>
      <w:r>
        <w:rPr>
          <w:rFonts w:ascii="Times New Roman" w:eastAsia="Times New Roman" w:hAnsi="Times New Roman" w:cs="Times New Roman"/>
        </w:rPr>
        <w:t xml:space="preserve">, H. </w:t>
      </w:r>
      <w:proofErr w:type="spellStart"/>
      <w:r>
        <w:rPr>
          <w:rFonts w:ascii="Times New Roman" w:eastAsia="Times New Roman" w:hAnsi="Times New Roman" w:cs="Times New Roman"/>
        </w:rPr>
        <w:t>State-of-the-art</w:t>
      </w:r>
      <w:proofErr w:type="spellEnd"/>
      <w:r>
        <w:rPr>
          <w:rFonts w:ascii="Times New Roman" w:eastAsia="Times New Roman" w:hAnsi="Times New Roman" w:cs="Times New Roman"/>
        </w:rPr>
        <w:t xml:space="preserve"> in artificial neural network </w:t>
      </w:r>
      <w:proofErr w:type="spellStart"/>
      <w:r>
        <w:rPr>
          <w:rFonts w:ascii="Times New Roman" w:eastAsia="Times New Roman" w:hAnsi="Times New Roman" w:cs="Times New Roman"/>
        </w:rPr>
        <w:t>applications</w:t>
      </w:r>
      <w:proofErr w:type="spellEnd"/>
      <w:r>
        <w:rPr>
          <w:rFonts w:ascii="Times New Roman" w:eastAsia="Times New Roman" w:hAnsi="Times New Roman" w:cs="Times New Roman"/>
        </w:rPr>
        <w:t xml:space="preserve">: a </w:t>
      </w:r>
      <w:proofErr w:type="spellStart"/>
      <w:r>
        <w:rPr>
          <w:rFonts w:ascii="Times New Roman" w:eastAsia="Times New Roman" w:hAnsi="Times New Roman" w:cs="Times New Roman"/>
        </w:rPr>
        <w:t>survey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Heliyon</w:t>
      </w:r>
      <w:proofErr w:type="spellEnd"/>
      <w:r>
        <w:rPr>
          <w:rFonts w:ascii="Times New Roman" w:eastAsia="Times New Roman" w:hAnsi="Times New Roman" w:cs="Times New Roman"/>
        </w:rPr>
        <w:t>, [</w:t>
      </w:r>
      <w:proofErr w:type="spellStart"/>
      <w:r>
        <w:rPr>
          <w:rFonts w:ascii="Times New Roman" w:eastAsia="Times New Roman" w:hAnsi="Times New Roman" w:cs="Times New Roman"/>
        </w:rPr>
        <w:t>S.L</w:t>
      </w:r>
      <w:proofErr w:type="spellEnd"/>
      <w:r>
        <w:rPr>
          <w:rFonts w:ascii="Times New Roman" w:eastAsia="Times New Roman" w:hAnsi="Times New Roman" w:cs="Times New Roman"/>
        </w:rPr>
        <w:t xml:space="preserve">.], v. 4, n. 11, nov. 2018. Elsevier BV. Disponível em: </w:t>
      </w:r>
      <w:hyperlink r:id="rId23">
        <w:r>
          <w:rPr>
            <w:rFonts w:ascii="Times New Roman" w:eastAsia="Times New Roman" w:hAnsi="Times New Roman" w:cs="Times New Roman"/>
            <w:color w:val="1155CC"/>
            <w:u w:val="single"/>
          </w:rPr>
          <w:t>http://dx.doi.org/10.1016/j.heliyon.2018.e00938</w:t>
        </w:r>
      </w:hyperlink>
      <w:r>
        <w:rPr>
          <w:rFonts w:ascii="Times New Roman" w:eastAsia="Times New Roman" w:hAnsi="Times New Roman" w:cs="Times New Roman"/>
        </w:rPr>
        <w:t xml:space="preserve">. Acesso em 21 de </w:t>
      </w:r>
      <w:proofErr w:type="spellStart"/>
      <w:r>
        <w:rPr>
          <w:rFonts w:ascii="Times New Roman" w:eastAsia="Times New Roman" w:hAnsi="Times New Roman" w:cs="Times New Roman"/>
        </w:rPr>
        <w:t>ago</w:t>
      </w:r>
      <w:proofErr w:type="spellEnd"/>
      <w:r>
        <w:rPr>
          <w:rFonts w:ascii="Times New Roman" w:eastAsia="Times New Roman" w:hAnsi="Times New Roman" w:cs="Times New Roman"/>
        </w:rPr>
        <w:t xml:space="preserve"> 2026.</w:t>
      </w:r>
    </w:p>
    <w:p w14:paraId="7917DE39" w14:textId="77777777" w:rsidR="00E83AB1" w:rsidRDefault="00000000">
      <w:pPr>
        <w:ind w:firstLine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TSUTSUMI</w:t>
      </w:r>
      <w:proofErr w:type="spellEnd"/>
      <w:r>
        <w:rPr>
          <w:rFonts w:ascii="Times New Roman" w:eastAsia="Times New Roman" w:hAnsi="Times New Roman" w:cs="Times New Roman"/>
        </w:rPr>
        <w:t xml:space="preserve">, E.; </w:t>
      </w:r>
      <w:proofErr w:type="spellStart"/>
      <w:r>
        <w:rPr>
          <w:rFonts w:ascii="Times New Roman" w:eastAsia="Times New Roman" w:hAnsi="Times New Roman" w:cs="Times New Roman"/>
        </w:rPr>
        <w:t>KINOSHITA</w:t>
      </w:r>
      <w:proofErr w:type="spellEnd"/>
      <w:r>
        <w:rPr>
          <w:rFonts w:ascii="Times New Roman" w:eastAsia="Times New Roman" w:hAnsi="Times New Roman" w:cs="Times New Roman"/>
        </w:rPr>
        <w:t xml:space="preserve">, R.; </w:t>
      </w:r>
      <w:proofErr w:type="spellStart"/>
      <w:r>
        <w:rPr>
          <w:rFonts w:ascii="Times New Roman" w:eastAsia="Times New Roman" w:hAnsi="Times New Roman" w:cs="Times New Roman"/>
        </w:rPr>
        <w:t>UENO</w:t>
      </w:r>
      <w:proofErr w:type="spellEnd"/>
      <w:r>
        <w:rPr>
          <w:rFonts w:ascii="Times New Roman" w:eastAsia="Times New Roman" w:hAnsi="Times New Roman" w:cs="Times New Roman"/>
        </w:rPr>
        <w:t xml:space="preserve">, M. </w:t>
      </w:r>
      <w:proofErr w:type="spellStart"/>
      <w:r>
        <w:rPr>
          <w:rFonts w:ascii="Times New Roman" w:eastAsia="Times New Roman" w:hAnsi="Times New Roman" w:cs="Times New Roman"/>
        </w:rPr>
        <w:t>Deep</w:t>
      </w:r>
      <w:proofErr w:type="spellEnd"/>
      <w:r>
        <w:rPr>
          <w:rFonts w:ascii="Times New Roman" w:eastAsia="Times New Roman" w:hAnsi="Times New Roman" w:cs="Times New Roman"/>
        </w:rPr>
        <w:t xml:space="preserve"> Item Response </w:t>
      </w:r>
      <w:proofErr w:type="spellStart"/>
      <w:r>
        <w:rPr>
          <w:rFonts w:ascii="Times New Roman" w:eastAsia="Times New Roman" w:hAnsi="Times New Roman" w:cs="Times New Roman"/>
        </w:rPr>
        <w:t>Theory</w:t>
      </w:r>
      <w:proofErr w:type="spellEnd"/>
      <w:r>
        <w:rPr>
          <w:rFonts w:ascii="Times New Roman" w:eastAsia="Times New Roman" w:hAnsi="Times New Roman" w:cs="Times New Roman"/>
        </w:rPr>
        <w:t xml:space="preserve"> as a Novel Test </w:t>
      </w:r>
      <w:proofErr w:type="spellStart"/>
      <w:r>
        <w:rPr>
          <w:rFonts w:ascii="Times New Roman" w:eastAsia="Times New Roman" w:hAnsi="Times New Roman" w:cs="Times New Roman"/>
        </w:rPr>
        <w:t>Theory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Deep</w:t>
      </w:r>
      <w:proofErr w:type="spellEnd"/>
      <w:r>
        <w:rPr>
          <w:rFonts w:ascii="Times New Roman" w:eastAsia="Times New Roman" w:hAnsi="Times New Roman" w:cs="Times New Roman"/>
        </w:rPr>
        <w:t xml:space="preserve"> Learning.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Electronics</w:t>
      </w:r>
      <w:proofErr w:type="spellEnd"/>
      <w:r>
        <w:rPr>
          <w:rFonts w:ascii="Times New Roman" w:eastAsia="Times New Roman" w:hAnsi="Times New Roman" w:cs="Times New Roman"/>
        </w:rPr>
        <w:t>, [</w:t>
      </w:r>
      <w:proofErr w:type="spellStart"/>
      <w:r>
        <w:rPr>
          <w:rFonts w:ascii="Times New Roman" w:eastAsia="Times New Roman" w:hAnsi="Times New Roman" w:cs="Times New Roman"/>
        </w:rPr>
        <w:t>S.L</w:t>
      </w:r>
      <w:proofErr w:type="spellEnd"/>
      <w:r>
        <w:rPr>
          <w:rFonts w:ascii="Times New Roman" w:eastAsia="Times New Roman" w:hAnsi="Times New Roman" w:cs="Times New Roman"/>
        </w:rPr>
        <w:t xml:space="preserve">.], v. 10, n. 9, 25 abr. 2021. Disponível em: </w:t>
      </w:r>
      <w:hyperlink r:id="rId24">
        <w:r>
          <w:rPr>
            <w:rFonts w:ascii="Times New Roman" w:eastAsia="Times New Roman" w:hAnsi="Times New Roman" w:cs="Times New Roman"/>
            <w:color w:val="1155CC"/>
            <w:u w:val="single"/>
          </w:rPr>
          <w:t>http://dx.doi.org/10.3390/electronics10091020</w:t>
        </w:r>
      </w:hyperlink>
      <w:r>
        <w:rPr>
          <w:rFonts w:ascii="Times New Roman" w:eastAsia="Times New Roman" w:hAnsi="Times New Roman" w:cs="Times New Roman"/>
        </w:rPr>
        <w:t>. Acesso em 18 de ago. de 2026.</w:t>
      </w:r>
    </w:p>
    <w:p w14:paraId="23B52AB1" w14:textId="77777777" w:rsidR="00E83AB1" w:rsidRDefault="00000000">
      <w:pPr>
        <w:ind w:firstLine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URBAN</w:t>
      </w:r>
      <w:proofErr w:type="spellEnd"/>
      <w:r>
        <w:rPr>
          <w:rFonts w:ascii="Times New Roman" w:eastAsia="Times New Roman" w:hAnsi="Times New Roman" w:cs="Times New Roman"/>
        </w:rPr>
        <w:t xml:space="preserve">, C. J.; BAUER, D. J. A </w:t>
      </w:r>
      <w:proofErr w:type="spellStart"/>
      <w:r>
        <w:rPr>
          <w:rFonts w:ascii="Times New Roman" w:eastAsia="Times New Roman" w:hAnsi="Times New Roman" w:cs="Times New Roman"/>
        </w:rPr>
        <w:t>deep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learning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algorithm</w:t>
      </w:r>
      <w:proofErr w:type="spellEnd"/>
      <w:r>
        <w:rPr>
          <w:rFonts w:ascii="Times New Roman" w:eastAsia="Times New Roman" w:hAnsi="Times New Roman" w:cs="Times New Roman"/>
        </w:rPr>
        <w:t xml:space="preserve"> for high-dimensional </w:t>
      </w:r>
      <w:proofErr w:type="spellStart"/>
      <w:r>
        <w:rPr>
          <w:rFonts w:ascii="Times New Roman" w:eastAsia="Times New Roman" w:hAnsi="Times New Roman" w:cs="Times New Roman"/>
        </w:rPr>
        <w:t>exploratory</w:t>
      </w:r>
      <w:proofErr w:type="spellEnd"/>
      <w:r>
        <w:rPr>
          <w:rFonts w:ascii="Times New Roman" w:eastAsia="Times New Roman" w:hAnsi="Times New Roman" w:cs="Times New Roman"/>
        </w:rPr>
        <w:t xml:space="preserve"> item </w:t>
      </w:r>
      <w:proofErr w:type="spellStart"/>
      <w:r>
        <w:rPr>
          <w:rFonts w:ascii="Times New Roman" w:eastAsia="Times New Roman" w:hAnsi="Times New Roman" w:cs="Times New Roman"/>
        </w:rPr>
        <w:t>factor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analysis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Psychometrika</w:t>
      </w:r>
      <w:proofErr w:type="spellEnd"/>
      <w:r>
        <w:rPr>
          <w:rFonts w:ascii="Times New Roman" w:eastAsia="Times New Roman" w:hAnsi="Times New Roman" w:cs="Times New Roman"/>
        </w:rPr>
        <w:t>, v. 86, n. 1, p. 1-29, 2021.</w:t>
      </w:r>
    </w:p>
    <w:p w14:paraId="7833970C" w14:textId="77777777" w:rsidR="00E83AB1" w:rsidRDefault="00000000">
      <w:pPr>
        <w:ind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ZHANG, L.; CHEN, P. A neural network </w:t>
      </w:r>
      <w:proofErr w:type="spellStart"/>
      <w:r>
        <w:rPr>
          <w:rFonts w:ascii="Times New Roman" w:eastAsia="Times New Roman" w:hAnsi="Times New Roman" w:cs="Times New Roman"/>
        </w:rPr>
        <w:t>paradigm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modeling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psychometric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estimating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IRT</w:t>
      </w:r>
      <w:proofErr w:type="spellEnd"/>
      <w:r>
        <w:rPr>
          <w:rFonts w:ascii="Times New Roman" w:eastAsia="Times New Roman" w:hAnsi="Times New Roman" w:cs="Times New Roman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</w:rPr>
        <w:t>parameters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cross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estimation</w:t>
      </w:r>
      <w:proofErr w:type="spellEnd"/>
      <w:r>
        <w:rPr>
          <w:rFonts w:ascii="Times New Roman" w:eastAsia="Times New Roman" w:hAnsi="Times New Roman" w:cs="Times New Roman"/>
        </w:rPr>
        <w:t xml:space="preserve"> network.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Research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Methods</w:t>
      </w:r>
      <w:proofErr w:type="spellEnd"/>
      <w:r>
        <w:rPr>
          <w:rFonts w:ascii="Times New Roman" w:eastAsia="Times New Roman" w:hAnsi="Times New Roman" w:cs="Times New Roman"/>
        </w:rPr>
        <w:t>, [</w:t>
      </w:r>
      <w:proofErr w:type="spellStart"/>
      <w:r>
        <w:rPr>
          <w:rFonts w:ascii="Times New Roman" w:eastAsia="Times New Roman" w:hAnsi="Times New Roman" w:cs="Times New Roman"/>
        </w:rPr>
        <w:t>S.L</w:t>
      </w:r>
      <w:proofErr w:type="spellEnd"/>
      <w:r>
        <w:rPr>
          <w:rFonts w:ascii="Times New Roman" w:eastAsia="Times New Roman" w:hAnsi="Times New Roman" w:cs="Times New Roman"/>
        </w:rPr>
        <w:t xml:space="preserve">.], v. 56, n. 7, p. 7026-7058, 12 abr. 2024. Disponível em: </w:t>
      </w:r>
      <w:hyperlink r:id="rId25">
        <w:r>
          <w:rPr>
            <w:rFonts w:ascii="Times New Roman" w:eastAsia="Times New Roman" w:hAnsi="Times New Roman" w:cs="Times New Roman"/>
            <w:color w:val="1155CC"/>
            <w:u w:val="single"/>
          </w:rPr>
          <w:t>http://dx.doi.org/10.3758/s13428-024-02406-3</w:t>
        </w:r>
      </w:hyperlink>
      <w:r>
        <w:rPr>
          <w:rFonts w:ascii="Times New Roman" w:eastAsia="Times New Roman" w:hAnsi="Times New Roman" w:cs="Times New Roman"/>
        </w:rPr>
        <w:t>. Acesso em 21 de ago. 2026.</w:t>
      </w:r>
    </w:p>
    <w:sectPr w:rsidR="00E83AB1">
      <w:headerReference w:type="default" r:id="rId26"/>
      <w:footerReference w:type="default" r:id="rId27"/>
      <w:pgSz w:w="11920" w:h="16840"/>
      <w:pgMar w:top="1440" w:right="1440" w:bottom="1440" w:left="1440" w:header="760" w:footer="5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FFC42" w14:textId="77777777" w:rsidR="001706AA" w:rsidRDefault="001706AA">
      <w:pPr>
        <w:spacing w:after="0"/>
      </w:pPr>
      <w:r>
        <w:separator/>
      </w:r>
    </w:p>
  </w:endnote>
  <w:endnote w:type="continuationSeparator" w:id="0">
    <w:p w14:paraId="36C9F774" w14:textId="77777777" w:rsidR="001706AA" w:rsidRDefault="001706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31173E-CC2B-496B-9936-99A2D6D30FB7}"/>
    <w:embedBold r:id="rId2" w:fontKey="{A05DC185-0D69-4CA8-8797-F66EFB8D627F}"/>
    <w:embedItalic r:id="rId3" w:fontKey="{78609580-1509-4E80-B911-AAB12CEBBC28}"/>
    <w:embedBoldItalic r:id="rId4" w:fontKey="{C290286B-E56A-4531-9976-7B4737E725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B9156F-39E6-4EF1-9950-F5D4F4CC4641}"/>
    <w:embedBold r:id="rId6" w:fontKey="{4B57F6A6-2538-457B-8A14-3597FC5598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AFFD392-D622-417E-9D48-16232EDA20E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8" w:fontKey="{FDD0D8DD-2408-41D0-A0B4-0D15F1209F5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80D2" w14:textId="77777777" w:rsidR="00E83AB1" w:rsidRDefault="00E83A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48D25" w14:textId="77777777" w:rsidR="00E83A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19"/>
        <w:szCs w:val="19"/>
      </w:rPr>
    </w:pPr>
    <w:r>
      <w:rPr>
        <w:color w:val="000000"/>
        <w:sz w:val="19"/>
        <w:szCs w:val="19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4C542" w14:textId="77777777" w:rsidR="00E83AB1" w:rsidRDefault="00E83A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29010" w14:textId="77777777" w:rsidR="00E83AB1" w:rsidRDefault="00000000">
    <w:pPr>
      <w:widowControl w:val="0"/>
      <w:tabs>
        <w:tab w:val="left" w:pos="2760"/>
      </w:tabs>
      <w:spacing w:after="0"/>
      <w:ind w:firstLine="0"/>
      <w:jc w:val="left"/>
    </w:pPr>
    <w:r>
      <w:rPr>
        <w:i/>
        <w:iCs/>
        <w:sz w:val="20"/>
        <w:szCs w:val="20"/>
      </w:rPr>
      <w:t xml:space="preserve">X </w:t>
    </w:r>
    <w:proofErr w:type="spellStart"/>
    <w:r>
      <w:rPr>
        <w:i/>
        <w:iCs/>
        <w:sz w:val="20"/>
        <w:szCs w:val="20"/>
      </w:rPr>
      <w:t>CONBRATRI</w:t>
    </w:r>
    <w:proofErr w:type="spellEnd"/>
    <w:r>
      <w:rPr>
        <w:i/>
        <w:iCs/>
        <w:sz w:val="20"/>
        <w:szCs w:val="20"/>
      </w:rPr>
      <w:t xml:space="preserve"> 26 a 28 de Outubro de 2026, São </w:t>
    </w:r>
    <w:proofErr w:type="spellStart"/>
    <w:r>
      <w:rPr>
        <w:i/>
        <w:iCs/>
        <w:sz w:val="20"/>
        <w:szCs w:val="20"/>
      </w:rPr>
      <w:t>Paulo-SP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1A077" w14:textId="77777777" w:rsidR="001706AA" w:rsidRDefault="001706AA">
      <w:pPr>
        <w:spacing w:after="0"/>
      </w:pPr>
      <w:r>
        <w:separator/>
      </w:r>
    </w:p>
  </w:footnote>
  <w:footnote w:type="continuationSeparator" w:id="0">
    <w:p w14:paraId="1E369F6B" w14:textId="77777777" w:rsidR="001706AA" w:rsidRDefault="001706AA">
      <w:pPr>
        <w:spacing w:after="0"/>
      </w:pPr>
      <w:r>
        <w:continuationSeparator/>
      </w:r>
    </w:p>
  </w:footnote>
  <w:footnote w:id="1">
    <w:p w14:paraId="43885449" w14:textId="243ECE4D" w:rsidR="009916A1" w:rsidRDefault="009916A1">
      <w:pPr>
        <w:pStyle w:val="Textodenotaderodap"/>
        <w:ind w:left="0" w:hanging="2"/>
      </w:pPr>
      <w:r>
        <w:rPr>
          <w:rStyle w:val="Refdenotaderodap"/>
        </w:rPr>
        <w:footnoteRef/>
      </w:r>
      <w:r>
        <w:t xml:space="preserve"> </w:t>
      </w:r>
      <w:r w:rsidRPr="009916A1">
        <w:rPr>
          <w:rFonts w:ascii="Times New Roman" w:hAnsi="Times New Roman" w:cs="Times New Roman"/>
        </w:rPr>
        <w:t>O presente trabalho foi realizado com apoio da Coordenação de Aperfeiçoamento de Pessoal de Nível Superior - Brasil (CAPES) - Código de Financiamento 001.</w:t>
      </w:r>
    </w:p>
  </w:footnote>
  <w:footnote w:id="2">
    <w:p w14:paraId="774D31FA" w14:textId="08B2A76F" w:rsidR="009916A1" w:rsidRDefault="009916A1">
      <w:pPr>
        <w:pStyle w:val="Textodenotaderodap"/>
        <w:ind w:left="0" w:hanging="2"/>
      </w:pPr>
      <w:r>
        <w:rPr>
          <w:rStyle w:val="Refdenotaderodap"/>
        </w:rPr>
        <w:footnoteRef/>
      </w:r>
      <w:r>
        <w:t xml:space="preserve"> </w:t>
      </w:r>
      <w:r w:rsidRPr="009916A1">
        <w:rPr>
          <w:rFonts w:ascii="Times New Roman" w:hAnsi="Times New Roman" w:cs="Times New Roman"/>
        </w:rPr>
        <w:t xml:space="preserve">A expressão </w:t>
      </w:r>
      <w:proofErr w:type="spellStart"/>
      <w:r w:rsidRPr="00FD4F4A">
        <w:rPr>
          <w:rStyle w:val="Forte"/>
          <w:rFonts w:ascii="Times New Roman" w:hAnsi="Times New Roman" w:cs="Times New Roman"/>
          <w:b w:val="0"/>
          <w:bCs w:val="0"/>
          <w:i/>
          <w:iCs/>
        </w:rPr>
        <w:t>ceil</w:t>
      </w:r>
      <w:proofErr w:type="spellEnd"/>
      <w:r w:rsidRPr="00FD4F4A">
        <w:rPr>
          <w:rStyle w:val="Forte"/>
          <w:rFonts w:ascii="Times New Roman" w:hAnsi="Times New Roman" w:cs="Times New Roman"/>
          <w:b w:val="0"/>
          <w:bCs w:val="0"/>
          <w:i/>
          <w:iCs/>
        </w:rPr>
        <w:t>(M/2)</w:t>
      </w:r>
      <w:r w:rsidRPr="009916A1">
        <w:rPr>
          <w:rFonts w:ascii="Times New Roman" w:hAnsi="Times New Roman" w:cs="Times New Roman"/>
        </w:rPr>
        <w:t xml:space="preserve"> representa o </w:t>
      </w:r>
      <w:r w:rsidRPr="009916A1">
        <w:rPr>
          <w:rStyle w:val="Forte"/>
          <w:rFonts w:ascii="Times New Roman" w:hAnsi="Times New Roman" w:cs="Times New Roman"/>
          <w:b w:val="0"/>
          <w:bCs w:val="0"/>
        </w:rPr>
        <w:t>teto da divisão de M por 2</w:t>
      </w:r>
      <w:r w:rsidRPr="009916A1">
        <w:rPr>
          <w:rFonts w:ascii="Times New Roman" w:hAnsi="Times New Roman" w:cs="Times New Roman"/>
        </w:rPr>
        <w:t xml:space="preserve">, o que significa que o resultado de M dividido por 2 será sempre </w:t>
      </w:r>
      <w:r w:rsidRPr="009916A1">
        <w:rPr>
          <w:rStyle w:val="Forte"/>
          <w:rFonts w:ascii="Times New Roman" w:hAnsi="Times New Roman" w:cs="Times New Roman"/>
          <w:b w:val="0"/>
          <w:bCs w:val="0"/>
        </w:rPr>
        <w:t>arredondado para o número inteiro imediatamente superior</w:t>
      </w:r>
      <w:r w:rsidRPr="009916A1">
        <w:rPr>
          <w:rStyle w:val="Forte"/>
          <w:rFonts w:ascii="Times New Roman" w:hAnsi="Times New Roman" w:cs="Times New Roman"/>
          <w:b w:val="0"/>
          <w:bCs w:val="0"/>
        </w:rPr>
        <w:t xml:space="preserve">. O mesmo vale para </w:t>
      </w:r>
      <w:proofErr w:type="spellStart"/>
      <w:r w:rsidRPr="00FD4F4A">
        <w:rPr>
          <w:rStyle w:val="Forte"/>
          <w:rFonts w:ascii="Times New Roman" w:hAnsi="Times New Roman" w:cs="Times New Roman"/>
          <w:b w:val="0"/>
          <w:bCs w:val="0"/>
          <w:i/>
          <w:iCs/>
        </w:rPr>
        <w:t>ceil</w:t>
      </w:r>
      <w:proofErr w:type="spellEnd"/>
      <w:r w:rsidRPr="00FD4F4A">
        <w:rPr>
          <w:rStyle w:val="Forte"/>
          <w:rFonts w:ascii="Times New Roman" w:hAnsi="Times New Roman" w:cs="Times New Roman"/>
          <w:b w:val="0"/>
          <w:bCs w:val="0"/>
          <w:i/>
          <w:iCs/>
        </w:rPr>
        <w:t>(N/2)</w:t>
      </w:r>
      <w:r>
        <w:rPr>
          <w:rStyle w:val="Forte"/>
          <w:rFonts w:ascii="Times New Roman" w:hAnsi="Times New Roman" w:cs="Times New Roman"/>
          <w:b w:val="0"/>
          <w:bCs w:val="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32067" w14:textId="77777777" w:rsidR="00E83AB1" w:rsidRDefault="00E83A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F41D1" w14:textId="77777777" w:rsidR="00E83A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114300" distR="114300" wp14:anchorId="6DCCA7FA" wp14:editId="5F5507B9">
          <wp:extent cx="1104900" cy="527050"/>
          <wp:effectExtent l="0" t="0" r="0" b="0"/>
          <wp:docPr id="4451402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527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65F0E" w14:textId="77777777" w:rsidR="00E83AB1" w:rsidRDefault="00E83A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5B6B3" w14:textId="77777777" w:rsidR="00E83AB1" w:rsidRDefault="00000000">
    <w:pPr>
      <w:widowControl w:val="0"/>
      <w:spacing w:after="0"/>
      <w:ind w:right="-28"/>
      <w:jc w:val="center"/>
      <w:rPr>
        <w:sz w:val="19"/>
        <w:szCs w:val="19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C161F3E" wp14:editId="57B981F6">
              <wp:simplePos x="0" y="0"/>
              <wp:positionH relativeFrom="page">
                <wp:posOffset>911860</wp:posOffset>
              </wp:positionH>
              <wp:positionV relativeFrom="page">
                <wp:posOffset>784860</wp:posOffset>
              </wp:positionV>
              <wp:extent cx="5735955" cy="5080"/>
              <wp:effectExtent l="0" t="0" r="0" b="0"/>
              <wp:wrapNone/>
              <wp:docPr id="1033" name="Agrupar 1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5955" cy="5080"/>
                        <a:chOff x="2478000" y="3775225"/>
                        <a:chExt cx="5736000" cy="9550"/>
                      </a:xfrm>
                    </wpg:grpSpPr>
                    <wpg:grpSp>
                      <wpg:cNvPr id="377281990" name="Agrupar 377281990"/>
                      <wpg:cNvGrpSpPr/>
                      <wpg:grpSpPr>
                        <a:xfrm>
                          <a:off x="2478023" y="3777460"/>
                          <a:ext cx="5735955" cy="5080"/>
                          <a:chOff x="2478000" y="3775225"/>
                          <a:chExt cx="5733450" cy="9550"/>
                        </a:xfrm>
                      </wpg:grpSpPr>
                      <wps:wsp>
                        <wps:cNvPr id="503891805" name="Retângulo 503891805"/>
                        <wps:cNvSpPr/>
                        <wps:spPr>
                          <a:xfrm>
                            <a:off x="2478000" y="3775225"/>
                            <a:ext cx="5733450" cy="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BB9E8D" w14:textId="77777777" w:rsidR="00E83AB1" w:rsidRDefault="00E83AB1">
                              <w:pPr>
                                <w:spacing w:after="0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61198329" name="Agrupar 1961198329"/>
                        <wpg:cNvGrpSpPr/>
                        <wpg:grpSpPr>
                          <a:xfrm>
                            <a:off x="2478023" y="3777460"/>
                            <a:ext cx="5733415" cy="2540"/>
                            <a:chOff x="1436" y="1161"/>
                            <a:chExt cx="9029" cy="4"/>
                          </a:xfrm>
                        </wpg:grpSpPr>
                        <wps:wsp>
                          <wps:cNvPr id="790813782" name="Retângulo 790813782"/>
                          <wps:cNvSpPr/>
                          <wps:spPr>
                            <a:xfrm>
                              <a:off x="1436" y="1161"/>
                              <a:ext cx="902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072068" w14:textId="77777777" w:rsidR="00E83AB1" w:rsidRDefault="00E83AB1">
                                <w:pPr>
                                  <w:spacing w:after="0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9113630" name="Forma Livre: Forma 619113630"/>
                          <wps:cNvSpPr/>
                          <wps:spPr>
                            <a:xfrm>
                              <a:off x="1440" y="1165"/>
                              <a:ext cx="902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25" h="120000" extrusionOk="0">
                                  <a:moveTo>
                                    <a:pt x="0" y="0"/>
                                  </a:moveTo>
                                  <a:lnTo>
                                    <a:pt x="902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273352" name="Forma Livre: Forma 1253273352"/>
                          <wps:cNvSpPr/>
                          <wps:spPr>
                            <a:xfrm>
                              <a:off x="1440" y="1165"/>
                              <a:ext cx="902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25" h="120000" extrusionOk="0">
                                  <a:moveTo>
                                    <a:pt x="902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911860</wp:posOffset>
              </wp:positionH>
              <wp:positionV relativeFrom="page">
                <wp:posOffset>784860</wp:posOffset>
              </wp:positionV>
              <wp:extent cx="5735955" cy="5080"/>
              <wp:effectExtent b="0" l="0" r="0" t="0"/>
              <wp:wrapNone/>
              <wp:docPr id="103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5955" cy="50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i/>
        <w:iCs/>
        <w:sz w:val="19"/>
        <w:szCs w:val="19"/>
      </w:rPr>
      <w:t>Rede de Estimação Cruzada (</w:t>
    </w:r>
    <w:proofErr w:type="spellStart"/>
    <w:r>
      <w:rPr>
        <w:i/>
        <w:iCs/>
        <w:sz w:val="19"/>
        <w:szCs w:val="19"/>
      </w:rPr>
      <w:t>CEN</w:t>
    </w:r>
    <w:proofErr w:type="spellEnd"/>
    <w:r>
      <w:rPr>
        <w:i/>
        <w:iCs/>
        <w:sz w:val="19"/>
        <w:szCs w:val="19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D6DE0"/>
    <w:multiLevelType w:val="multilevel"/>
    <w:tmpl w:val="14380546"/>
    <w:lvl w:ilvl="0">
      <w:start w:val="1"/>
      <w:numFmt w:val="decimal"/>
      <w:pStyle w:val="Ttulo1Sesso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pStyle w:val="Ttulo2Subsesso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Ttulo3Subsubsesso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 w16cid:durableId="163486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AB1"/>
    <w:rsid w:val="001706AA"/>
    <w:rsid w:val="009916A1"/>
    <w:rsid w:val="009C565A"/>
    <w:rsid w:val="009D62C2"/>
    <w:rsid w:val="00A671AB"/>
    <w:rsid w:val="00C173EC"/>
    <w:rsid w:val="00E83AB1"/>
    <w:rsid w:val="00FD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C54FC"/>
  <w15:docId w15:val="{23D1FD33-6D44-407C-B0C3-442FD0E6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zh-CN" w:bidi="ar-SA"/>
      </w:rPr>
    </w:rPrDefault>
    <w:pPrDefault>
      <w:pPr>
        <w:spacing w:after="20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hanging="1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hanging="1"/>
      <w:outlineLvl w:val="5"/>
    </w:pPr>
    <w:rPr>
      <w:rFonts w:ascii="Calibri" w:eastAsia="Calibri" w:hAnsi="Calibri" w:cs="Calibri"/>
      <w:b/>
      <w:bCs/>
      <w:sz w:val="22"/>
      <w:szCs w:val="22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rFonts w:ascii="Calibri" w:hAnsi="Calibri"/>
      <w:position w:val="-1"/>
    </w:rPr>
  </w:style>
  <w:style w:type="paragraph" w:styleId="Ttulo8">
    <w:name w:val="heading 8"/>
    <w:basedOn w:val="Normal"/>
    <w:next w:val="Normal"/>
    <w:pPr>
      <w:numPr>
        <w:ilvl w:val="7"/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rFonts w:ascii="Calibri" w:hAnsi="Calibri"/>
      <w:i/>
      <w:iCs/>
      <w:position w:val="-1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Cambria" w:eastAsia="Times New Roman" w:hAnsi="Cambria" w:cs="Times New Roman"/>
      <w:position w:val="-1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/>
      <w:ind w:left="2904" w:right="2884" w:hanging="1"/>
      <w:jc w:val="center"/>
    </w:pPr>
    <w:rPr>
      <w:sz w:val="39"/>
      <w:szCs w:val="39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tulo1Sesso">
    <w:name w:val="Título 1;Sessão"/>
    <w:basedOn w:val="Normal"/>
    <w:next w:val="Normal"/>
    <w:pPr>
      <w:keepNext/>
      <w:numPr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 w:cs="Times New Roman"/>
      <w:b/>
      <w:bCs/>
      <w:kern w:val="32"/>
      <w:position w:val="-1"/>
      <w:sz w:val="32"/>
      <w:szCs w:val="32"/>
    </w:rPr>
  </w:style>
  <w:style w:type="paragraph" w:customStyle="1" w:styleId="Ttulo2Subsesso">
    <w:name w:val="Título 2;Subsessão"/>
    <w:basedOn w:val="Normal"/>
    <w:next w:val="Normal"/>
    <w:pPr>
      <w:keepNext/>
      <w:numPr>
        <w:ilvl w:val="1"/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1"/>
    </w:pPr>
    <w:rPr>
      <w:rFonts w:eastAsia="Times New Roman" w:cs="Times New Roman"/>
      <w:b/>
      <w:bCs/>
      <w:iCs/>
      <w:position w:val="-1"/>
      <w:sz w:val="28"/>
      <w:szCs w:val="28"/>
    </w:rPr>
  </w:style>
  <w:style w:type="paragraph" w:customStyle="1" w:styleId="Ttulo3Subsubsesso">
    <w:name w:val="Título 3;Subsubsessão"/>
    <w:basedOn w:val="Normal"/>
    <w:next w:val="Normal"/>
    <w:pPr>
      <w:keepNext/>
      <w:numPr>
        <w:ilvl w:val="2"/>
        <w:numId w:val="1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</w:rPr>
  </w:style>
  <w:style w:type="character" w:customStyle="1" w:styleId="CabealhoChar">
    <w:name w:val="Cabeçalho Char"/>
    <w:rPr>
      <w:rFonts w:ascii="Arial" w:hAnsi="Arial"/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</w:rPr>
  </w:style>
  <w:style w:type="character" w:customStyle="1" w:styleId="RodapChar">
    <w:name w:val="Rodapé Char"/>
    <w:rPr>
      <w:rFonts w:ascii="Arial" w:hAnsi="Arial"/>
      <w:w w:val="100"/>
      <w:position w:val="-1"/>
      <w:effect w:val="none"/>
      <w:vertAlign w:val="baseline"/>
      <w:cs w:val="0"/>
      <w:em w:val="none"/>
    </w:rPr>
  </w:style>
  <w:style w:type="character" w:customStyle="1" w:styleId="Ttulo1CharSessoChar">
    <w:name w:val="Título 1 Char;Sessão Char"/>
    <w:rPr>
      <w:rFonts w:ascii="Arial" w:eastAsia="Times New Roman" w:hAnsi="Arial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TtuloChar">
    <w:name w:val="Título Char"/>
    <w:rPr>
      <w:rFonts w:ascii="Arial" w:hAnsi="Arial" w:cs="Arial"/>
      <w:w w:val="100"/>
      <w:position w:val="-1"/>
      <w:sz w:val="39"/>
      <w:szCs w:val="39"/>
      <w:effect w:val="none"/>
      <w:vertAlign w:val="baseline"/>
      <w:cs w:val="0"/>
      <w:em w:val="none"/>
    </w:rPr>
  </w:style>
  <w:style w:type="character" w:customStyle="1" w:styleId="Ttulo2CharSubsessoChar">
    <w:name w:val="Título 2 Char;Subsessão Char"/>
    <w:rPr>
      <w:rFonts w:ascii="Arial" w:eastAsia="Times New Roman" w:hAnsi="Arial" w:cs="Times New Roman"/>
      <w:b/>
      <w:bCs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SubttuloChar">
    <w:name w:val="Subtítulo Char"/>
    <w:rPr>
      <w:rFonts w:ascii="Cambria" w:eastAsia="Times New Roman" w:hAnsi="Cambria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Ttulo3CharSubsubsessoChar">
    <w:name w:val="Título 3 Char;Subsubsessão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Ttulo4Char">
    <w:name w:val="Título 4 Char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Ttulo5Char">
    <w:name w:val="Título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Ttulo6Char">
    <w:name w:val="Título 6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7Char">
    <w:name w:val="Título 7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Ttulo8Char">
    <w:name w:val="Título 8 Char"/>
    <w:rPr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rFonts w:ascii="Cambria" w:eastAsia="Times New Roman" w:hAnsi="Cambria" w:cs="Times New Roman"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after="0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character" w:customStyle="1" w:styleId="TextodenotaderodapChar">
    <w:name w:val="Texto de nota de rodapé Char"/>
    <w:rPr>
      <w:rFonts w:ascii="Arial" w:hAnsi="Arial"/>
      <w:w w:val="100"/>
      <w:position w:val="-1"/>
      <w:effect w:val="none"/>
      <w:vertAlign w:val="baseline"/>
      <w:cs w:val="0"/>
      <w:em w:val="none"/>
    </w:rPr>
  </w:style>
  <w:style w:type="character" w:styleId="Refdenotaderodap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MenoPendente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6F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86F99"/>
    <w:rPr>
      <w:b/>
      <w:bC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D5016C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9916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yperlink" Target="mailto:heliton@ufpa.br" TargetMode="External"/><Relationship Id="rId17" Type="http://schemas.openxmlformats.org/officeDocument/2006/relationships/header" Target="header3.xml"/><Relationship Id="rId25" Type="http://schemas.openxmlformats.org/officeDocument/2006/relationships/hyperlink" Target="http://dx.doi.org/10.3758/s13428-024-02406-3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ergiosilvasantos2612@gmail.com" TargetMode="External"/><Relationship Id="rId24" Type="http://schemas.openxmlformats.org/officeDocument/2006/relationships/hyperlink" Target="http://dx.doi.org/10.3390/electronics10091020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yperlink" Target="http://dx.doi.org/10.1016/j.heliyon.2018.e00938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valcir@ufpa.br" TargetMode="Externa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mailto:leafursan.ppgme@gmail.com" TargetMode="External"/><Relationship Id="rId14" Type="http://schemas.openxmlformats.org/officeDocument/2006/relationships/header" Target="header2.xml"/><Relationship Id="rId22" Type="http://schemas.openxmlformats.org/officeDocument/2006/relationships/image" Target="media/image5.png"/><Relationship Id="rId27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elDQGGXi3OuMucrQMa7fgDS2w==">CgMxLjAaHwoBMBIaChgICVIUChJ0YWJsZS5ueGxxczZmOXRsajQ4AHIhMUM4Vjg5d3VhdU9EVDJ6Sm9iSUdkNVZFQnlYWG5VdUNW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C587E7-18C6-4790-AC0D-D3BF184A4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1960</Words>
  <Characters>10589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Marino</dc:creator>
  <cp:lastModifiedBy>Leandro Furtado de Santana</cp:lastModifiedBy>
  <cp:revision>2</cp:revision>
  <dcterms:created xsi:type="dcterms:W3CDTF">2026-09-18T18:20:00Z</dcterms:created>
  <dcterms:modified xsi:type="dcterms:W3CDTF">2026-09-18T18:20:00Z</dcterms:modified>
</cp:coreProperties>
</file>