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8A0C" w14:textId="77777777" w:rsidR="00893F4E" w:rsidRPr="00C94975" w:rsidRDefault="00000000" w:rsidP="00C94975">
      <w:pPr>
        <w:spacing w:before="157" w:after="157" w:line="270" w:lineRule="auto"/>
        <w:jc w:val="both"/>
        <w:rPr>
          <w:rFonts w:ascii="Times New Roman" w:hAnsi="Times New Roman" w:cs="Times New Roman"/>
          <w:sz w:val="32"/>
          <w:szCs w:val="32"/>
        </w:rPr>
      </w:pPr>
      <w:bookmarkStart w:id="0" w:name="impacto_e_correção_do_tamanho_do_ef2e31"/>
      <w:r w:rsidRPr="00C94975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Impacto e correção do tamanho do teste no Alfa de Cronbach e Ômega de McDonald</w:t>
      </w:r>
      <w:bookmarkEnd w:id="0"/>
    </w:p>
    <w:p w14:paraId="6C779D30" w14:textId="50BEE77B" w:rsidR="00893F4E" w:rsidRPr="00DA31E0" w:rsidRDefault="00DA31E0" w:rsidP="00DA31E0">
      <w:pPr>
        <w:spacing w:after="21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>Héliton Tavares</w:t>
      </w:r>
      <w:r w:rsidR="00000000"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>¹</w:t>
      </w:r>
      <w:r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>, Antonio Assis</w:t>
      </w:r>
      <w:r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  <w:vertAlign w:val="superscript"/>
        </w:rPr>
        <w:t>2</w:t>
      </w:r>
      <w:r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 xml:space="preserve">, </w:t>
      </w:r>
      <w:r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  <w:lang w:val="pt-BR"/>
        </w:rPr>
        <w:t>Maria Eduarda Alencar</w:t>
      </w:r>
      <w:r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  <w:vertAlign w:val="superscript"/>
          <w:lang w:val="pt-BR"/>
        </w:rPr>
        <w:t>3</w:t>
      </w:r>
      <w:r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>,</w:t>
      </w:r>
      <w:r w:rsidRPr="00DA31E0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  <w:lang w:val="pt-BR"/>
        </w:rPr>
        <w:t>Welyrson</w:t>
      </w:r>
      <w:proofErr w:type="spellEnd"/>
      <w:r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  <w:lang w:val="pt-BR"/>
        </w:rPr>
        <w:t xml:space="preserve"> Silva</w:t>
      </w:r>
      <w:r w:rsidRPr="00DA31E0">
        <w:rPr>
          <w:rFonts w:ascii="Times New Roman" w:eastAsia="source serif 4" w:hAnsi="Times New Roman" w:cs="Times New Roman"/>
          <w:bCs/>
          <w:color w:val="000000"/>
          <w:sz w:val="24"/>
          <w:szCs w:val="24"/>
          <w:vertAlign w:val="superscript"/>
          <w:lang w:val="pt-BR"/>
        </w:rPr>
        <w:t>4</w:t>
      </w:r>
      <w:r>
        <w:rPr>
          <w:rFonts w:ascii="Times New Roman" w:eastAsia="source serif 4" w:hAnsi="Times New Roman" w:cs="Times New Roman"/>
          <w:bCs/>
          <w:color w:val="000000"/>
          <w:sz w:val="24"/>
          <w:szCs w:val="24"/>
          <w:lang w:val="pt-BR"/>
        </w:rPr>
        <w:t xml:space="preserve"> </w:t>
      </w:r>
    </w:p>
    <w:p w14:paraId="43D6286F" w14:textId="69B35B81" w:rsidR="00893F4E" w:rsidRDefault="00A7541F" w:rsidP="00A7541F">
      <w:pPr>
        <w:spacing w:after="210" w:line="24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7541F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1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Universidade Federal do Pará, </w: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fldChar w:fldCharType="begin"/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instrText>HYPERLINK "mailto:heliton@ufpa.br"</w:instrTex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fldChar w:fldCharType="separate"/>
      </w:r>
      <w:r w:rsidR="00DA31E0" w:rsidRPr="00C15F34">
        <w:rPr>
          <w:rStyle w:val="Hyperlink"/>
          <w:rFonts w:ascii="Times New Roman" w:eastAsia="source serif 4" w:hAnsi="Times New Roman" w:cs="Times New Roman"/>
          <w:sz w:val="24"/>
          <w:szCs w:val="24"/>
        </w:rPr>
        <w:t>heliton@ufpa.br</w: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fldChar w:fldCharType="end"/>
      </w:r>
    </w:p>
    <w:p w14:paraId="52CD8E3B" w14:textId="3A2946B5" w:rsidR="00DA31E0" w:rsidRPr="00A7541F" w:rsidRDefault="00A7541F" w:rsidP="00A7541F">
      <w:pPr>
        <w:spacing w:after="210" w:line="240" w:lineRule="auto"/>
        <w:jc w:val="both"/>
        <w:rPr>
          <w:rFonts w:ascii="Times New Roman" w:eastAsia="source serif 4" w:hAnsi="Times New Roman" w:cs="Times New Roman"/>
          <w:b/>
          <w:bCs/>
          <w:color w:val="000000"/>
          <w:lang w:val="pt-BR"/>
        </w:rPr>
      </w:pPr>
      <w:r w:rsidRPr="00A7541F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2</w:t>
      </w:r>
      <w:r w:rsidR="00DA31E0"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Universidade Federal do Pará, </w:t>
      </w:r>
      <w:r w:rsidRPr="00A7541F">
        <w:rPr>
          <w:rFonts w:ascii="Times New Roman" w:eastAsia="source serif 4" w:hAnsi="Times New Roman" w:cs="Times New Roman"/>
          <w:color w:val="000000"/>
          <w:lang w:val="pt-BR"/>
        </w:rPr>
        <w:t>ag@aginvestimentos.com.br</w:t>
      </w:r>
    </w:p>
    <w:p w14:paraId="230B4037" w14:textId="65F2719B" w:rsidR="00DA31E0" w:rsidRPr="00C94975" w:rsidRDefault="00A7541F" w:rsidP="00A7541F">
      <w:pPr>
        <w:spacing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41F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 xml:space="preserve">3 </w: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Universidade Federal do Pará, </w:t>
      </w:r>
      <w:r w:rsidRPr="00A7541F">
        <w:rPr>
          <w:rFonts w:ascii="Times New Roman" w:eastAsia="source serif 4" w:hAnsi="Times New Roman" w:cs="Times New Roman"/>
          <w:color w:val="000000"/>
          <w:sz w:val="24"/>
          <w:szCs w:val="24"/>
        </w:rPr>
        <w:t>maria.alencar@icen.ufpa.br</w:t>
      </w:r>
    </w:p>
    <w:p w14:paraId="62FD762D" w14:textId="390221F2" w:rsidR="00DA31E0" w:rsidRPr="00C94975" w:rsidRDefault="00A7541F" w:rsidP="00A7541F">
      <w:pPr>
        <w:spacing w:after="2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41F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 xml:space="preserve">4 </w: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Universidade Federal do Pará, </w:t>
      </w:r>
      <w:r w:rsidRPr="00A7541F">
        <w:rPr>
          <w:rFonts w:ascii="Times New Roman" w:eastAsia="source serif 4" w:hAnsi="Times New Roman" w:cs="Times New Roman"/>
          <w:color w:val="000000"/>
          <w:sz w:val="24"/>
          <w:szCs w:val="24"/>
        </w:rPr>
        <w:t>welyrsoncarlos110905@gmail.com</w:t>
      </w:r>
    </w:p>
    <w:p w14:paraId="3D403351" w14:textId="77777777" w:rsidR="00DA31E0" w:rsidRDefault="00DA31E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A1708" w14:textId="77777777" w:rsidR="00DA31E0" w:rsidRPr="00C94975" w:rsidRDefault="00DA31E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D9F6AE" w14:textId="77777777" w:rsidR="00893F4E" w:rsidRPr="00C94975" w:rsidRDefault="00000000" w:rsidP="00C94975">
      <w:pPr>
        <w:spacing w:before="315" w:after="105" w:line="360" w:lineRule="auto"/>
        <w:ind w:left="-3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resumo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Resumo</w:t>
      </w:r>
      <w:bookmarkEnd w:id="1"/>
    </w:p>
    <w:p w14:paraId="09D92836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Os coeficientes Alfa de Cronbach e Ômega de McDonald são amplamente utilizados como indicadores de fidedignidade (confiabilidade) de testes psicométricos e frequentemente empregados como critério de eliminação de itens em processos de construção e refinamento de instrumentos de medida. Contudo, ambos os coeficientes são sensíveis ao número de itens do teste, o que compromete seu uso isolado como critério de decisão em testes muito curtos. Este trabalho investiga, por meio de simulação de Monte Carlo baseada no Modelo Logístico de 2 Parâmetros (ML2) da Teoria de Resposta ao Item, como o tamanho do teste (25, 50 e 100 itens) e o tamanho da amostra de respondentes influenciam as estimativas de Alfa e Ômega. Os resultados confirmam que ambos os coeficientes aumentam de forma não linear com o número de itens, com ganhos marginais decrescentes, e que a diferença entre Alfa e Ômega se reduz conforme o teste cresce, tornando-se praticamente nula a partir de 100 itens. Discute-se a aplicação da fórmula de Spearman-Brown como ferramenta de correção e planejamento de comprimento de teste, propondo diretrizes práticas para o uso responsável desses coeficientes em avaliações educacionais em larga escala.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[1][2][3][4]</w:t>
      </w:r>
    </w:p>
    <w:p w14:paraId="6AE85F87" w14:textId="77777777" w:rsidR="00893F4E" w:rsidRDefault="00000000" w:rsidP="00C94975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Palavras-chave: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Fidedignidade; Alfa de Cronbach; Ômega de McDonald; Teoria de Resposta ao Item; Tamanho do teste.</w:t>
      </w:r>
    </w:p>
    <w:p w14:paraId="35DEB86F" w14:textId="3C5641E2" w:rsidR="00C94975" w:rsidRDefault="00C94975">
      <w:pPr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br w:type="page"/>
      </w:r>
    </w:p>
    <w:p w14:paraId="6FA5BBEB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1_introdução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1. Introdução</w:t>
      </w:r>
      <w:bookmarkEnd w:id="2"/>
    </w:p>
    <w:p w14:paraId="44272C91" w14:textId="7E483879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A fidedignidade de um teste — a proporção da variância dos escores observados atribuível à variância do escore verdadeiro — é um dos pilares da psicometria clássica e moderna. O coeficiente Alfa de Cronbach, proposto em 1951, permanece o índice mais reportado na literatura em ciências sociais, comportamentais e educacionais, sendo virtualmente universal em relatórios de validação de instrumentos. Sua popularidade decorre da simplicidade de cálculo, que depende apenas das variâncias dos itens e da variância do escore total, sem exigir a especificação de um modelo de mensuração subjacente.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[5][2][6]</w:t>
      </w:r>
    </w:p>
    <w:p w14:paraId="2DE59CCE" w14:textId="33AB69AD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Entretanto, o Alfa parte de uma suposição restritiva conhecida como tau-equivalência: todos os itens devem carregar igualmente sobre o traço latente comum, diferindo apenas em erro de medida. Quando essa suposição é violada — o que ocorre na quase totalidade dos testes reais, cujos itens variam em poder discriminativo — o Alfa se torna um limite inferior da fidedignidade verdadeira, subestimando-a sistematicamente. O Ômega de McDonald, derivado de um modelo fatorial congenérico que permite cargas fatoriais desiguais entre itens, foi proposto como alternativa mais realista e tem sido crescentemente recomendado pela literatura metodológica como o "novo padrão-ouro" para estimação de fidedignidade.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[7][8][9][4][5]</w:t>
      </w:r>
    </w:p>
    <w:p w14:paraId="5CBD546A" w14:textId="5201E518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Apesar da superioridade teórica do Ômega, estudos de simulação mostram que a vantagem prática sobre o Alfa é modesta quando o número de itens é razoavelmente grande (cinco ou mais) e diminui ainda mais conforme o teste se alonga, chegando a diferenças desprezíveis em testes com muitos itens. Por outro lado, ambos os coeficientes carregam uma limitação estrutural comum: dependem diretamente do número de itens do teste, de modo que testes curtos tendem a apresentar fidedignidade artificialmente baixa mesmo quando os itens são psicometricamente adequados. Essa característica é particularmente problemática quando Alfa e Ômega são utilizados como critério automático de eliminação de itens: em bancos de itens pequenos, itens tecnicamente bons podem ser descartados apenas por efeito do tamanho reduzido do teste, e não por deficiência real de qualidade psicométrica.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[1][10][3]</w:t>
      </w:r>
    </w:p>
    <w:p w14:paraId="665C4E95" w14:textId="354DF846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Este resumo expandido tem como motivação central caracterizar empiricamente essa dependência do tamanho do teste e apontar caminhos de correção, com base na fórmula de Spearman-Brown, historicamente utilizada para prever a fidedignidade de testes de comprimento distinto do original. O objetivo específico é realizar um estudo de simulação com testes sintéticos de diferentes tamanhos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(25, 50 e 100 itens) e diferentes volumes de respondentes, gerados sob o Modelo Logístico de 2 Parâmetros (ML2) da Teoria d</w:t>
      </w:r>
      <w:r w:rsidR="00272325">
        <w:rPr>
          <w:rFonts w:ascii="Times New Roman" w:eastAsia="source serif 4" w:hAnsi="Times New Roman" w:cs="Times New Roman"/>
          <w:color w:val="000000"/>
          <w:sz w:val="24"/>
          <w:szCs w:val="24"/>
        </w:rPr>
        <w:t>a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Resposta ao Item (TRI), a fim de mapear o comportamento conjunto de Alfa e Ômega e orientar o uso criterioso desses indicadores em avaliações educacionais e psicológicas em larga escala.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[11][12]</w:t>
      </w:r>
    </w:p>
    <w:p w14:paraId="7E3F8F6E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2_fundamentação_teórica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 Fundamentação teórica</w:t>
      </w:r>
      <w:bookmarkEnd w:id="3"/>
    </w:p>
    <w:p w14:paraId="676E5EFA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2_1_alfa_de_cronbach_e_ômega_d_edada7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2.1 Alfa de Cronbach e Ômega de McDonald</w:t>
      </w:r>
      <w:bookmarkEnd w:id="4"/>
    </w:p>
    <w:p w14:paraId="103E8BF1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O Alfa de Cronbach é definido, para um teste com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k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itens, como</w:t>
      </w:r>
    </w:p>
    <w:p w14:paraId="4A8B5E56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-1</m:t>
              </m:r>
            </m:den>
          </m:f>
          <m:d>
            <m:d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 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,</m:t>
          </m:r>
        </m:oMath>
      </m:oMathPara>
    </w:p>
    <w:p w14:paraId="72812E26" w14:textId="666EB1EA" w:rsidR="000B12E1" w:rsidRDefault="00000000" w:rsidP="000B12E1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onde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2</m:t>
            </m:r>
          </m:sup>
        </m:sSubSup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a variância do item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i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e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2</m:t>
            </m:r>
          </m:sup>
        </m:sSubSup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a variância do escore total. </w:t>
      </w:r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>Tecnicamente, as vari</w:t>
      </w:r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>â</w:t>
      </w:r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ncias dos itens </w:t>
      </w:r>
      <w:r w:rsidR="00474F53">
        <w:rPr>
          <w:rFonts w:ascii="Times New Roman" w:eastAsia="source serif 4" w:hAnsi="Times New Roman" w:cs="Times New Roman"/>
          <w:color w:val="000000"/>
          <w:sz w:val="24"/>
          <w:szCs w:val="24"/>
        </w:rPr>
        <w:t>(</w:t>
      </w:r>
      <m:oMath>
        <m:sSubSup>
          <m:sSubSupPr>
            <m:ctrlPr>
              <w:rPr>
                <w:rFonts w:ascii="Cambria Math" w:eastAsia="source serif 4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2</m:t>
            </m:r>
          </m:sup>
        </m:sSubSup>
      </m:oMath>
      <w:r w:rsidR="00474F5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) </w:t>
      </w:r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e covariãncias entre os </w:t>
      </w:r>
      <w:r w:rsidR="00474F5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pares de </w:t>
      </w:r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itens </w:t>
      </w:r>
      <w:r w:rsidR="00474F53">
        <w:rPr>
          <w:rFonts w:ascii="Times New Roman" w:eastAsia="source serif 4" w:hAnsi="Times New Roman" w:cs="Times New Roman"/>
          <w:color w:val="000000"/>
          <w:sz w:val="24"/>
          <w:szCs w:val="24"/>
        </w:rPr>
        <w:t>(</w:t>
      </w:r>
      <m:oMath>
        <m:sSub>
          <m:sSubPr>
            <m:ctrlPr>
              <w:rPr>
                <w:rFonts w:ascii="Cambria Math" w:eastAsia="source serif 4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ij</m:t>
            </m:r>
          </m:sub>
        </m:sSub>
        <m:r>
          <w:rPr>
            <w:rFonts w:ascii="Cambria Math" w:eastAsia="source serif 4" w:hAnsi="Cambria Math" w:cs="Times New Roman"/>
            <w:color w:val="000000"/>
            <w:sz w:val="24"/>
            <w:szCs w:val="24"/>
          </w:rPr>
          <m:t>)</m:t>
        </m:r>
      </m:oMath>
      <w:r w:rsidR="00474F5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>compõem a matriz de variâncias-covariâncias</w:t>
      </w:r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source serif 4" w:hAnsi="Cambria Math" w:cs="Times New Roman"/>
            <w:color w:val="000000"/>
            <w:sz w:val="24"/>
            <w:szCs w:val="24"/>
          </w:rPr>
          <m:t>Σ</m:t>
        </m:r>
      </m:oMath>
      <w:r w:rsidR="000B12E1">
        <w:rPr>
          <w:rFonts w:ascii="Times New Roman" w:eastAsia="source serif 4" w:hAnsi="Times New Roman" w:cs="Times New Roman"/>
          <w:color w:val="000000"/>
          <w:sz w:val="24"/>
          <w:szCs w:val="24"/>
        </w:rPr>
        <w:t>. Por exemplo, para 3 itens teremos</w:t>
      </w:r>
    </w:p>
    <w:p w14:paraId="295DA40E" w14:textId="3B3BE6E5" w:rsidR="000B12E1" w:rsidRDefault="000B12E1" w:rsidP="00C94975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source serif 4" w:hAnsi="Cambria Math" w:cs="Times New Roman"/>
              <w:color w:val="000000"/>
              <w:sz w:val="24"/>
              <w:szCs w:val="24"/>
            </w:rPr>
            <m:t>Σ</m:t>
          </m:r>
          <m:r>
            <w:rPr>
              <w:rFonts w:ascii="Cambria Math" w:eastAsia="source serif 4" w:hAnsi="Cambria Math" w:cs="Times New Roman"/>
              <w:color w:val="000000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source serif 4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source serif 4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23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="source serif 4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source serif 4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5FAEF583" w14:textId="31AC9889" w:rsidR="00893F4E" w:rsidRPr="00C94975" w:rsidRDefault="00474F53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A variância total </w:t>
      </w:r>
      <m:oMath>
        <m:sSubSup>
          <m:sSubSupPr>
            <m:ctrlPr>
              <w:rPr>
                <w:rFonts w:ascii="Cambria Math" w:eastAsia="source serif 4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T</m:t>
            </m:r>
          </m:sub>
          <m:sup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r>
          <w:rPr>
            <w:rFonts w:ascii="Cambria Math" w:eastAsia="source serif 4" w:hAnsi="Cambria Math" w:cs="Times New Roman"/>
            <w:color w:val="000000"/>
            <w:sz w:val="24"/>
            <w:szCs w:val="24"/>
          </w:rPr>
          <m:t xml:space="preserve"> </m:t>
        </m:r>
      </m:oMath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é a soma de todos os elementos da matriz, ou seja, </w:t>
      </w:r>
      <m:oMath>
        <m:sSubSup>
          <m:sSubSupPr>
            <m:ctrlPr>
              <w:rPr>
                <w:rFonts w:ascii="Cambria Math" w:eastAsia="source serif 4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T</m:t>
            </m:r>
          </m:sub>
          <m:sup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r>
          <w:rPr>
            <w:rFonts w:ascii="Cambria Math" w:eastAsia="source serif 4" w:hAnsi="Cambria Math" w:cs="Times New Roman"/>
            <w:color w:val="000000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source serif 4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="source serif 4" w:hAnsi="Cambria Math" w:cs="Times New Roman"/>
                    <w:i/>
                    <w:color w:val="00000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source serif 4" w:hAnsi="Cambria Math" w:cs="Times New Roman"/>
                    <w:color w:val="00000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source serif 4" w:hAnsi="Cambria Math" w:cs="Times New Roman"/>
                    <w:color w:val="000000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eastAsia="source serif 4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+V</m:t>
            </m:r>
          </m:e>
        </m:nary>
      </m:oMath>
      <w:r w:rsidR="007A133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em que </w:t>
      </w:r>
      <w:r w:rsidR="007A133F" w:rsidRPr="007A133F">
        <w:rPr>
          <w:rFonts w:ascii="Times New Roman" w:eastAsia="source serif 4" w:hAnsi="Times New Roman" w:cs="Times New Roman"/>
          <w:i/>
          <w:iCs/>
          <w:color w:val="000000"/>
          <w:sz w:val="24"/>
          <w:szCs w:val="24"/>
        </w:rPr>
        <w:t>V</w:t>
      </w:r>
      <w:r w:rsidR="007A133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a soma de todas as covariâncias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. O Alfa de Crombach visa </w:t>
      </w:r>
      <w:r w:rsidR="007A133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obter quando </w:t>
      </w:r>
      <w:r w:rsidR="007A133F" w:rsidRPr="007A133F">
        <w:rPr>
          <w:rFonts w:ascii="Times New Roman" w:eastAsia="source serif 4" w:hAnsi="Times New Roman" w:cs="Times New Roman"/>
          <w:i/>
          <w:iCs/>
          <w:color w:val="000000"/>
          <w:sz w:val="24"/>
          <w:szCs w:val="24"/>
        </w:rPr>
        <w:t>V</w:t>
      </w:r>
      <w:r w:rsidR="007A133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representa de </w:t>
      </w:r>
      <m:oMath>
        <m:sSubSup>
          <m:sSubSupPr>
            <m:ctrlPr>
              <w:rPr>
                <w:rFonts w:ascii="Cambria Math" w:eastAsia="source serif 4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T</m:t>
            </m:r>
          </m:sub>
          <m:sup>
            <m:r>
              <w:rPr>
                <w:rFonts w:ascii="Cambria Math" w:eastAsia="source serif 4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r>
          <w:rPr>
            <w:rFonts w:ascii="Cambria Math" w:eastAsia="source serif 4" w:hAnsi="Cambria Math" w:cs="Times New Roman"/>
            <w:color w:val="000000"/>
            <w:sz w:val="24"/>
            <w:szCs w:val="24"/>
          </w:rPr>
          <m:t xml:space="preserve"> </m:t>
        </m:r>
      </m:oMath>
      <w:r w:rsidR="007A133F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000000"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Essa expressão é uma estimativa não tendenciosa da fidedi</w:t>
      </w:r>
      <w:r w:rsidR="00272325">
        <w:rPr>
          <w:rFonts w:ascii="Times New Roman" w:eastAsia="source serif 4" w:hAnsi="Times New Roman" w:cs="Times New Roman"/>
          <w:color w:val="000000"/>
          <w:sz w:val="24"/>
          <w:szCs w:val="24"/>
        </w:rPr>
        <w:t>gn</w:t>
      </w:r>
      <w:r w:rsidR="00000000"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idade apenas quando os itens são tau-equivalentes; sob o modelo congenérico mais realista, em que os itens têm cargas fatoriais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i</m:t>
            </m:r>
          </m:sub>
        </m:sSub>
      </m:oMath>
      <w:r w:rsidR="00000000"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distintas, o Alfa passa a subestimar a fidedignidade verdadeira.</w:t>
      </w:r>
      <w:r w:rsidR="00000000"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[5][7][9]</w:t>
      </w:r>
    </w:p>
    <w:p w14:paraId="560D8E7C" w14:textId="784E4166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O Ômega de McDonald, por sua vez, é estimado a partir de um modelo fatorial de um fator, sendo definido como</w:t>
      </w:r>
    </w:p>
    <w:p w14:paraId="61201A77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 w:val="24"/>
              <w:szCs w:val="24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 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 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,</m:t>
          </m:r>
        </m:oMath>
      </m:oMathPara>
    </w:p>
    <w:p w14:paraId="27A424E5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em que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i</m:t>
            </m:r>
          </m:sub>
        </m:sSub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a carga fatorial do item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i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sobre o fator comum e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i</m:t>
            </m:r>
          </m:sub>
        </m:sSub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a variância de erro (única) do item. Quando as cargas são aproximadamente iguais, Alfa e Ômega convergem; quanto maior a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heterogeneidade das cargas, maior a divergência, com Ômega tipicamente 0,03 a 0,10 pontos acima do Alfa.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[9][6][4][5]</w:t>
      </w:r>
    </w:p>
    <w:p w14:paraId="5F281A9D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2_2_dependência_do_tamanho_do_teste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2.2 Dependência do tamanho do teste</w:t>
      </w:r>
      <w:bookmarkEnd w:id="5"/>
    </w:p>
    <w:p w14:paraId="2091E66F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Um resultado clássico da teoria clássica dos testes estabelece que, para um conjunto de itens com correlação inter-item média constante, o Alfa cresce monotonicamente com o número de itens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k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, aproximando-se assintoticamente de 1. Esse crescimento é capturado pela fórmula de Spearman-Brown (Spearman e Brown, 1910), originalmente desenvolvida para corrigir a fidedignidade estimada por metades (split-half) para o comprimento total do teste: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[3][13]</w:t>
      </w:r>
    </w:p>
    <w:p w14:paraId="1841EB4C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'</m:t>
                  </m:r>
                </m:sup>
              </m:sSup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1+(</m:t>
              </m:r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-1)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'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,</m:t>
          </m:r>
        </m:oMath>
      </m:oMathPara>
    </w:p>
    <w:p w14:paraId="33EC7437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em que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'</m:t>
                </m:r>
              </m:sup>
            </m:sSup>
          </m:sub>
        </m:sSub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a fidedignidade do teste original e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n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o fator multiplicativo de alongamento (ou encurtamento) do teste, assumindo itens paralelos. A forma inversa da fórmula permite estimar quantos itens adicionais — supostamente equivalentes aos existentes — seriam necessários para atingir um nível-alvo de fidedignidade. Meta-análises em contextos educacionais confirmam empiricamente essa relação quase quadrática entre extensão do teste e magnitude do Alfa, mostrando que testes mais longos tendem a exibir coeficientes mais altos independentemente da real qualidade média dos itens.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[11][14][15][3]</w:t>
      </w:r>
    </w:p>
    <w:p w14:paraId="11331EE6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3_metodologia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 Metodologia</w:t>
      </w:r>
      <w:bookmarkEnd w:id="6"/>
    </w:p>
    <w:p w14:paraId="71352AE1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O estudo foi conduzido por meio de simulação de Monte Carlo. Bancos de itens sintéticos foram gerados sob o Modelo Logístico de 2 Parâmetros (ML2) da TRI, no qual a probabilidade de acerto do respondente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j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no item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i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dada por</w:t>
      </w:r>
    </w:p>
    <w:p w14:paraId="1FBAE4F7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=1∣</m:t>
          </m:r>
          <m:sSub>
            <m:sSub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,</m:t>
          </m:r>
        </m:oMath>
      </m:oMathPara>
    </w:p>
    <w:p w14:paraId="5FEE8882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onde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i</m:t>
            </m:r>
          </m:sub>
        </m:sSub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o parâmetro de discriminação do item,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i</m:t>
            </m:r>
          </m:sub>
        </m:sSub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o parâmetro de dificuldade e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j</m:t>
            </m:r>
          </m:sub>
        </m:sSub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é a proficiência latente do respondente. Foram definidos três tamanhos de teste (25, 50 e 100 itens), com parâmetros de discriminação sorteados uniformemente no intervalo [0,5; 3] e parâmetros de dificuldade sorteados uniformemente no intervalo [-3; 3], seguindo as especificações fornecidas para o estudo.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 xml:space="preserve">As proficiências dos respondentes foram geradas a partir de uma distribuição normal padrão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4"/>
            <w:szCs w:val="24"/>
          </w:rPr>
          <m:t>∼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/>
            <w:sz w:val="24"/>
            <w:szCs w:val="24"/>
          </w:rPr>
          <m:t>(0,1)</m:t>
        </m:r>
      </m:oMath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, com três volumes amostrais de referência (10 mil, 50 mil e 100 mil respondentes).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[16][17]</w:t>
      </w:r>
    </w:p>
    <w:p w14:paraId="5CF7C694" w14:textId="56B3C0E6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A partir das probabilidades de resposta, foram simuladas matrizes de respostas dicotômicas (0/1) via distribuição Bernoulli. Para cada combinação de tamanho de teste e tamanho de amostra, o processo foi repetido 20 vezes (replicações independentes) para obtenção de estimativas médias estáveis do Alfa de Cronbach e do Ômega de McDonald, calculados com o pacote </w:t>
      </w:r>
      <w:r w:rsidRPr="00C94975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psych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do R. </w:t>
      </w:r>
    </w:p>
    <w:p w14:paraId="288A166D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4_resultados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 Resultados</w:t>
      </w:r>
      <w:bookmarkEnd w:id="7"/>
    </w:p>
    <w:p w14:paraId="7697FEAE" w14:textId="2EC31D13" w:rsidR="00893F4E" w:rsidRPr="00C94975" w:rsidRDefault="00000000" w:rsidP="006834A7">
      <w:pPr>
        <w:spacing w:after="21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A Tabela 1 apresenta as médias e desvios-padrão do Alfa de Cronbach e do Ômega de McDonald obtidos nas simulações, para cada combinação de tamanho de teste e volume de respondentes.</w:t>
      </w:r>
    </w:p>
    <w:p w14:paraId="40125871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Tabela 1 — Alfa e Ômega médios por tamanho de teste e volume de respondentes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3"/>
        <w:gridCol w:w="1880"/>
        <w:gridCol w:w="1368"/>
        <w:gridCol w:w="1135"/>
        <w:gridCol w:w="1590"/>
        <w:gridCol w:w="1347"/>
      </w:tblGrid>
      <w:tr w:rsidR="00893F4E" w:rsidRPr="005D564E" w14:paraId="1A66F16A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1AD7AB03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Nº de itens</w:t>
            </w:r>
          </w:p>
        </w:tc>
        <w:tc>
          <w:tcPr>
            <w:tcW w:w="0" w:type="auto"/>
          </w:tcPr>
          <w:p w14:paraId="5EC86243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Nº de respondentes</w:t>
            </w:r>
          </w:p>
        </w:tc>
        <w:tc>
          <w:tcPr>
            <w:tcW w:w="0" w:type="auto"/>
          </w:tcPr>
          <w:p w14:paraId="486E8BD1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Alfa (média)</w:t>
            </w:r>
          </w:p>
        </w:tc>
        <w:tc>
          <w:tcPr>
            <w:tcW w:w="0" w:type="auto"/>
          </w:tcPr>
          <w:p w14:paraId="53F6A4D8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Alfa (DP)</w:t>
            </w:r>
          </w:p>
        </w:tc>
        <w:tc>
          <w:tcPr>
            <w:tcW w:w="0" w:type="auto"/>
          </w:tcPr>
          <w:p w14:paraId="381EDD18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Ômega (média)</w:t>
            </w:r>
          </w:p>
        </w:tc>
        <w:tc>
          <w:tcPr>
            <w:tcW w:w="0" w:type="auto"/>
            <w:tcBorders>
              <w:right w:val="nil"/>
            </w:tcBorders>
          </w:tcPr>
          <w:p w14:paraId="1314A768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Ômega (DP)</w:t>
            </w:r>
          </w:p>
        </w:tc>
      </w:tr>
      <w:tr w:rsidR="00893F4E" w:rsidRPr="005D564E" w14:paraId="5F12A0FB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7A481E8F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3BC956D9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0" w:type="auto"/>
          </w:tcPr>
          <w:p w14:paraId="3615A943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0,826</w:t>
            </w:r>
          </w:p>
        </w:tc>
        <w:tc>
          <w:tcPr>
            <w:tcW w:w="0" w:type="auto"/>
          </w:tcPr>
          <w:p w14:paraId="780B2E6D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0,037</w:t>
            </w:r>
          </w:p>
        </w:tc>
        <w:tc>
          <w:tcPr>
            <w:tcW w:w="0" w:type="auto"/>
          </w:tcPr>
          <w:p w14:paraId="6001098D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0,829</w:t>
            </w:r>
          </w:p>
        </w:tc>
        <w:tc>
          <w:tcPr>
            <w:tcW w:w="0" w:type="auto"/>
            <w:tcBorders>
              <w:right w:val="nil"/>
            </w:tcBorders>
          </w:tcPr>
          <w:p w14:paraId="22D84D1A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0,031</w:t>
            </w:r>
          </w:p>
        </w:tc>
      </w:tr>
      <w:tr w:rsidR="00893F4E" w:rsidRPr="005D564E" w14:paraId="12CCBF76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68B6A269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41817F32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50.000</w:t>
            </w:r>
          </w:p>
        </w:tc>
        <w:tc>
          <w:tcPr>
            <w:tcW w:w="0" w:type="auto"/>
          </w:tcPr>
          <w:p w14:paraId="1FF96DF8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0,831</w:t>
            </w:r>
          </w:p>
        </w:tc>
        <w:tc>
          <w:tcPr>
            <w:tcW w:w="0" w:type="auto"/>
          </w:tcPr>
          <w:p w14:paraId="3EFC7D8A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0,021</w:t>
            </w:r>
          </w:p>
        </w:tc>
        <w:tc>
          <w:tcPr>
            <w:tcW w:w="0" w:type="auto"/>
          </w:tcPr>
          <w:p w14:paraId="7768E4AE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0,833</w:t>
            </w:r>
          </w:p>
        </w:tc>
        <w:tc>
          <w:tcPr>
            <w:tcW w:w="0" w:type="auto"/>
            <w:tcBorders>
              <w:right w:val="nil"/>
            </w:tcBorders>
          </w:tcPr>
          <w:p w14:paraId="0E19E757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0,019</w:t>
            </w:r>
          </w:p>
        </w:tc>
      </w:tr>
      <w:tr w:rsidR="00893F4E" w:rsidRPr="005D564E" w14:paraId="6F333222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53D9D6F3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6718143F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100.000</w:t>
            </w:r>
          </w:p>
        </w:tc>
        <w:tc>
          <w:tcPr>
            <w:tcW w:w="0" w:type="auto"/>
          </w:tcPr>
          <w:p w14:paraId="21CDAB47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0,829</w:t>
            </w:r>
          </w:p>
        </w:tc>
        <w:tc>
          <w:tcPr>
            <w:tcW w:w="0" w:type="auto"/>
          </w:tcPr>
          <w:p w14:paraId="6A3075F7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0,019</w:t>
            </w:r>
          </w:p>
        </w:tc>
        <w:tc>
          <w:tcPr>
            <w:tcW w:w="0" w:type="auto"/>
          </w:tcPr>
          <w:p w14:paraId="602A8741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0,832</w:t>
            </w:r>
          </w:p>
        </w:tc>
        <w:tc>
          <w:tcPr>
            <w:tcW w:w="0" w:type="auto"/>
            <w:tcBorders>
              <w:right w:val="nil"/>
            </w:tcBorders>
          </w:tcPr>
          <w:p w14:paraId="5A93B27C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0,017</w:t>
            </w:r>
          </w:p>
        </w:tc>
      </w:tr>
      <w:tr w:rsidR="00893F4E" w:rsidRPr="005D564E" w14:paraId="10A174C9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1A17428E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</w:tcPr>
          <w:p w14:paraId="09611356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0" w:type="auto"/>
          </w:tcPr>
          <w:p w14:paraId="6C2F843C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0,906</w:t>
            </w:r>
          </w:p>
        </w:tc>
        <w:tc>
          <w:tcPr>
            <w:tcW w:w="0" w:type="auto"/>
          </w:tcPr>
          <w:p w14:paraId="75F0E243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0,011</w:t>
            </w:r>
          </w:p>
        </w:tc>
        <w:tc>
          <w:tcPr>
            <w:tcW w:w="0" w:type="auto"/>
          </w:tcPr>
          <w:p w14:paraId="352516E8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0,907</w:t>
            </w:r>
          </w:p>
        </w:tc>
        <w:tc>
          <w:tcPr>
            <w:tcW w:w="0" w:type="auto"/>
            <w:tcBorders>
              <w:right w:val="nil"/>
            </w:tcBorders>
          </w:tcPr>
          <w:p w14:paraId="6AEC91C7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0,010</w:t>
            </w:r>
          </w:p>
        </w:tc>
      </w:tr>
      <w:tr w:rsidR="00893F4E" w:rsidRPr="005D564E" w14:paraId="36463BD2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1D09EF4E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</w:tcPr>
          <w:p w14:paraId="212E443A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50.000</w:t>
            </w:r>
          </w:p>
        </w:tc>
        <w:tc>
          <w:tcPr>
            <w:tcW w:w="0" w:type="auto"/>
          </w:tcPr>
          <w:p w14:paraId="06FC2417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0,906</w:t>
            </w:r>
          </w:p>
        </w:tc>
        <w:tc>
          <w:tcPr>
            <w:tcW w:w="0" w:type="auto"/>
          </w:tcPr>
          <w:p w14:paraId="1201309E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0,010</w:t>
            </w:r>
          </w:p>
        </w:tc>
        <w:tc>
          <w:tcPr>
            <w:tcW w:w="0" w:type="auto"/>
          </w:tcPr>
          <w:p w14:paraId="52B2E1F5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0,907</w:t>
            </w:r>
          </w:p>
        </w:tc>
        <w:tc>
          <w:tcPr>
            <w:tcW w:w="0" w:type="auto"/>
            <w:tcBorders>
              <w:right w:val="nil"/>
            </w:tcBorders>
          </w:tcPr>
          <w:p w14:paraId="33935590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0,009</w:t>
            </w:r>
          </w:p>
        </w:tc>
      </w:tr>
      <w:tr w:rsidR="00893F4E" w:rsidRPr="005D564E" w14:paraId="2CD56E85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3F71BE35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</w:tcPr>
          <w:p w14:paraId="099AC5B5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100.000</w:t>
            </w:r>
          </w:p>
        </w:tc>
        <w:tc>
          <w:tcPr>
            <w:tcW w:w="0" w:type="auto"/>
          </w:tcPr>
          <w:p w14:paraId="119F6B0D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0,908</w:t>
            </w:r>
          </w:p>
        </w:tc>
        <w:tc>
          <w:tcPr>
            <w:tcW w:w="0" w:type="auto"/>
          </w:tcPr>
          <w:p w14:paraId="2BDA9157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0,007</w:t>
            </w:r>
          </w:p>
        </w:tc>
        <w:tc>
          <w:tcPr>
            <w:tcW w:w="0" w:type="auto"/>
          </w:tcPr>
          <w:p w14:paraId="7B06723F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0,909</w:t>
            </w:r>
          </w:p>
        </w:tc>
        <w:tc>
          <w:tcPr>
            <w:tcW w:w="0" w:type="auto"/>
            <w:tcBorders>
              <w:right w:val="nil"/>
            </w:tcBorders>
          </w:tcPr>
          <w:p w14:paraId="4159CB34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0,007</w:t>
            </w:r>
          </w:p>
        </w:tc>
      </w:tr>
      <w:tr w:rsidR="00893F4E" w:rsidRPr="005D564E" w14:paraId="6A8955AC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12FDBBFC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</w:tcPr>
          <w:p w14:paraId="2B2179F5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0" w:type="auto"/>
          </w:tcPr>
          <w:p w14:paraId="3E506374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0,952</w:t>
            </w:r>
          </w:p>
        </w:tc>
        <w:tc>
          <w:tcPr>
            <w:tcW w:w="0" w:type="auto"/>
          </w:tcPr>
          <w:p w14:paraId="2D041C81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0,004</w:t>
            </w:r>
          </w:p>
        </w:tc>
        <w:tc>
          <w:tcPr>
            <w:tcW w:w="0" w:type="auto"/>
          </w:tcPr>
          <w:p w14:paraId="11C63FA8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0,953</w:t>
            </w:r>
          </w:p>
        </w:tc>
        <w:tc>
          <w:tcPr>
            <w:tcW w:w="0" w:type="auto"/>
            <w:tcBorders>
              <w:right w:val="nil"/>
            </w:tcBorders>
          </w:tcPr>
          <w:p w14:paraId="7D84CBBF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0,003</w:t>
            </w:r>
          </w:p>
        </w:tc>
      </w:tr>
      <w:tr w:rsidR="00893F4E" w:rsidRPr="005D564E" w14:paraId="119C26F2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31A887EB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</w:tcPr>
          <w:p w14:paraId="29731372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50.000</w:t>
            </w:r>
          </w:p>
        </w:tc>
        <w:tc>
          <w:tcPr>
            <w:tcW w:w="0" w:type="auto"/>
          </w:tcPr>
          <w:p w14:paraId="3EBDC46C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0,952</w:t>
            </w:r>
          </w:p>
        </w:tc>
        <w:tc>
          <w:tcPr>
            <w:tcW w:w="0" w:type="auto"/>
          </w:tcPr>
          <w:p w14:paraId="11252C11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0,004</w:t>
            </w:r>
          </w:p>
        </w:tc>
        <w:tc>
          <w:tcPr>
            <w:tcW w:w="0" w:type="auto"/>
          </w:tcPr>
          <w:p w14:paraId="5A1850EE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0,953</w:t>
            </w:r>
          </w:p>
        </w:tc>
        <w:tc>
          <w:tcPr>
            <w:tcW w:w="0" w:type="auto"/>
            <w:tcBorders>
              <w:right w:val="nil"/>
            </w:tcBorders>
          </w:tcPr>
          <w:p w14:paraId="71E5A29C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0,003</w:t>
            </w:r>
          </w:p>
        </w:tc>
      </w:tr>
      <w:tr w:rsidR="00893F4E" w:rsidRPr="005D564E" w14:paraId="4EB73464" w14:textId="77777777" w:rsidTr="005D564E">
        <w:trPr>
          <w:cantSplit/>
          <w:trHeight w:hRule="exact" w:val="397"/>
          <w:tblCellSpacing w:w="0" w:type="dxa"/>
          <w:jc w:val="center"/>
        </w:trPr>
        <w:tc>
          <w:tcPr>
            <w:tcW w:w="0" w:type="auto"/>
            <w:tcBorders>
              <w:left w:val="nil"/>
            </w:tcBorders>
          </w:tcPr>
          <w:p w14:paraId="2E8ED786" w14:textId="77777777" w:rsidR="00893F4E" w:rsidRPr="005D564E" w:rsidRDefault="00000000" w:rsidP="00C9497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</w:tcPr>
          <w:p w14:paraId="38EEFFB4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100.000</w:t>
            </w:r>
          </w:p>
        </w:tc>
        <w:tc>
          <w:tcPr>
            <w:tcW w:w="0" w:type="auto"/>
          </w:tcPr>
          <w:p w14:paraId="43D475EE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0,953</w:t>
            </w:r>
          </w:p>
        </w:tc>
        <w:tc>
          <w:tcPr>
            <w:tcW w:w="0" w:type="auto"/>
          </w:tcPr>
          <w:p w14:paraId="48BD079F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0,003</w:t>
            </w:r>
          </w:p>
        </w:tc>
        <w:tc>
          <w:tcPr>
            <w:tcW w:w="0" w:type="auto"/>
          </w:tcPr>
          <w:p w14:paraId="16DA48A3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0,953</w:t>
            </w:r>
          </w:p>
        </w:tc>
        <w:tc>
          <w:tcPr>
            <w:tcW w:w="0" w:type="auto"/>
            <w:tcBorders>
              <w:right w:val="nil"/>
            </w:tcBorders>
          </w:tcPr>
          <w:p w14:paraId="4F2161F1" w14:textId="77777777" w:rsidR="00893F4E" w:rsidRPr="005D564E" w:rsidRDefault="00000000" w:rsidP="00C94975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564E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0,003</w:t>
            </w:r>
          </w:p>
        </w:tc>
      </w:tr>
    </w:tbl>
    <w:p w14:paraId="6561B1FF" w14:textId="77777777" w:rsidR="00893F4E" w:rsidRPr="00C94975" w:rsidRDefault="00893F4E" w:rsidP="00C949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F68363" w14:textId="08B47AC9" w:rsidR="00893F4E" w:rsidRDefault="00000000" w:rsidP="00C94975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O gráfico a seguir ilustra a trajetória crescente e com retornos marginais decrescentes de ambos os coeficientes conforme o teste é alongado de 25 para 100 itens.</w:t>
      </w:r>
      <w:r w:rsidR="00DE4C8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Três padrões emergem claramente dos resultados. Primeiro, tanto o Alfa quanto o Ômega crescem de forma expressiva e não linear com o número de itens: a passagem de 25 para 50 itens elevou o Alfa médio de aproximadamente 0,83 para 0,91 (ganho de cerca de 8 pontos percentuais), enquanto a passagem de 50 para 100 itens produziu um ganho adicional de apenas cerca de 4,5 pontos percentuais, evidenciando o padrão de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retornos marginais decrescentes previsto pela fórmula de Spearman-Brown. Segundo, a diferença entre Ômega e Alfa é sistematicamente pequena e decrescente com o tamanho do teste: no cenário de 25 itens, a diferença média foi de cerca de 0,003 a 0,004; em 100 itens, a diferença caiu para menos de 0,001, corroborando a literatura que aponta convergência entre os dois coeficientes quando o número de itens é grande e as cargas fatoriais médias são moderadas. Terceiro, o tamanho da amostra de respondentes teve efeito comparativamente pequeno sobre as médias dos coeficientes, mas reduziu consistentemente sua variabilidade (desvio-padrão), como esperado em estimadores consistentes — por exemplo, no cenário de 25 itens, o desvio-padrão do Alfa caiu de 0,037 (10 mil respondentes) para 0,019 (100 mil respondentes).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[1][10][11][15]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8"/>
      </w:tblGrid>
      <w:tr w:rsidR="00EA74E2" w14:paraId="14DF02B9" w14:textId="77777777" w:rsidTr="00EA74E2">
        <w:trPr>
          <w:trHeight w:val="375"/>
          <w:jc w:val="center"/>
        </w:trPr>
        <w:tc>
          <w:tcPr>
            <w:tcW w:w="6248" w:type="dxa"/>
          </w:tcPr>
          <w:p w14:paraId="77B27929" w14:textId="77777777" w:rsidR="00EA74E2" w:rsidRDefault="00EA74E2" w:rsidP="004831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66CE">
              <w:rPr>
                <w:rFonts w:ascii="Times New Roman" w:hAnsi="Times New Roman" w:cs="Times New Roman"/>
                <w:b/>
                <w:bCs/>
                <w:sz w:val="22"/>
              </w:rPr>
              <w:t xml:space="preserve">Figura 1. </w:t>
            </w:r>
            <w:r w:rsidRPr="00D066CE">
              <w:rPr>
                <w:rFonts w:ascii="Times New Roman" w:hAnsi="Times New Roman" w:cs="Times New Roman"/>
                <w:sz w:val="22"/>
              </w:rPr>
              <w:t xml:space="preserve">Evolução do </w:t>
            </w:r>
            <w:r w:rsidRPr="00D066CE">
              <w:rPr>
                <w:rFonts w:ascii="Times New Roman" w:eastAsia="source serif 4" w:hAnsi="Times New Roman" w:cs="Times New Roman"/>
                <w:color w:val="000000"/>
                <w:sz w:val="22"/>
              </w:rPr>
              <w:t>Alfa de Cronbach e do Ômega de McDonald</w:t>
            </w:r>
          </w:p>
        </w:tc>
      </w:tr>
      <w:tr w:rsidR="00EA74E2" w14:paraId="7F1D517C" w14:textId="77777777" w:rsidTr="00EA74E2">
        <w:trPr>
          <w:trHeight w:val="375"/>
          <w:jc w:val="center"/>
        </w:trPr>
        <w:tc>
          <w:tcPr>
            <w:tcW w:w="6248" w:type="dxa"/>
          </w:tcPr>
          <w:p w14:paraId="4A782B2E" w14:textId="77777777" w:rsidR="00EA74E2" w:rsidRDefault="00EA74E2" w:rsidP="004831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ource serif 4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2CBF0B8" wp14:editId="04DE8143">
                  <wp:extent cx="3696866" cy="2706370"/>
                  <wp:effectExtent l="0" t="0" r="0" b="0"/>
                  <wp:docPr id="9578971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89711" name="Imagem 9578971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545" cy="2711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ABC57" w14:textId="431FF236" w:rsidR="006B1ECA" w:rsidRPr="00C94975" w:rsidRDefault="006B1ECA" w:rsidP="006B1E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</w:t>
      </w:r>
      <w:r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1.</w:t>
      </w:r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Proposta de correção empírica</w:t>
      </w:r>
    </w:p>
    <w:p w14:paraId="2937F371" w14:textId="3C657938" w:rsidR="00DD422F" w:rsidRDefault="00DD422F" w:rsidP="00DD422F">
      <w:pPr>
        <w:spacing w:after="210" w:line="360" w:lineRule="auto"/>
        <w:jc w:val="both"/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Na 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Figura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 2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>,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 as simulações foram realizadas com testes variando de 10 a 100 </w:t>
      </w:r>
      <w:r w:rsidR="00F30217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itens, 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visando identificar 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>com mais detalhe</w:t>
      </w:r>
      <w:r w:rsidR="007C6B51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>s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 a curva de crescimento do Alfa de Crombach</w:t>
      </w:r>
      <w:r w:rsidR="00EA74E2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 e fazer uma sugestão de correção </w:t>
      </w:r>
      <w:r w:rsidR="00F30217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empírica </w:t>
      </w:r>
      <w:r w:rsidR="00EA74E2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>de acordo com o número de itens do teste.</w:t>
      </w:r>
      <w:r w:rsidR="007C6B51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 Embora a estabilidade já ocorra antes de 100 itens, podemos usar este valor como referência</w:t>
      </w:r>
      <w:r w:rsidR="005E3BAC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, e usar </w:t>
      </w:r>
      <m:oMath>
        <m:r>
          <w:rPr>
            <w:rFonts w:ascii="Cambria Math" w:eastAsia="source serif 4" w:hAnsi="Cambria Math" w:cs="Times New Roman"/>
            <w:noProof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source serif 4" w:hAnsi="Cambria Math" w:cs="Times New Roman"/>
                <w:i/>
                <w:noProof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ource serif 4" w:hAnsi="Cambria Math" w:cs="Times New Roman"/>
                <w:noProof/>
                <w:color w:val="000000"/>
                <w:sz w:val="24"/>
                <w:szCs w:val="24"/>
              </w:rPr>
              <m:t>k</m:t>
            </m:r>
          </m:e>
        </m:d>
        <m:r>
          <w:rPr>
            <w:rFonts w:ascii="Cambria Math" w:eastAsia="source serif 4" w:hAnsi="Cambria Math" w:cs="Times New Roman"/>
            <w:noProof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source serif 4" w:hAnsi="Cambria Math" w:cs="Times New Roman"/>
                <w:i/>
                <w:noProof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source serif 4" w:hAnsi="Cambria Math" w:cs="Times New Roman"/>
                <w:noProof/>
                <w:color w:val="000000"/>
                <w:sz w:val="24"/>
                <w:szCs w:val="24"/>
              </w:rPr>
              <m:t>100/</m:t>
            </m:r>
            <m:r>
              <w:rPr>
                <w:rFonts w:ascii="Cambria Math" w:eastAsia="source serif 4" w:hAnsi="Cambria Math" w:cs="Times New Roman"/>
                <w:noProof/>
                <w:color w:val="000000"/>
                <w:sz w:val="24"/>
                <w:szCs w:val="24"/>
              </w:rPr>
              <m:t>k</m:t>
            </m:r>
          </m:e>
        </m:rad>
        <m:r>
          <w:rPr>
            <w:rFonts w:ascii="Cambria Math" w:eastAsia="source serif 4" w:hAnsi="Cambria Math" w:cs="Times New Roman"/>
            <w:noProof/>
            <w:color w:val="000000"/>
            <w:sz w:val="24"/>
            <w:szCs w:val="24"/>
          </w:rPr>
          <m:t>=10/</m:t>
        </m:r>
        <m:rad>
          <m:radPr>
            <m:degHide m:val="1"/>
            <m:ctrlPr>
              <w:rPr>
                <w:rFonts w:ascii="Cambria Math" w:eastAsia="source serif 4" w:hAnsi="Cambria Math" w:cs="Times New Roman"/>
                <w:i/>
                <w:noProof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source serif 4" w:hAnsi="Cambria Math" w:cs="Times New Roman"/>
                <w:noProof/>
                <w:color w:val="000000"/>
                <w:sz w:val="24"/>
                <w:szCs w:val="24"/>
              </w:rPr>
              <m:t>k</m:t>
            </m:r>
          </m:e>
        </m:rad>
      </m:oMath>
      <w:r w:rsidR="005E3BAC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>. O coeficiente Alfa Corrigido será dado pela expressão abaixo, e está representado pela linha vermelha na Figura 2.</w:t>
      </w:r>
    </w:p>
    <w:p w14:paraId="29E63AE5" w14:textId="787FB79C" w:rsidR="005E3BAC" w:rsidRPr="00C94975" w:rsidRDefault="005E3BAC" w:rsidP="005E3BA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-1</m:t>
              </m:r>
            </m:den>
          </m:f>
          <m:d>
            <m:dPr>
              <m:ctrl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 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k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.</m:t>
          </m:r>
        </m:oMath>
      </m:oMathPara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8"/>
      </w:tblGrid>
      <w:tr w:rsidR="00DD422F" w14:paraId="3B132026" w14:textId="77777777" w:rsidTr="005D564E">
        <w:trPr>
          <w:trHeight w:val="375"/>
          <w:jc w:val="center"/>
        </w:trPr>
        <w:tc>
          <w:tcPr>
            <w:tcW w:w="6248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22"/>
            </w:tblGrid>
            <w:tr w:rsidR="00DD422F" w14:paraId="20E11BF0" w14:textId="77777777" w:rsidTr="00DD422F">
              <w:tc>
                <w:tcPr>
                  <w:tcW w:w="6022" w:type="dxa"/>
                </w:tcPr>
                <w:p w14:paraId="00323327" w14:textId="546F090A" w:rsidR="00DD422F" w:rsidRDefault="00DD422F" w:rsidP="00483121">
                  <w:pPr>
                    <w:spacing w:line="360" w:lineRule="auto"/>
                    <w:jc w:val="both"/>
                    <w:rPr>
                      <w:rFonts w:ascii="Times New Roman" w:eastAsia="source serif 4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 w:rsidRPr="00DD422F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lastRenderedPageBreak/>
                    <w:t xml:space="preserve">Figura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2</w:t>
                  </w:r>
                  <w:r w:rsidRPr="00DD422F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Convergência e correção do Alfa de crombach</w:t>
                  </w:r>
                </w:p>
              </w:tc>
            </w:tr>
            <w:tr w:rsidR="00DD422F" w14:paraId="5D865A40" w14:textId="77777777" w:rsidTr="00DD422F">
              <w:tc>
                <w:tcPr>
                  <w:tcW w:w="6022" w:type="dxa"/>
                </w:tcPr>
                <w:p w14:paraId="76F98593" w14:textId="0496BCD8" w:rsidR="00DD422F" w:rsidRDefault="009F7227" w:rsidP="00DD422F">
                  <w:pPr>
                    <w:spacing w:line="360" w:lineRule="auto"/>
                    <w:jc w:val="center"/>
                    <w:rPr>
                      <w:rFonts w:ascii="Times New Roman" w:eastAsia="source serif 4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 w:rsidRPr="009F7227">
                    <w:rPr>
                      <w:rFonts w:ascii="Times New Roman" w:eastAsia="source serif 4" w:hAnsi="Times New Roman" w:cs="Times New Roman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25D76FA1" wp14:editId="630E95CA">
                        <wp:extent cx="3600450" cy="2787629"/>
                        <wp:effectExtent l="0" t="0" r="0" b="0"/>
                        <wp:docPr id="1158750425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8750425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7122" cy="280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BF32F8" w14:textId="77777777" w:rsidR="00DD422F" w:rsidRDefault="00DD422F" w:rsidP="00483121">
            <w:pPr>
              <w:spacing w:line="360" w:lineRule="auto"/>
              <w:jc w:val="both"/>
              <w:rPr>
                <w:rFonts w:ascii="Times New Roman" w:eastAsia="source serif 4" w:hAnsi="Times New Roman" w:cs="Times New Roman"/>
                <w:noProof/>
                <w:color w:val="000000"/>
                <w:sz w:val="24"/>
                <w:szCs w:val="24"/>
              </w:rPr>
            </w:pPr>
          </w:p>
        </w:tc>
      </w:tr>
    </w:tbl>
    <w:p w14:paraId="0B7E86FC" w14:textId="37A6B725" w:rsidR="00F30217" w:rsidRPr="00F30217" w:rsidRDefault="00F30217" w:rsidP="00F30217">
      <w:pPr>
        <w:spacing w:after="210" w:line="360" w:lineRule="auto"/>
        <w:jc w:val="both"/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</w:pPr>
      <w:bookmarkStart w:id="8" w:name="bm_5_discussão"/>
      <w:r w:rsidRPr="00F30217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>Podemos n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otar que a linha </w:t>
      </w:r>
      <w:r w:rsidR="009F7227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>azul</w:t>
      </w:r>
      <w:r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 representando o Alfa de Crombach ajustado empiricamente é bastante estável, o que deve ocorrer quando a estimativa não depende do tamanho do teste.</w:t>
      </w:r>
      <w:r w:rsidR="009F7227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t xml:space="preserve"> A linha vermelha corresponde ao ajuste de </w:t>
      </w:r>
      <w:r w:rsidR="009F7227"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Spearman-Brown</w:t>
      </w:r>
      <w:r w:rsidR="009F7227">
        <w:rPr>
          <w:rFonts w:ascii="Times New Roman" w:eastAsia="source serif 4" w:hAnsi="Times New Roman" w:cs="Times New Roman"/>
          <w:color w:val="000000"/>
          <w:sz w:val="24"/>
          <w:szCs w:val="24"/>
        </w:rPr>
        <w:t>, claramente dependente do tamanho do teste.</w:t>
      </w:r>
    </w:p>
    <w:p w14:paraId="5F1B618D" w14:textId="48FC20AE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 Discussão</w:t>
      </w:r>
      <w:bookmarkEnd w:id="8"/>
    </w:p>
    <w:p w14:paraId="387A5057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Os resultados reforçam empiricamente a preocupação central que motivou este estudo: usar um valor fixo de Alfa ou Ômega (por exemplo, o critério convencional de 0,70 ou 0,80) como regra de corte para eliminação de itens é problemático quando aplicado indiscriminadamente a testes de tamanhos muito diferentes. No cenário simulado com apenas 25 itens, mesmo com parâmetros de discriminação favoráveis (entre 0,5 e 3), a fidedignidade média não superou 0,83, ao passo que testes com 100 itens e os mesmos parâmetros de item facilmente superaram 0,95. Esse padrão sugere que testes curtos podem ser penalizados injustamente por critérios de fidedignidade pensados para testes longos, levando à eliminação de itens tecnicamente adequados apenas em razão do reduzido comprimento do instrumento.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[18][3]</w:t>
      </w:r>
    </w:p>
    <w:p w14:paraId="4768E595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A convergência entre Alfa e Ômega observada em testes com 50 e, sobretudo, 100 itens é consistente com achados prévios de que a vantagem do Ômega sobre o Alfa se concentra em cenários de poucos itens e baixas cargas fatoriais, tornando-se praticamente irrelevante quando o teste é suficientemente extenso. Isso indica que, em bancos de itens robustos, a escolha entre os dois coeficientes tem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impacto prático limitado, mas em testes curtos — justamente o cenário mais sensível — a diferença entre os coeficientes se amplia e a interpretação exige mais cautela.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[1][10][6][19]</w:t>
      </w:r>
    </w:p>
    <w:p w14:paraId="1E3C6603" w14:textId="71E0C8F5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Como via de correção, </w:t>
      </w:r>
      <w:r w:rsidR="009F7227">
        <w:rPr>
          <w:rFonts w:ascii="Times New Roman" w:eastAsia="source serif 4" w:hAnsi="Times New Roman" w:cs="Times New Roman"/>
          <w:color w:val="000000"/>
          <w:sz w:val="24"/>
          <w:szCs w:val="24"/>
        </w:rPr>
        <w:t>a correção proposta neste trabalho apresenta os melhores resultados, sem a mesma sensibilidade ao tamanho do teste. A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fórmula de Spearman-Brown oferece um instrumento simples para projetar a fidedignidade esperada caso o teste seja alongado ou encurtado, sob a suposição de itens paralelos. Aplicada de forma inversa, ela também permite estimar quantos itens adicionais equivalentes aos já existentes seriam necessários para atingir um nível-alvo de fidedignidade, oferecendo uma métrica objetiva de planejamento de comprimento de teste em substituição à comparação direta e descontextualizada de coeficientes brutos entre testes de tamanhos distintos. Ressalva-se, contudo, que a fórmula pressupõe itens estatisticamente paralelos (variâncias e correlações inter-item equivalentes), condição nem sempre satisfeita quando os itens adicionados diferem substancialmente em discriminação, como no desenho ML2 aqui simulado.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[11][20][12][21]</w:t>
      </w:r>
    </w:p>
    <w:p w14:paraId="0E22559D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6_conclusões_e_considerações_finais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6. Conclusões e considerações finais</w:t>
      </w:r>
      <w:bookmarkEnd w:id="9"/>
    </w:p>
    <w:p w14:paraId="563B1750" w14:textId="40CDB2D1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O estudo de simulação confirmou que tanto o Alfa de Cronbach quanto o Ômega de McDonald são fortemente sensíveis ao número de itens do teste, crescendo de forma não linear e com retornos marginais decrescentes conforme o teste se alonga. A diferença entre os dois coeficientes, por sua vez, diminui conforme o teste cresce, tornando-se praticamente desprezível em testes de 100 itens neste desenho, mas relevante em testes curtos (25 itens), cenário em que a escolha do coeficiente e a interpretação do valor absoluto exigem maior cautela.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vertAlign w:val="superscript"/>
        </w:rPr>
        <w:t>[3][11]</w:t>
      </w:r>
    </w:p>
    <w:p w14:paraId="33FA4981" w14:textId="4FC79060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Do ponto de vista prático, os resultados recomendam que a eliminação de itens com base em Alfa ou Ômega não deve seguir limiares fixos e universais, especialmente em testes curtos; em vez disso, sugere-se contextualizar o valor observado por meio de correções de comprimento (Spearman-Brown) ou de referências específicas ao tamanho do teste em avaliação</w:t>
      </w:r>
      <w:r w:rsidR="00DA31E0">
        <w:rPr>
          <w:rFonts w:ascii="Times New Roman" w:eastAsia="source serif 4" w:hAnsi="Times New Roman" w:cs="Times New Roman"/>
          <w:color w:val="000000"/>
          <w:sz w:val="24"/>
          <w:szCs w:val="24"/>
        </w:rPr>
        <w:t>, com a correção empírica proposta neste trabalho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. </w:t>
      </w:r>
    </w:p>
    <w:p w14:paraId="23E2B3DB" w14:textId="77777777" w:rsidR="00893F4E" w:rsidRPr="00C94975" w:rsidRDefault="00000000" w:rsidP="00C94975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referências"/>
      <w:proofErr w:type="spellStart"/>
      <w:r w:rsidRPr="00C94975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>Referências</w:t>
      </w:r>
      <w:bookmarkEnd w:id="10"/>
      <w:proofErr w:type="spellEnd"/>
    </w:p>
    <w:p w14:paraId="4B1A91CE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CRONBACH, L. J. Coefficient alpha and the internal structure of tests.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Psychometrika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, v. 16, n. 3, p. 297-334, 1951.</w:t>
      </w:r>
    </w:p>
    <w:p w14:paraId="55585CFB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lastRenderedPageBreak/>
        <w:t xml:space="preserve">MCDONALD, R. P.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Test theory: A unified treatment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. Mahwah, NJ: Lawrence Erlbaum Associates, 1999.</w:t>
      </w:r>
    </w:p>
    <w:p w14:paraId="39F3FE86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DUNN, T. J.; BAGULEY, T.; BRUNSDEN, V. From alpha to omega: A practical solution to the pervasive problem of internal consistency estimation.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British Journal of Psychology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, v. 105, n. 3, p. 399-412, 2014.</w:t>
      </w:r>
    </w:p>
    <w:p w14:paraId="60781F63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HAYES, A. F.; COUTTS, J. J. Use Omega Rather than Cronbach's Alpha for Estimating Reliability. But….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Communication Methods and Measures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, v. 14, n. 1, p. 1-24, </w:t>
      </w:r>
      <w:proofErr w:type="gramStart"/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2020.[</w:t>
      </w:r>
      <w:proofErr w:type="gramEnd"/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^4]</w:t>
      </w:r>
    </w:p>
    <w:p w14:paraId="7B590874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ZHANG, Z.; YUAN, K.-H. Robust Coefficients Alpha and Omega and Confidence Intervals with Outlying and Missing Data.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Educational and Psychological Measurement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, v. 76, n. 3, p. 387-411, </w:t>
      </w:r>
      <w:proofErr w:type="gramStart"/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2016.[</w:t>
      </w:r>
      <w:proofErr w:type="gramEnd"/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^2]</w:t>
      </w:r>
    </w:p>
    <w:p w14:paraId="21A65523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ORÇAN, F. Comparison of Cronbach's Alpha and McDonald's Omega for Ordinal Data.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International Journal of Assessment Tools in Education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, v. 10, n. 4, </w:t>
      </w:r>
      <w:proofErr w:type="gramStart"/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2023.[</w:t>
      </w:r>
      <w:proofErr w:type="gramEnd"/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^1]</w:t>
      </w:r>
    </w:p>
    <w:p w14:paraId="051CD119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SPEARMAN, C. Correlation calculated from faulty data.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British Journal of Psychology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, v. 3, n. 3, p. 271-295, 1910.</w:t>
      </w:r>
    </w:p>
    <w:p w14:paraId="3D8E5418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BROWN, W. Some experimental results in the correlation of mental abilities.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British Journal of Psychology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, v. 3, n. 3, p. 296-322, 1910.</w:t>
      </w:r>
    </w:p>
    <w:p w14:paraId="183CF669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LORD, F. M.; NOVICK, M. R.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  <w:lang w:val="en-US"/>
        </w:rPr>
        <w:t>Statistical theories of mental test scores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. Reading, MA: Addison-Wesley, 1968.</w:t>
      </w:r>
    </w:p>
    <w:p w14:paraId="75C5DDE0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MALKEWITZ, C. P. et al. Estimating reliability: A comparison of Cronbach's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α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, McDonald's 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ω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t and the greatest lower bound.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</w:rPr>
        <w:t>Social Sciences &amp; Humanities Open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, v. 7, n. 1, 2023.[^22]</w:t>
      </w:r>
    </w:p>
    <w:p w14:paraId="42DDE25F" w14:textId="77777777" w:rsidR="00893F4E" w:rsidRPr="00C94975" w:rsidRDefault="00000000" w:rsidP="00C94975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ANDRADE, D. F.; TAVARES, H. R.; VALLE, R. C. </w:t>
      </w:r>
      <w:r w:rsidRPr="00C94975">
        <w:rPr>
          <w:rFonts w:ascii="Times New Roman" w:eastAsia="source serif 4" w:hAnsi="Times New Roman" w:cs="Times New Roman"/>
          <w:i/>
          <w:color w:val="000000"/>
          <w:sz w:val="24"/>
          <w:szCs w:val="24"/>
        </w:rPr>
        <w:t>Teoria da Resposta ao Item: Conceitos e Aplicações</w:t>
      </w:r>
      <w:r w:rsidRPr="00C94975">
        <w:rPr>
          <w:rFonts w:ascii="Times New Roman" w:eastAsia="source serif 4" w:hAnsi="Times New Roman" w:cs="Times New Roman"/>
          <w:color w:val="000000"/>
          <w:sz w:val="24"/>
          <w:szCs w:val="24"/>
        </w:rPr>
        <w:t>. São Paulo: ABE, 2000.[^17]</w:t>
      </w:r>
    </w:p>
    <w:p w14:paraId="55422410" w14:textId="77777777" w:rsidR="00893F4E" w:rsidRPr="00C94975" w:rsidRDefault="00000000" w:rsidP="00C94975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975">
        <w:rPr>
          <w:rFonts w:ascii="Times New Roman" w:hAnsi="Times New Roman" w:cs="Times New Roman"/>
          <w:noProof/>
          <w:sz w:val="24"/>
          <w:szCs w:val="24"/>
        </w:rPr>
      </w:r>
      <w:r w:rsidRPr="00C94975">
        <w:rPr>
          <w:rFonts w:ascii="Times New Roman" w:hAnsi="Times New Roman" w:cs="Times New Roman"/>
          <w:noProof/>
          <w:sz w:val="24"/>
          <w:szCs w:val="24"/>
        </w:rPr>
        <w:pict w14:anchorId="67E1F55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893F4E" w:rsidRPr="00C9497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51940"/>
    <w:multiLevelType w:val="hybridMultilevel"/>
    <w:tmpl w:val="C05E67DA"/>
    <w:lvl w:ilvl="0" w:tplc="B2DC4BE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DAC2CA8">
      <w:numFmt w:val="decimal"/>
      <w:lvlText w:val=""/>
      <w:lvlJc w:val="left"/>
    </w:lvl>
    <w:lvl w:ilvl="2" w:tplc="9F82A42C">
      <w:numFmt w:val="decimal"/>
      <w:lvlText w:val=""/>
      <w:lvlJc w:val="left"/>
    </w:lvl>
    <w:lvl w:ilvl="3" w:tplc="ABBE04A4">
      <w:numFmt w:val="decimal"/>
      <w:lvlText w:val=""/>
      <w:lvlJc w:val="left"/>
    </w:lvl>
    <w:lvl w:ilvl="4" w:tplc="43A21F68">
      <w:numFmt w:val="decimal"/>
      <w:lvlText w:val=""/>
      <w:lvlJc w:val="left"/>
    </w:lvl>
    <w:lvl w:ilvl="5" w:tplc="4EB613BE">
      <w:numFmt w:val="decimal"/>
      <w:lvlText w:val=""/>
      <w:lvlJc w:val="left"/>
    </w:lvl>
    <w:lvl w:ilvl="6" w:tplc="A9D862C8">
      <w:numFmt w:val="decimal"/>
      <w:lvlText w:val=""/>
      <w:lvlJc w:val="left"/>
    </w:lvl>
    <w:lvl w:ilvl="7" w:tplc="1BE8FA5A">
      <w:numFmt w:val="decimal"/>
      <w:lvlText w:val=""/>
      <w:lvlJc w:val="left"/>
    </w:lvl>
    <w:lvl w:ilvl="8" w:tplc="0A84D512">
      <w:numFmt w:val="decimal"/>
      <w:lvlText w:val=""/>
      <w:lvlJc w:val="left"/>
    </w:lvl>
  </w:abstractNum>
  <w:num w:numId="1" w16cid:durableId="33102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F4E"/>
    <w:rsid w:val="000B12E1"/>
    <w:rsid w:val="00272325"/>
    <w:rsid w:val="00474F53"/>
    <w:rsid w:val="00543016"/>
    <w:rsid w:val="005D564E"/>
    <w:rsid w:val="005E3BAC"/>
    <w:rsid w:val="006834A7"/>
    <w:rsid w:val="006B1ECA"/>
    <w:rsid w:val="00723790"/>
    <w:rsid w:val="007A133F"/>
    <w:rsid w:val="007C6B51"/>
    <w:rsid w:val="00893F4E"/>
    <w:rsid w:val="009F7227"/>
    <w:rsid w:val="00A7541F"/>
    <w:rsid w:val="00C94975"/>
    <w:rsid w:val="00D066CE"/>
    <w:rsid w:val="00DA31E0"/>
    <w:rsid w:val="00DD422F"/>
    <w:rsid w:val="00DE4C85"/>
    <w:rsid w:val="00EA74E2"/>
    <w:rsid w:val="00F3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755C54"/>
  <w15:docId w15:val="{D6FA46A2-7C3B-4CC5-A6A7-C9D20391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ECA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elacomgrade">
    <w:name w:val="Table Grid"/>
    <w:basedOn w:val="Tabelanormal"/>
    <w:uiPriority w:val="39"/>
    <w:rsid w:val="00683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B12E1"/>
    <w:rPr>
      <w:color w:val="666666"/>
    </w:rPr>
  </w:style>
  <w:style w:type="character" w:styleId="Hyperlink">
    <w:name w:val="Hyperlink"/>
    <w:basedOn w:val="Fontepargpadro"/>
    <w:uiPriority w:val="99"/>
    <w:unhideWhenUsed/>
    <w:rsid w:val="00DA31E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31E0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41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2528</Words>
  <Characters>14158</Characters>
  <Application>Microsoft Office Word</Application>
  <DocSecurity>0</DocSecurity>
  <Lines>257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Heliton Tavares</cp:lastModifiedBy>
  <cp:revision>2</cp:revision>
  <dcterms:created xsi:type="dcterms:W3CDTF">2026-09-01T22:37:00Z</dcterms:created>
  <dcterms:modified xsi:type="dcterms:W3CDTF">2026-09-01T22:37:00Z</dcterms:modified>
</cp:coreProperties>
</file>