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/>
        <w:drawing>
          <wp:inline distB="0" distT="0" distL="114300" distR="114300">
            <wp:extent cx="1080000" cy="514967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14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40"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Diferenças entre os modelos de Rasch e Logístico de 1 parâmetro no mirt em testes de múltipla escolha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Adrianne da Silva Zifirino</w:t>
      </w:r>
      <w:r w:rsidDel="00000000" w:rsidR="00000000" w:rsidRPr="00000000">
        <w:rPr>
          <w:sz w:val="22"/>
          <w:szCs w:val="22"/>
          <w:rtl w:val="0"/>
        </w:rPr>
        <w:t xml:space="preserve">¹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Gelilza Salazar Costa²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Jamile Correa Fernandes³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Marcelo Brazão Protázio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Héliton Ribeiro Tavares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¹ Universidade Federal do Pará, Belém/PA; adrianne23.silva@gmail.com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Universidade Federal do Pará, Belém/PA; gelilza@gmail.com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Universidade Federal do Pará, Belém/PA; jamillyf640@gmail.com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 Universidade Federal do Pará, Belém/PA; mprotazio@gmail.com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 Universidade Federal do Pará, Belém/PA; heliton@ufpa.br</w:t>
      </w:r>
    </w:p>
    <w:p w:rsidR="00000000" w:rsidDel="00000000" w:rsidP="00000000" w:rsidRDefault="00000000" w:rsidRPr="00000000" w14:paraId="0000000F">
      <w:pPr>
        <w:spacing w:after="24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36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os modelos de Rasch e logístico de um parâmetro (1PL) possuam curvas de resposta formalmente equivalentes sob reescala, suas identificações diferem no pacote mirt: em Rasch a inclinação é fixada em 1 e a variância latente é estimada, enquanto em 1PL a escala latente permanece identificada e uma discriminação comum é estimada. Este trabalho propõe investigar, por simulação, as consequências dessa diferença quando os dados são gerados por um modelo 3PL heterogêneo. Serão simulados testes com 25, 50 e 100 itens e amostras de 10 mil, 50 mil e 100 mil respondentes, com θ~N(0,1). Os parâmetros geradores variam</w:t>
      </w:r>
      <w:sdt>
        <w:sdtPr>
          <w:id w:val="-95206927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em a∈[0,5;3], b∈[-3;3] e c∈[0;0,4]. Rasch e 1PL serão comparados quanto à recuperação da dificuldade, proficiência, ajuste e erro condicional em 13 pontos de θ entre -3 e 3. Espera-se 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esclarecer quando as diferenças de parametrização se traduzem em diferenças práticas sob má especificação do modelo.</w:t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  <w:sectPr>
          <w:footerReference r:id="rId8" w:type="default"/>
          <w:pgSz w:h="15840" w:w="12240" w:orient="portrait"/>
          <w:pgMar w:bottom="1134" w:top="1701" w:left="1701" w:right="1134" w:header="312" w:footer="369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sz w:val="24"/>
          <w:szCs w:val="24"/>
          <w:rtl w:val="0"/>
        </w:rPr>
        <w:t xml:space="preserve">Teoria de Resposta ao Item; Rasch; 1PL; mirt; simulação Monte Carlo.</w:t>
      </w:r>
    </w:p>
    <w:p w:rsidR="00000000" w:rsidDel="00000000" w:rsidP="00000000" w:rsidRDefault="00000000" w:rsidRPr="00000000" w14:paraId="00000014">
      <w:pPr>
        <w:pStyle w:val="Heading1"/>
        <w:spacing w:after="40" w:before="8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8unhoow3d1g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15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Teoria de Resposta ao Item (TRI) reúne modelos probabilísticos que relacionam o desempenho observado em itens a uma variável latente, usualmente denominada proficiência. Entre os modelos dicotômicos mais simples estão o modelo de Rasch e o modelo logístico de um parâmetro (1PL). Em ambos, os itens diferem essencialmente por sua localização na escala, e as curvas características são paralelas. Essa semelhança matemática faz com que as denominações sejam frequentemente tratadas como equivalentes, embora existam diferenças conceituais e, principalmente, diferenças de identificação e estimação em implementações computacionais.</w:t>
      </w:r>
    </w:p>
    <w:p w:rsidR="00000000" w:rsidDel="00000000" w:rsidP="00000000" w:rsidRDefault="00000000" w:rsidRPr="00000000" w14:paraId="00000016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pacote mirt, essa distinção é explícita. Para itemtype='Rasch', as inclinações dos itens são fixadas em 1 e a variância da variável latente é livremente estimada. Para itemtype='1PL', as inclinações permanecem iguais entre itens, mas uma inclinação comum pode ser estimada enquanto a métrica do traço latente é identificada de outra forma. A própria documentação alerta que especificar '1PL' não estima automaticamente a variância latente como ocorre em 'Rasch' (CHALMERS, 2012). Portanto, os dois ajustes podem representar a mesma família de curvas em métricas diferentes quando o modelo é corretamente especificado, mas não devem ser comparados ingenuamente parâmetro a parâmetro sem transformação de escala.</w:t>
      </w:r>
    </w:p>
    <w:p w:rsidR="00000000" w:rsidDel="00000000" w:rsidP="00000000" w:rsidRDefault="00000000" w:rsidRPr="00000000" w14:paraId="00000017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distinção ganha interesse quando o modelo ajustado é deliberadamente mais restritivo que o mecanismo gerador. Em testes reais de múltipla escolha, os itens podem apresentar discriminações distintas e probabilidade de acerto entre respondentes de baixa proficiência. O modelo logístico de três parâmetros (3PL) incorpora essas duas características pelos parâmetros a e c. Ajustar Rasch ou 1PL a dados 3PL representa, assim, uma situação de má especificação que permite avaliar como cada identificação absorve a heterogeneidade omitida.</w:t>
      </w:r>
    </w:p>
    <w:p w:rsidR="00000000" w:rsidDel="00000000" w:rsidP="00000000" w:rsidRDefault="00000000" w:rsidRPr="00000000" w14:paraId="00000018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problema possui relevância para avaliações em larga escala. O documento de planejamento que motiva este estudo destaca aplicações de modelos de Rasch em avaliações do Inep e propõe comparar Rasch e 1PL em testes sintéticos de múltipla escolha. O foco não é afirmar previamente superioridade de um modelo, mas identificar em quais condições diferenças de escala, tamanho de teste, tamanho amostral e posição na distribuição de proficiência produzem consequências mensuráveis na estimação.</w:t>
      </w:r>
    </w:p>
    <w:p w:rsidR="00000000" w:rsidDel="00000000" w:rsidP="00000000" w:rsidRDefault="00000000" w:rsidRPr="00000000" w14:paraId="00000019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Objetivo</w:t>
      </w:r>
    </w:p>
    <w:p w:rsidR="00000000" w:rsidDel="00000000" w:rsidP="00000000" w:rsidRDefault="00000000" w:rsidRPr="00000000" w14:paraId="0000001B">
      <w:pPr>
        <w:spacing w:after="40" w:line="360" w:lineRule="auto"/>
        <w:jc w:val="both"/>
        <w:rPr>
          <w:sz w:val="24"/>
          <w:szCs w:val="24"/>
        </w:rPr>
        <w:sectPr>
          <w:footerReference r:id="rId9" w:type="default"/>
          <w:type w:val="nextPage"/>
          <w:pgSz w:h="15840" w:w="12240" w:orient="portrait"/>
          <w:pgMar w:bottom="1134" w:top="1701" w:left="1701" w:right="1134" w:header="312" w:footer="369"/>
        </w:sectPr>
      </w:pPr>
      <w:r w:rsidDel="00000000" w:rsidR="00000000" w:rsidRPr="00000000">
        <w:rPr>
          <w:sz w:val="24"/>
          <w:szCs w:val="24"/>
          <w:rtl w:val="0"/>
        </w:rPr>
        <w:t xml:space="preserve">Comparar, por simulação Monte Carlo no pacote mirt, o comportamento dos ajustes Rasch e 1PL na estimação de parâmetros dos itens e proficiências quando os dados são gerados por um modelo 3PL, considerando diferentes comprimentos de teste, tamanhos amostrais e níveis de proficiência.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 Metodologia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Delineamento da simulação</w:t>
      </w:r>
    </w:p>
    <w:p w:rsidR="00000000" w:rsidDel="00000000" w:rsidP="00000000" w:rsidRDefault="00000000" w:rsidRPr="00000000" w14:paraId="0000001E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delineamento principal cruzará três comprimentos de teste (25, 50 e 100 itens), três tamanhos amostrais (10.000, 50.000 e 100.000 respondentes) e dois modelos de estimação (Rasch e 1PL), totalizando 18 condições de ajuste por réplica. Para cada condição de geração, as proficiências forão amostradas de N(0,1). Os dados dicotômicos forão gerados pelo 3PL, conforme o planejamento do estudo, com discriminação a no intervalo [0,5;3], dificuldade b no intervalo [-3;3] e acerto casual c no intervalo [0;0,4].</w:t>
      </w:r>
    </w:p>
    <w:p w:rsidR="00000000" w:rsidDel="00000000" w:rsidP="00000000" w:rsidRDefault="00000000" w:rsidRPr="00000000" w14:paraId="0000001F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que conclusões dependam de uma única realização dos parâmetros dos itens, foram utilizadas 50 réplicas Monte Carlo por combinação entre número de itens e tamanho amostral. Em cada réplica, a, b e forão sorteados de distribuições uniformes nos intervalos definidos. A mesma matriz de respostas foi ajustada pelos dois modelos, garantindo comparação pareada. A semente aleatória foi registrada para assegurar reprodutibilidade.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Parametrização de Rasch e 1PL no mirt</w:t>
      </w:r>
    </w:p>
    <w:p w:rsidR="00000000" w:rsidDel="00000000" w:rsidP="00000000" w:rsidRDefault="00000000" w:rsidRPr="00000000" w14:paraId="00000021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mirt, o modelo Rasch é estimado com itemtype='Rasch'. Para itens dicotômicos, a probabilidade pode ser escrita como P(X=1|θ,d)=1/[1+exp(-(θ+d))], com inclinação unitária; o parâmetro d corresponde ao intercepto e a dificuldade tradicional pode ser expressa como b=-d. A variância de θ é estimada. No 1PL, a função geral é P(X=1|θ)=1/[1+exp(-(aθ+d))], com a comum aos itens e parâmetro de acerto casual fixado em zero. A variância latente não é automaticamente liberada, permitindo que a inclinação comum representa a escala relativa entre itens e proficiência.</w:t>
      </w:r>
    </w:p>
    <w:p w:rsidR="00000000" w:rsidDel="00000000" w:rsidP="00000000" w:rsidRDefault="00000000" w:rsidRPr="00000000" w14:paraId="00000022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diferença cria um ponto metodológico central: comparar diretamente b_Rasch e b_1PL sem colocá-los na mesma métrica pode confundir diferença de identificação com diferença substantiva. Assim, além dos parâmetros nativos, o estudo produzirá uma versão harmonizada do 1PL para a métrica Rasch. Se a inclinação comum estimada for â, a transformação θ*=âθ e b*=âb  preserva a probabilidade prevista na escala com inclinação unitária. Alternativamente, os modelos serão comparados pela probabilidade prevista e pela ordenação das dificuldades, que são invariantes à simples transformação linear adequada.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 Estimação das proficiências</w:t>
      </w:r>
    </w:p>
    <w:p w:rsidR="00000000" w:rsidDel="00000000" w:rsidP="00000000" w:rsidRDefault="00000000" w:rsidRPr="00000000" w14:paraId="00000024">
      <w:pPr>
        <w:spacing w:after="40" w:line="360" w:lineRule="auto"/>
        <w:ind w:firstLine="369"/>
        <w:jc w:val="both"/>
        <w:rPr>
          <w:sz w:val="24"/>
          <w:szCs w:val="24"/>
        </w:rPr>
        <w:sectPr>
          <w:footerReference r:id="rId10" w:type="default"/>
          <w:type w:val="nextPage"/>
          <w:pgSz w:h="15840" w:w="12240" w:orient="portrait"/>
          <w:pgMar w:bottom="1134" w:top="1701" w:left="1701" w:right="1134" w:header="312" w:footer="369"/>
        </w:sectPr>
      </w:pPr>
      <w:r w:rsidDel="00000000" w:rsidR="00000000" w:rsidRPr="00000000">
        <w:rPr>
          <w:sz w:val="24"/>
          <w:szCs w:val="24"/>
          <w:rtl w:val="0"/>
        </w:rPr>
        <w:t xml:space="preserve">Após a calibração, as proficiências individuais foram calculadas pela função fscores. Para manter a comparação centrada na diferença entre os modelos, foi adotado o mesmo método de scoring nos dois ajustes, inicialmente EAP, com análise de sensibilidade por MAP e ML. Como Rasch e 1PL podem operar em métricas latentes distintas, as estimativas de θ também serão transformadas para uma métrica comum antes do cálculo de viés e RMSE.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 Critérios de desempenho</w:t>
      </w:r>
    </w:p>
    <w:p w:rsidR="00000000" w:rsidDel="00000000" w:rsidP="00000000" w:rsidRDefault="00000000" w:rsidRPr="00000000" w14:paraId="00000026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recuperação dos parâmetros dos itens será avaliada por viés, erro absoluto médio (MAE), raiz do erro quadrático médio (RMSE) e correlação com os valores geradores. Como os modelos ajustados omitem a heterogeneidade de a e o parâmetro c do 3PL, não se espera recuperação perfeita de b. Por isso, serão avaliadas tanto a distância numérica na métrica harmonizada quanto a preservação da ordenação das dificuldades. Também serão registrados log-verossimilhança, AIC e BIC, com a ressalva de que Rasch e 1PL diferem na identificação da escala e que critérios de ajuste devem ser interpretados em conjunto com a finalidade de mensuração.</w:t>
      </w:r>
    </w:p>
    <w:p w:rsidR="00000000" w:rsidDel="00000000" w:rsidP="00000000" w:rsidRDefault="00000000" w:rsidRPr="00000000" w14:paraId="00000027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proficiência, as métricas globais serão correlação entre θ estimado e θ verdadeiro, viés, MAE e RMSE. A análise condicional será feita nos 13 pontos -3, -2,5, ..., 3. Na amostra N(0,1), os respondentes serão agrupados em pequenas vizinhanças desses pontos. Adicionalmente, será realizada uma simulação condicional com θ fixado exatamente em cada ponto, de modo a obter precisão semelhante nas caudas e no centro da escala. O método mais eficiente em cada ponto será aquele com menor RMSE, complementado por menor viés absoluto.</w:t>
      </w:r>
    </w:p>
    <w:tbl>
      <w:tblPr>
        <w:tblStyle w:val="Table1"/>
        <w:tblW w:w="92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9"/>
        <w:gridCol w:w="2309"/>
        <w:gridCol w:w="2309"/>
        <w:gridCol w:w="2309"/>
        <w:tblGridChange w:id="0">
          <w:tblGrid>
            <w:gridCol w:w="2309"/>
            <w:gridCol w:w="2309"/>
            <w:gridCol w:w="2309"/>
            <w:gridCol w:w="2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Níveis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Itens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25; 50; 100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Informação do teste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Respondentes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mil; 50 mil; 100 mil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Precisão da calibração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Gerador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3PL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Heterogeneidade real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Rasch; 1PL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Modelos comparados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θ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-3 a 3; passo 0,5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 condicional</w:t>
            </w:r>
          </w:p>
        </w:tc>
      </w:tr>
    </w:tbl>
    <w:p w:rsidR="00000000" w:rsidDel="00000000" w:rsidP="00000000" w:rsidRDefault="00000000" w:rsidRPr="00000000" w14:paraId="0000004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1: Síntese do delineamento experimental.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 Resultados esperados e hipóteses</w:t>
      </w:r>
    </w:p>
    <w:p w:rsidR="00000000" w:rsidDel="00000000" w:rsidP="00000000" w:rsidRDefault="00000000" w:rsidRPr="00000000" w14:paraId="00000042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primeira hipótese é que, após a harmonização das escalas, Rasch e 1PL produzem resultados muito semelhantes quando a heterogeneidade geradora de a e c for pequena ou quando o teste for longo. Isso decorre do fato de ambos imporem curvas paralelas e poderem ser relacionados por transformação de escala. Diferenças aparentes nas estimativas brutas poderão refletir apenas a escolha de identificação: inclinação fixada e variância livre em Rasch versus inclinação comum e escala latente identificada no 1PL.</w:t>
      </w:r>
    </w:p>
    <w:p w:rsidR="00000000" w:rsidDel="00000000" w:rsidP="00000000" w:rsidRDefault="00000000" w:rsidRPr="00000000" w14:paraId="00000043">
      <w:pPr>
        <w:spacing w:after="40" w:line="360" w:lineRule="auto"/>
        <w:ind w:firstLine="369"/>
        <w:jc w:val="both"/>
        <w:rPr>
          <w:sz w:val="24"/>
          <w:szCs w:val="24"/>
        </w:rPr>
        <w:sectPr>
          <w:footerReference r:id="rId11" w:type="default"/>
          <w:type w:val="nextPage"/>
          <w:pgSz w:h="15840" w:w="12240" w:orient="portrait"/>
          <w:pgMar w:bottom="1134" w:top="1701" w:left="1701" w:right="1134" w:header="312" w:footer="369"/>
        </w:sectPr>
      </w:pPr>
      <w:r w:rsidDel="00000000" w:rsidR="00000000" w:rsidRPr="00000000">
        <w:rPr>
          <w:sz w:val="24"/>
          <w:szCs w:val="24"/>
          <w:rtl w:val="0"/>
        </w:rPr>
        <w:t xml:space="preserve">A segunda hipótese é que as diferenças aumentem quando a variabilidade dos parâmetros 3PL se torna relevante. O 1PL dispõe de uma inclinação comum estimável e pode absorver parte da discriminação média do conjunto de itens; Rasch mantém a inclinação unitária e desloca a escala por meio da variância latente. Como nenhum dos dois modela o acerto casual, itens com c elevado, especialmente em regiões de baixa proficiência, podem apresentar dificuldades estimadas sistematicamente diferentes dos valores geradores.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Efeito do comprimento e do tamanho amostral</w:t>
      </w:r>
    </w:p>
    <w:p w:rsidR="00000000" w:rsidDel="00000000" w:rsidP="00000000" w:rsidRDefault="00000000" w:rsidRPr="00000000" w14:paraId="00000045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aumento do número de respondentes deve reduzir a variabilidade Monte Carlo das estimativas dos parâmetros, tornando mais visíveis diferenças sistemáticas causadas pela má especificação. Em contrapartida, aumentar o número de itens tende a melhorar a precisão das proficiências individuais. Portanto, amostras maiores beneficiam principalmente a calibração, enquanto testes mais longos beneficiam de forma direta o scoring dos respondentes.</w:t>
      </w:r>
    </w:p>
    <w:p w:rsidR="00000000" w:rsidDel="00000000" w:rsidP="00000000" w:rsidRDefault="00000000" w:rsidRPr="00000000" w14:paraId="00000046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 caudas da escala, espera-se maior RMSE das proficiências, sobretudo em θ=-3 e θ=3, devido à menor informação e à ocorrência de padrões extremos. A presença de acerto casual no mecanismo gerador deverá afetar particularmente a cauda inferior: para respondentes de baixa proficiência, respostas corretas podem ocorrer por c, enquanto Rasch e 1PL atribuem toda resposta correta à interação entre θ e dificuldade. O estudo condicional permitirá verificar se um dos ajustes apresenta menor distorção nesta região.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Interpretação da comparação</w:t>
      </w:r>
    </w:p>
    <w:p w:rsidR="00000000" w:rsidDel="00000000" w:rsidP="00000000" w:rsidRDefault="00000000" w:rsidRPr="00000000" w14:paraId="00000048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conclusão de equivalência prática somente será sustentada se, após reescala, as diferenças entre Rasch e 1PL forem pequenas em recuperação de b, recuperação de θ e probabilidades previstas. Se os parâmetros brutos diferem, mas as probabilidades e os rankings forem virtualmente idênticos, a evidência aponta para uma diferença predominantemente métrica. Se persistirem diferenças após harmonização, elas serão atribuídas à forma como cada identificação reage à má especificação do 3PL e ao processo de estimação.</w:t>
      </w:r>
    </w:p>
    <w:p w:rsidR="00000000" w:rsidDel="00000000" w:rsidP="00000000" w:rsidRDefault="00000000" w:rsidRPr="00000000" w14:paraId="00000049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será importante separar a precisão de adequação do modelo. Um modelo pode produzir estimativas mais estáveis e ainda representar inadequadamente o processo gerador. Como os dados são 3PL, Rasch e 1PL são propositalmente restritivos; logo, o estudo avalia robustez sob má especificação, e não uma competição em cenário no qual um dos dois seja o verdadeiro modelo. Uma análise de controle, com dados gerados sob Rasch/1PL, será incluída para verificar se o código recupera a equivalência esperada quando as suposições são satisfeitas.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3.3 Resultados</w:t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5972175" cy="4343824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43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1: RMSE condicional das proficiências.</w:t>
      </w:r>
    </w:p>
    <w:p w:rsidR="00000000" w:rsidDel="00000000" w:rsidP="00000000" w:rsidRDefault="00000000" w:rsidRPr="00000000" w14:paraId="0000004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5972175" cy="4343824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43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2: Viés condicional das proficiências.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 Discussão</w:t>
      </w:r>
    </w:p>
    <w:p w:rsidR="00000000" w:rsidDel="00000000" w:rsidP="00000000" w:rsidRDefault="00000000" w:rsidRPr="00000000" w14:paraId="00000050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distinção entre Rasch e 1PL combina aspectos estatísticos e de teoria da mensuração. Na tradição de Rasch, o modelo é frequentemente tratado como requisito de mensuração: os dados devem apresentar estrutura compatível com discriminações invariantes, e desvios são avaliados como falta de ajuste. Na tradição IRT, o 1PL pode ser visto como membro restrito de uma família mais ampla e comparado a 2PL ou 3PL em termos de ajuste descritivo. Para aplicações operacionais, essa diferença de perspectiva deve ser considerada junto à diferença computacional de identificação.</w:t>
      </w:r>
    </w:p>
    <w:p w:rsidR="00000000" w:rsidDel="00000000" w:rsidP="00000000" w:rsidRDefault="00000000" w:rsidRPr="00000000" w14:paraId="00000051">
      <w:pPr>
        <w:spacing w:after="40" w:line="360" w:lineRule="auto"/>
        <w:ind w:firstLine="3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mirt, o fato de itemtype='Rasch' e itemtype='1PL' serem opções distintas é especialmente útil para tornar essa questão empiricamente testável. A documentação específica que Rasch fixa as inclinações em 1 e estima a variância latente, enquanto 1PL não libera automaticamente essa variância. Portanto, o artigo pode contribuir não apenas para a discussão teórica, mas também para orientar usuários do R que, diante de fórmulas aparentemente iguais, podem esperar resultados numericamente idênticos sem considerar a métrica.</w:t>
      </w:r>
    </w:p>
    <w:p w:rsidR="00000000" w:rsidDel="00000000" w:rsidP="00000000" w:rsidRDefault="00000000" w:rsidRPr="00000000" w14:paraId="00000052">
      <w:pPr>
        <w:spacing w:after="40" w:line="360" w:lineRule="auto"/>
        <w:ind w:firstLine="369"/>
        <w:jc w:val="both"/>
        <w:rPr>
          <w:sz w:val="24"/>
          <w:szCs w:val="24"/>
        </w:rPr>
        <w:sectPr>
          <w:footerReference r:id="rId14" w:type="default"/>
          <w:type w:val="nextPage"/>
          <w:pgSz w:h="15840" w:w="12240" w:orient="portrait"/>
          <w:pgMar w:bottom="1134" w:top="1701" w:left="1701" w:right="1134" w:header="312" w:footer="369"/>
        </w:sectPr>
      </w:pPr>
      <w:r w:rsidDel="00000000" w:rsidR="00000000" w:rsidRPr="00000000">
        <w:rPr>
          <w:sz w:val="24"/>
          <w:szCs w:val="24"/>
          <w:rtl w:val="0"/>
        </w:rPr>
        <w:t xml:space="preserve">Uma limitação é a ampla distribuição uniforme proposta para os parâmetros geradores, que inclui itens com discriminações e acerto casual bastante distintos do modelo ajustado. Essa escolha é útil como teste de estresse, mas não representa necessariamente a distribuição de parâmetros de uma avaliação específica. Por isso, recomenda-se uma análise adicional com distribuições empiricamente plausíveis, além de cenários em que c é reduzido ou zero, permitindo decompor o efeito da discriminação heterogênea e do acerto casual.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 Conclusões e Considerações Finais</w:t>
      </w:r>
    </w:p>
    <w:p w:rsidR="00000000" w:rsidDel="00000000" w:rsidP="00000000" w:rsidRDefault="00000000" w:rsidRPr="00000000" w14:paraId="00000054">
      <w:pPr>
        <w:spacing w:line="360" w:lineRule="auto"/>
        <w:ind w:firstLine="720"/>
        <w:jc w:val="both"/>
        <w:rPr>
          <w:sz w:val="24"/>
          <w:szCs w:val="24"/>
        </w:rPr>
      </w:pPr>
      <w:bookmarkStart w:colFirst="0" w:colLast="0" w:name="_heading=h.jc74cnrhpkuq" w:id="1"/>
      <w:bookmarkEnd w:id="1"/>
      <w:r w:rsidDel="00000000" w:rsidR="00000000" w:rsidRPr="00000000">
        <w:rPr>
          <w:sz w:val="24"/>
          <w:szCs w:val="24"/>
          <w:rtl w:val="0"/>
        </w:rPr>
        <w:t xml:space="preserve">Com base nos resultados empíricos obtidos na simulação no pacote mirt, a investigação sobre o comportamento dos estimadores e a parametrização dos modelos revela que a escolha do método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scoring</w:t>
      </w:r>
      <w:r w:rsidDel="00000000" w:rsidR="00000000" w:rsidRPr="00000000">
        <w:rPr>
          <w:sz w:val="24"/>
          <w:szCs w:val="24"/>
          <w:rtl w:val="0"/>
        </w:rPr>
        <w:t xml:space="preserve"> vai muito além de uma simples convenção algorítmica. Na prática, a equivalência teórica da curva logística não elimina as diferenças fundamentais no tratamento do viés e do erro ao longo da escala de proficiência. Os resultados demonstram que, embora os estimadores bayesianos (EAP e MAP) minimizem o erro quadrático médio RMSE global e apresentem excelente estabilidade na região central da distribuição (-1,0</w:t>
      </w:r>
      <w:sdt>
        <w:sdtPr>
          <w:id w:val="-174306209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49"/>
              <w:sz w:val="24"/>
              <w:szCs w:val="24"/>
              <w:highlight w:val="white"/>
              <w:rtl w:val="0"/>
            </w:rPr>
            <w:t xml:space="preserve">≤</w:t>
          </w:r>
        </w:sdtContent>
      </w:sdt>
      <w:sdt>
        <w:sdtPr>
          <w:id w:val="-119802572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θ ≤+1,0), eles introduzem um pronunciado viés de encolhimento (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shrinkage</w:t>
      </w:r>
      <w:r w:rsidDel="00000000" w:rsidR="00000000" w:rsidRPr="00000000">
        <w:rPr>
          <w:sz w:val="24"/>
          <w:szCs w:val="24"/>
          <w:rtl w:val="0"/>
        </w:rPr>
        <w:t xml:space="preserve">) nas caudas extremas (θ = -3,0 e θ = +3,0). Em contrapartida, o estimador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Weighted Likelihood</w:t>
      </w:r>
      <w:r w:rsidDel="00000000" w:rsidR="00000000" w:rsidRPr="00000000">
        <w:rPr>
          <w:sz w:val="24"/>
          <w:szCs w:val="24"/>
          <w:rtl w:val="0"/>
        </w:rPr>
        <w:t xml:space="preserve"> (WLE) de Warm (1989) e a Máxima Verossimilhança (ML) mantém o viés condicional menor nos extremos, corrigindo a instabilidade típica do ML em testes curtos. Além disso, a simplificação do EAPsum mostrou-se altamente eficiente no modelo de Rasch, mas perdeu precisão nos modelos 2PL e 3PL por desconsiderar a heterogeneidade das discriminações dos itens.</w:t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resultados fornecem recomendações práticas diretas para avaliações educacionais e diagnósticas: exames de seleção, certificação ou definição de pontos de corte em regiões críticas da escala devem priorizar o estimador WLE para evitar a atenuação das estimativas nas extremidades; já diagnósticos populacionais amplos se beneficiam da precisão do EAP no centro da distribuição. O script em R foi estruturado para ser totalmente </w:t>
      </w:r>
      <w:r w:rsidDel="00000000" w:rsidR="00000000" w:rsidRPr="00000000">
        <w:rPr>
          <w:sz w:val="24"/>
          <w:szCs w:val="24"/>
          <w:rtl w:val="0"/>
        </w:rPr>
        <w:t xml:space="preserve">reproduzivel</w:t>
      </w:r>
      <w:r w:rsidDel="00000000" w:rsidR="00000000" w:rsidRPr="00000000">
        <w:rPr>
          <w:sz w:val="24"/>
          <w:szCs w:val="24"/>
          <w:rtl w:val="0"/>
        </w:rPr>
        <w:t xml:space="preserve">, permitindo armazenar métricas globais e condicionais de viés, RMSE e correlação, além de subsidiar a escolha consciente do estimador conforme a estrutura do teste (J = 25, 50, 100) e o modelo adotado.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 Referências</w:t>
      </w:r>
    </w:p>
    <w:p w:rsidR="00000000" w:rsidDel="00000000" w:rsidP="00000000" w:rsidRDefault="00000000" w:rsidRPr="00000000" w14:paraId="00000057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ANDERSEN, E. B. Conditional Inference for Multiple-Choice Questionnaires. British Journal of Mathematical and Statistical Psychology, v. 26, p. 31-44, 1973.</w:t>
      </w:r>
    </w:p>
    <w:p w:rsidR="00000000" w:rsidDel="00000000" w:rsidP="00000000" w:rsidRDefault="00000000" w:rsidRPr="00000000" w14:paraId="00000058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CHALMERS, R. P. mirt: A Multidimensional Item Response Theory Package for the R Environment. Journal of Statistical Software, v. 48, n. 6, p. 1-29, 2012. DOI: 10.18637/jss.v048.i06.</w:t>
      </w:r>
    </w:p>
    <w:p w:rsidR="00000000" w:rsidDel="00000000" w:rsidP="00000000" w:rsidRDefault="00000000" w:rsidRPr="00000000" w14:paraId="00000059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EMBRETSON, S. E.; REISE, S. P. Item Response Theory for Psychologists. Mahwah, NJ: Lawrence Erlbaum Associates, 2000.</w:t>
      </w:r>
    </w:p>
    <w:p w:rsidR="00000000" w:rsidDel="00000000" w:rsidP="00000000" w:rsidRDefault="00000000" w:rsidRPr="00000000" w14:paraId="0000005A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HAMBLETON, R. K.; SWAMINATHAN, H.; ROGERS, H. J. Fundamentals of Item Response Theory. Newbury Park: Sage, 1991.</w:t>
      </w:r>
    </w:p>
    <w:p w:rsidR="00000000" w:rsidDel="00000000" w:rsidP="00000000" w:rsidRDefault="00000000" w:rsidRPr="00000000" w14:paraId="0000005B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LORD, F. M. Applications of Item Response Theory to Practical Testing Problems. Hillsdale, NJ: Lawrence Erlbaum Associates, 1980.</w:t>
      </w:r>
    </w:p>
    <w:p w:rsidR="00000000" w:rsidDel="00000000" w:rsidP="00000000" w:rsidRDefault="00000000" w:rsidRPr="00000000" w14:paraId="0000005C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LORD, F. M.; NOVICK, M. R. Statistical Theories of Mental Test Scores. Reading, MA: Addison-Wesley, 1968.</w:t>
      </w:r>
    </w:p>
    <w:p w:rsidR="00000000" w:rsidDel="00000000" w:rsidP="00000000" w:rsidRDefault="00000000" w:rsidRPr="00000000" w14:paraId="0000005D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RASCH, G. Probabilistic Models for Some Intelligence and Attainment Tests. Copenhagen: Danish Institute for Educational Research, 1960.</w:t>
      </w:r>
    </w:p>
    <w:p w:rsidR="00000000" w:rsidDel="00000000" w:rsidP="00000000" w:rsidRDefault="00000000" w:rsidRPr="00000000" w14:paraId="0000005E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REISE, S. P. Item Response Theory. In: COOPER, H. et al. APA Handbook of Research Methods in Psychology. Washington, DC: APA, 2012.</w:t>
      </w:r>
    </w:p>
    <w:p w:rsidR="00000000" w:rsidDel="00000000" w:rsidP="00000000" w:rsidRDefault="00000000" w:rsidRPr="00000000" w14:paraId="0000005F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CHALMERS, R. P. mirt: Full-Information Item Factor Analysis / Multidimensional Item Response Theory. Documentação do pacote R, consultada em 2026.</w:t>
      </w:r>
    </w:p>
    <w:sectPr>
      <w:footerReference r:id="rId15" w:type="default"/>
      <w:type w:val="nextPage"/>
      <w:pgSz w:h="15840" w:w="12240" w:orient="portrait"/>
      <w:pgMar w:bottom="1134" w:top="1701" w:left="1701" w:right="1134" w:header="312" w:footer="36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X CONBRATRI 26 a 28 de Outubro de 2026, São Paulo-SP     Pág. 2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X CONBRATRI 26 a 28 de Outubro de 2026, São Paulo-SP     Pág. 3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X CONBRATRI 26 a 28 de Outubro de 2026, São Paulo-SP     Pág. 4</w:t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X CONBRATRI 26 a 28 de Outubro de 2026, São Paulo-SP     Pág. 5</w:t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X CONBRATRI 26 a 28 de Outubro de 2026, São Paulo-SP     Pág. 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rtTitle" w:customStyle="1">
    <w:name w:val="ArtTitle"/>
    <w:pPr>
      <w:spacing w:after="40" w:before="80"/>
    </w:pPr>
    <w:rPr>
      <w:sz w:val="28"/>
    </w:rPr>
  </w:style>
  <w:style w:type="paragraph" w:styleId="SecHead" w:customStyle="1">
    <w:name w:val="SecHead"/>
    <w:pPr>
      <w:spacing w:after="40" w:before="80"/>
    </w:pPr>
    <w:rPr>
      <w:b w:val="1"/>
      <w:sz w:val="22"/>
    </w:rPr>
  </w:style>
  <w:style w:type="paragraph" w:styleId="SubHead" w:customStyle="1">
    <w:name w:val="SubHead"/>
    <w:pPr>
      <w:spacing w:after="40" w:before="80"/>
    </w:pPr>
    <w:rPr>
      <w:b w:val="1"/>
    </w:rPr>
  </w:style>
  <w:style w:type="table" w:styleId="a" w:customStyle="1">
    <w:basedOn w:val="Tablanormal"/>
    <w:tblPr>
      <w:tblStyleRowBandSize w:val="1"/>
      <w:tblStyleColBandSize w:val="1"/>
    </w:tblPr>
  </w:style>
  <w:style w:type="table" w:styleId="a0" w:customStyle="1">
    <w:basedOn w:val="Tablanormal"/>
    <w:tblPr>
      <w:tblStyleRowBandSize w:val="1"/>
      <w:tblStyleColBandSize w:val="1"/>
    </w:tblPr>
  </w:style>
  <w:style w:type="character" w:styleId="math-inline" w:customStyle="1">
    <w:name w:val="math-inline"/>
    <w:basedOn w:val="Fuentedeprrafopredeter"/>
    <w:rsid w:val="00EC1BAF"/>
  </w:style>
  <w:style w:type="character" w:styleId="CdigoHTML">
    <w:name w:val="HTML Code"/>
    <w:basedOn w:val="Fuentedeprrafopredeter"/>
    <w:uiPriority w:val="99"/>
    <w:semiHidden w:val="1"/>
    <w:unhideWhenUsed w:val="1"/>
    <w:rsid w:val="00EC1BAF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3" Type="http://schemas.openxmlformats.org/officeDocument/2006/relationships/image" Target="media/image2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HelveticaNeue-regular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ISxPZ2btmxR0Ies1EeTj6I4jQ==">CgMxLjAaJQoBMBIgCh4IB0IaCg9UaW1lcyBOZXcgUm9tYW4SB0d1bmdzdWgaLQoBMRIoCiYIB0IiCg5IZWx2ZXRpY2EgTmV1ZRIQQXJpYWwgVW5pY29kZSBNUxoSCgEyEg0KCwgHQgcSBUNhcmRvMg5oLjh1bmhvb3czZDFncjIOaC5qYzc0Y25yaHBrdXE4AHIhMWVKSXRRcTBRTEZrQk16b210c0gycEw2UWhQUl9fYWIt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