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36"/>
          <w:szCs w:val="36"/>
        </w:rPr>
        <w:t xml:space="preserve">CDC SVI 2022 Variable Selection</w:t>
      </w:r>
    </w:p>
    <w:p>
      <w:pPr>
        <w:jc w:val="center"/>
      </w:pPr>
      <w:r>
        <w:rPr>
          <w:sz w:val="26"/>
          <w:szCs w:val="26"/>
        </w:rPr>
        <w:t xml:space="preserve">Quick Reference Guide for SDoH Tool Integration</w:t>
      </w:r>
    </w:p>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F4E78" w:val="clear"/>
            <w:tcMar>
              <w:top w:type="dxa" w:w="120"/>
              <w:left w:type="dxa" w:w="160"/>
              <w:bottom w:type="dxa" w:w="120"/>
              <w:right w:type="dxa" w:w="160"/>
            </w:tcMar>
          </w:tcPr>
          <w:p>
            <w:pPr>
              <w:jc w:val="center"/>
            </w:pPr>
            <w:r>
              <w:rPr>
                <w:b/>
                <w:bCs/>
                <w:color w:val="FFFFFF"/>
                <w:sz w:val="28"/>
                <w:szCs w:val="28"/>
              </w:rPr>
              <w:t xml:space="preserve">QUICK STATS</w:t>
            </w:r>
          </w:p>
        </w:tc>
        <w:tc>
          <w:tcPr>
            <w:tcW w:type="dxa" w:w="4680"/>
            <w:tcBorders>
              <w:top w:val="single" w:color="999999" w:sz="1"/>
              <w:left w:val="single" w:color="999999" w:sz="1"/>
              <w:bottom w:val="single" w:color="999999" w:sz="1"/>
              <w:right w:val="single" w:color="999999" w:sz="1"/>
            </w:tcBorders>
            <w:shd w:fill="1F4E78" w:val="clear"/>
            <w:tcMar>
              <w:top w:type="dxa" w:w="120"/>
              <w:left w:type="dxa" w:w="160"/>
              <w:bottom w:type="dxa" w:w="120"/>
              <w:right w:type="dxa" w:w="160"/>
            </w:tcMar>
          </w:tcP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Total ZCTAs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33,642</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Population Covered</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331,093,495</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Recommended Variables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15-17 total</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Data Quality</w:t>
            </w:r>
          </w:p>
        </w:tc>
        <w:tc>
          <w:tcPr>
            <w:tcW w:type="dxa" w:w="4680"/>
            <w:tcBorders>
              <w:top w:val="single" w:color="999999" w:sz="1"/>
              <w:left w:val="single" w:color="999999" w:sz="1"/>
              <w:bottom w:val="single" w:color="999999" w:sz="1"/>
              <w:right w:val="single" w:color="999999" w:sz="1"/>
            </w:tcBorders>
            <w:shd w:fill="C6EFCE" w:val="clear"/>
            <w:tcMar>
              <w:top w:type="dxa" w:w="80"/>
              <w:left w:type="dxa" w:w="120"/>
              <w:bottom w:type="dxa" w:w="80"/>
              <w:right w:type="dxa" w:w="120"/>
            </w:tcMar>
          </w:tcPr>
          <w:p>
            <w:r>
              <w:rPr>
                <w:b/>
                <w:bCs/>
                <w:color w:val="006100"/>
              </w:rPr>
              <w:t xml:space="preserve">All Checks Passed ✓</w:t>
            </w:r>
          </w:p>
        </w:tc>
      </w:tr>
    </w:tbl>
    <w:p/>
    <w:p>
      <w:r>
        <w:br w:type="page"/>
      </w:r>
    </w:p>
    <w:p>
      <w:pPr>
        <w:pStyle w:val="Heading2"/>
      </w:pPr>
      <w:r>
        <w:t xml:space="preserve">RECOMMENDED VARIABLE SET</w:t>
      </w:r>
    </w:p>
    <w:p>
      <w:r>
        <w:t xml:space="preserve">For SDoH tools integrating SVI with existing metrics, diagnoses, and HEDIS measures for gap closure campaigns and population targeting. This expanded set includes poverty indicators as these populations are significantly harder to reach.</w:t>
      </w:r>
    </w:p>
    <w:p/>
    <w:p>
      <w:pPr>
        <w:pStyle w:val="Heading3"/>
      </w:pPr>
      <w:r>
        <w:t xml:space="preserve">1. Core SVI Themes (5 variables)</w:t>
      </w:r>
    </w:p>
    <w:p>
      <w:r>
        <w:rPr>
          <w:b/>
          <w:bCs/>
        </w:rPr>
        <w:t xml:space="preserve">Purpose: </w:t>
      </w:r>
      <w:r>
        <w:t xml:space="preserve">Priority scoring and vulnerability assessment</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Variable</w:t>
            </w:r>
          </w:p>
        </w:tc>
        <w:tc>
          <w:tcPr>
            <w:tcW w:type="dxa" w:w="351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Description</w:t>
            </w:r>
          </w:p>
        </w:tc>
        <w:tc>
          <w:tcPr>
            <w:tcW w:type="dxa" w:w="351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Use Case</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RPL_THEMES</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Overall SVI</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Primary filter for high-vulnerability areas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RPL_THEME1</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Socioeconomic Status</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Economic barriers (poverty, unemployment, education)</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RPL_THEME2</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Household Characteristics</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Household vulnerabilities (age, disability, language)</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RPL_THEME3</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Racial &amp; Ethnic Minority</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Health equity analysis, cultural outreach</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RPL_THEME4</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Housing &amp; Transportation</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Structural barriers (housing, mobility)</w:t>
            </w:r>
          </w:p>
        </w:tc>
      </w:tr>
    </w:tbl>
    <w:p/>
    <w:p>
      <w:r>
        <w:rPr>
          <w:b/>
          <w:bCs/>
        </w:rPr>
        <w:t xml:space="preserve">Scale: </w:t>
      </w:r>
      <w:r>
        <w:t xml:space="preserve">0-1 percentile ranking (higher = more vulnerable)</w:t>
      </w:r>
      <w:r>
        <w:t xml:space="preserve"> | </w:t>
      </w:r>
      <w:r>
        <w:rPr>
          <w:b/>
          <w:bCs/>
        </w:rPr>
        <w:t xml:space="preserve">High Priority: </w:t>
      </w:r>
      <w:r>
        <w:t xml:space="preserve">≥0.75</w:t>
      </w:r>
      <w:r>
        <w:t xml:space="preserve"> | </w:t>
      </w:r>
      <w:r>
        <w:rPr>
          <w:b/>
          <w:bCs/>
        </w:rPr>
        <w:t xml:space="preserve">Critical: </w:t>
      </w:r>
      <w:r>
        <w:t xml:space="preserve">≥0.90</w:t>
      </w:r>
    </w:p>
    <w:p/>
    <w:p>
      <w:r>
        <w:br w:type="page"/>
      </w:r>
    </w:p>
    <w:p>
      <w:pPr>
        <w:pStyle w:val="Heading3"/>
      </w:pPr>
      <w:r>
        <w:t xml:space="preserve">2. Demographics for Targeting (5 variables)</w:t>
      </w:r>
    </w:p>
    <w:p>
      <w:r>
        <w:rPr>
          <w:b/>
          <w:bCs/>
        </w:rPr>
        <w:t xml:space="preserve">Purpose: </w:t>
      </w:r>
      <w:r>
        <w:t xml:space="preserve">Audience segmentation ("know your audience")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Variable</w:t>
            </w:r>
          </w:p>
        </w:tc>
        <w:tc>
          <w:tcPr>
            <w:tcW w:type="dxa" w:w="351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Description</w:t>
            </w:r>
          </w:p>
        </w:tc>
        <w:tc>
          <w:tcPr>
            <w:tcW w:type="dxa" w:w="351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Campaign Examples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EP_AGE65</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 Age 65+</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Medicare wellness, mammography, colonoscopy, chronic disease management</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EP_AGE17</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 Age 17 &amp; under</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Pediatric immunizations, well-child visits, sports physicals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EP_MINRTY</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 Minority population</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Culturally tailored outreach, health equity initiatives, community health workers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EP_DISABL</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 With disability</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Accessible facilities, disability-specific programs, care coordination</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EP_SNGPNT</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 Single parents</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Evening/weekend hours, childcare considerations, flexible scheduling</w:t>
            </w:r>
          </w:p>
        </w:tc>
      </w:tr>
    </w:tbl>
    <w:p/>
    <w:p>
      <w:r>
        <w:rPr>
          <w:b/>
          <w:bCs/>
        </w:rPr>
        <w:t xml:space="preserve">Scale: </w:t>
      </w:r>
      <w:r>
        <w:t xml:space="preserve">0-100 percentage</w:t>
      </w:r>
      <w:r>
        <w:t xml:space="preserve"> | </w:t>
      </w:r>
      <w:r>
        <w:rPr>
          <w:b/>
          <w:bCs/>
        </w:rPr>
        <w:t xml:space="preserve">Typical Range: </w:t>
      </w:r>
      <w:r>
        <w:t xml:space="preserve">5-40% for most variables</w:t>
      </w:r>
    </w:p>
    <w:p/>
    <w:p>
      <w:r>
        <w:br w:type="page"/>
      </w:r>
    </w:p>
    <w:p>
      <w:pPr>
        <w:pStyle w:val="Heading3"/>
      </w:pPr>
      <w:r>
        <w:t xml:space="preserve">3. Actionable Barriers &amp; Poverty Indicators (5-7 variables)</w:t>
      </w:r>
    </w:p>
    <w:p>
      <w:r>
        <w:rPr>
          <w:b/>
          <w:bCs/>
        </w:rPr>
        <w:t xml:space="preserve">Purpose: </w:t>
      </w:r>
      <w:r>
        <w:t xml:space="preserve">Intervention design (what resources to deploy) and identifying hard-to-reach populations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Variable</w:t>
            </w:r>
          </w:p>
        </w:tc>
        <w:tc>
          <w:tcPr>
            <w:tcW w:type="dxa" w:w="351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Description</w:t>
            </w:r>
          </w:p>
        </w:tc>
        <w:tc>
          <w:tcPr>
            <w:tcW w:type="dxa" w:w="351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Interventions</w:t>
            </w:r>
          </w:p>
        </w:tc>
      </w:tr>
      <w:tr>
        <w:tc>
          <w:tcPr>
            <w:tcW w:type="dxa" w:w="2340"/>
            <w:tcBorders>
              <w:top w:val="single" w:color="999999" w:sz="1"/>
              <w:left w:val="single" w:color="999999" w:sz="1"/>
              <w:bottom w:val="single" w:color="999999" w:sz="1"/>
              <w:right w:val="single" w:color="999999" w:sz="1"/>
            </w:tcBorders>
            <w:shd w:fill="FFF2CC" w:val="clear"/>
            <w:tcMar>
              <w:top w:type="dxa" w:w="80"/>
              <w:left w:type="dxa" w:w="120"/>
              <w:bottom w:type="dxa" w:w="80"/>
              <w:right w:type="dxa" w:w="120"/>
            </w:tcMar>
          </w:tcPr>
          <w:p>
            <w:r>
              <w:rPr>
                <w:b/>
                <w:bCs/>
              </w:rPr>
              <w:t xml:space="preserve">EP_POV150</w:t>
            </w:r>
          </w:p>
        </w:tc>
        <w:tc>
          <w:tcPr>
            <w:tcW w:type="dxa" w:w="3510"/>
            <w:tcBorders>
              <w:top w:val="single" w:color="999999" w:sz="1"/>
              <w:left w:val="single" w:color="999999" w:sz="1"/>
              <w:bottom w:val="single" w:color="999999" w:sz="1"/>
              <w:right w:val="single" w:color="999999" w:sz="1"/>
            </w:tcBorders>
            <w:shd w:fill="FFF2CC" w:val="clear"/>
            <w:tcMar>
              <w:top w:type="dxa" w:w="80"/>
              <w:left w:type="dxa" w:w="120"/>
              <w:bottom w:type="dxa" w:w="80"/>
              <w:right w:type="dxa" w:w="120"/>
            </w:tcMar>
          </w:tcPr>
          <w:p>
            <w:r>
              <w:t xml:space="preserve">% Below 150% poverty</w:t>
            </w:r>
          </w:p>
        </w:tc>
        <w:tc>
          <w:tcPr>
            <w:tcW w:type="dxa" w:w="3510"/>
            <w:tcBorders>
              <w:top w:val="single" w:color="999999" w:sz="1"/>
              <w:left w:val="single" w:color="999999" w:sz="1"/>
              <w:bottom w:val="single" w:color="999999" w:sz="1"/>
              <w:right w:val="single" w:color="999999" w:sz="1"/>
            </w:tcBorders>
            <w:shd w:fill="FFF2CC" w:val="clear"/>
            <w:tcMar>
              <w:top w:type="dxa" w:w="80"/>
              <w:left w:type="dxa" w:w="120"/>
              <w:bottom w:type="dxa" w:w="80"/>
              <w:right w:type="dxa" w:w="120"/>
            </w:tcMar>
          </w:tcPr>
          <w:p>
            <w:r>
              <w:rPr>
                <w:b/>
                <w:bCs/>
              </w:rPr>
              <w:t xml:space="preserve">CRITICAL:</w:t>
            </w:r>
            <w:r>
              <w:t xml:space="preserve"> Door-to-door outreach, mobile services, same-day appointments, CHWs, incentives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EP_UNINSUR</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 Uninsured</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Enrollment assistance, sliding scale programs, presumptive eligibility</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EP_LIMENG</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 Limited English</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Interpretation services, translated materials, bilingual staff</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EP_NOVEH</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 No vehicle</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Mobile clinics, transportation vouchers, telehealth, ride-sharing</w:t>
            </w:r>
          </w:p>
        </w:tc>
      </w:tr>
      <w:tr>
        <w:tc>
          <w:tcPr>
            <w:tcW w:type="dxa" w:w="234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b/>
                <w:bCs/>
                <w:i/>
                <w:iCs/>
              </w:rPr>
              <w:t xml:space="preserve">EP_HBURD</w:t>
            </w:r>
          </w:p>
        </w:tc>
        <w:tc>
          <w:tcPr>
            <w:tcW w:type="dxa" w:w="351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i/>
                <w:iCs/>
              </w:rPr>
              <w:t xml:space="preserve">% Housing cost-burdened (optional)</w:t>
            </w:r>
          </w:p>
        </w:tc>
        <w:tc>
          <w:tcPr>
            <w:tcW w:type="dxa" w:w="351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i/>
                <w:iCs/>
              </w:rPr>
              <w:t xml:space="preserve">Financial stress indicator; use with poverty data</w:t>
            </w:r>
          </w:p>
        </w:tc>
      </w:tr>
      <w:tr>
        <w:tc>
          <w:tcPr>
            <w:tcW w:type="dxa" w:w="234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b/>
                <w:bCs/>
                <w:i/>
                <w:iCs/>
              </w:rPr>
              <w:t xml:space="preserve">EP_NOHSDP</w:t>
            </w:r>
          </w:p>
        </w:tc>
        <w:tc>
          <w:tcPr>
            <w:tcW w:type="dxa" w:w="351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i/>
                <w:iCs/>
              </w:rPr>
              <w:t xml:space="preserve">% No high school diploma (optional)</w:t>
            </w:r>
          </w:p>
        </w:tc>
        <w:tc>
          <w:tcPr>
            <w:tcW w:type="dxa" w:w="3510"/>
            <w:tcBorders>
              <w:top w:val="single" w:color="999999" w:sz="1"/>
              <w:left w:val="single" w:color="999999" w:sz="1"/>
              <w:bottom w:val="single" w:color="999999" w:sz="1"/>
              <w:right w:val="single" w:color="999999" w:sz="1"/>
            </w:tcBorders>
            <w:shd w:fill="F2F2F2" w:val="clear"/>
            <w:tcMar>
              <w:top w:type="dxa" w:w="80"/>
              <w:left w:type="dxa" w:w="120"/>
              <w:bottom w:type="dxa" w:w="80"/>
              <w:right w:type="dxa" w:w="120"/>
            </w:tcMar>
          </w:tcPr>
          <w:p>
            <w:r>
              <w:rPr>
                <w:i/>
                <w:iCs/>
              </w:rPr>
              <w:t xml:space="preserve">Health literacy indicator; simplified materials needed</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E_TOTPOP</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Total population</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Volume planning, resource allocation, impact estimation</w:t>
            </w:r>
          </w:p>
        </w:tc>
      </w:tr>
    </w:tbl>
    <w:p/>
    <w:p>
      <w:r>
        <w:rPr>
          <w:b/>
          <w:bCs/>
        </w:rPr>
        <w:t xml:space="preserve">Scale: </w:t>
      </w:r>
      <w:r>
        <w:t xml:space="preserve">0-100 percentage (E_TOTPOP is raw count)</w:t>
      </w:r>
    </w:p>
    <w:p>
      <w:r>
        <w:rPr>
          <w:b/>
          <w:bCs/>
          <w:color w:val="C00000"/>
        </w:rPr>
        <w:t xml:space="preserve">NOTE: </w:t>
      </w:r>
      <w:r>
        <w:rPr>
          <w:color w:val="C00000"/>
        </w:rPr>
        <w:t xml:space="preserve">EP_POV150 is the single strongest predictor of difficulty reaching patients. Areas &gt;30% require intensive outreach strategies.</w:t>
      </w:r>
    </w:p>
    <w:p/>
    <w:p>
      <w:r>
        <w:br w:type="page"/>
      </w:r>
    </w:p>
    <w:p>
      <w:pPr>
        <w:pStyle w:val="Heading2"/>
      </w:pPr>
      <w:r>
        <w:t xml:space="preserve">STRATEGIC JUSTIFICATION</w:t>
      </w:r>
    </w:p>
    <w:p>
      <w:pPr>
        <w:pStyle w:val="ListParagraph"/>
        <w:numPr>
          <w:ilvl w:val="0"/>
          <w:numId w:val="2"/>
        </w:numPr>
      </w:pPr>
      <w:r>
        <w:rPr>
          <w:b/>
          <w:bCs/>
        </w:rPr>
        <w:t xml:space="preserve">Demographics = Audience Segmentation: </w:t>
      </w:r>
      <w:r>
        <w:t xml:space="preserve">Age, race/ethnicity, disability, and household structure help you "know your audience" for targeted gap closure campaigns</w:t>
      </w:r>
    </w:p>
    <w:p>
      <w:pPr>
        <w:pStyle w:val="ListParagraph"/>
        <w:numPr>
          <w:ilvl w:val="0"/>
          <w:numId w:val="2"/>
        </w:numPr>
      </w:pPr>
      <w:r>
        <w:rPr>
          <w:b/>
          <w:bCs/>
        </w:rPr>
        <w:t xml:space="preserve">Barriers = Intervention Design: </w:t>
      </w:r>
      <w:r>
        <w:t xml:space="preserve">Insurance, language, and transportation tell you WHAT interventions to deploy</w:t>
      </w:r>
    </w:p>
    <w:p>
      <w:pPr>
        <w:pStyle w:val="ListParagraph"/>
        <w:numPr>
          <w:ilvl w:val="0"/>
          <w:numId w:val="2"/>
        </w:numPr>
      </w:pPr>
      <w:r>
        <w:rPr>
          <w:b/>
          <w:bCs/>
        </w:rPr>
        <w:t xml:space="preserve">Poverty = Effort Multiplier: </w:t>
      </w:r>
      <w:r>
        <w:t xml:space="preserve">EP_POV150 tells you HOW MUCH EFFORT is needed - high poverty areas require 3-5x more resources per person reached due to compounding barriers</w:t>
      </w:r>
    </w:p>
    <w:p>
      <w:pPr>
        <w:pStyle w:val="ListParagraph"/>
        <w:numPr>
          <w:ilvl w:val="0"/>
          <w:numId w:val="2"/>
        </w:numPr>
      </w:pPr>
      <w:r>
        <w:rPr>
          <w:b/>
          <w:bCs/>
        </w:rPr>
        <w:t xml:space="preserve">Themes = Priority Scoring: </w:t>
      </w:r>
      <w:r>
        <w:t xml:space="preserve">Use SVI themes to identify high-vulnerability areas for limited resources</w:t>
      </w:r>
    </w:p>
    <w:p>
      <w:pPr>
        <w:pStyle w:val="ListParagraph"/>
        <w:numPr>
          <w:ilvl w:val="0"/>
          <w:numId w:val="2"/>
        </w:numPr>
      </w:pPr>
      <w:r>
        <w:rPr>
          <w:b/>
          <w:bCs/>
        </w:rPr>
        <w:t xml:space="preserve">Integration with Existing SDoH: </w:t>
      </w:r>
      <w:r>
        <w:t xml:space="preserve">SVI complements (not duplicates) existing SDoH by providing standardized, validated composite scores</w:t>
      </w:r>
    </w:p>
    <w:p>
      <w:pPr>
        <w:pStyle w:val="ListParagraph"/>
        <w:numPr>
          <w:ilvl w:val="0"/>
          <w:numId w:val="2"/>
        </w:numPr>
      </w:pPr>
      <w:r>
        <w:rPr>
          <w:b/>
          <w:bCs/>
        </w:rPr>
        <w:t xml:space="preserve">HEDIS &amp; Quality Alignment: </w:t>
      </w:r>
      <w:r>
        <w:t xml:space="preserve">Maps directly to HEDIS stratification requirements and health equity quality measures</w:t>
      </w:r>
    </w:p>
    <w:p>
      <w:pPr>
        <w:pStyle w:val="ListParagraph"/>
        <w:numPr>
          <w:ilvl w:val="0"/>
          <w:numId w:val="2"/>
        </w:numPr>
      </w:pPr>
      <w:r>
        <w:rPr>
          <w:b/>
          <w:bCs/>
        </w:rPr>
        <w:t xml:space="preserve">Scientifically Validated: </w:t>
      </w:r>
      <w:r>
        <w:t xml:space="preserve">CDC-validated methodology with peer-reviewed research supporting predictive validity</w:t>
      </w:r>
    </w:p>
    <w:p/>
    <w:p>
      <w:r>
        <w:br w:type="page"/>
      </w:r>
    </w:p>
    <w:p>
      <w:pPr>
        <w:pStyle w:val="Heading2"/>
      </w:pPr>
      <w:r>
        <w:t xml:space="preserve">WHY POVERTY LEVEL AFFECTS TARGETING</w:t>
      </w:r>
    </w:p>
    <w:p>
      <w:r>
        <w:t xml:space="preserve">People living in poverty face compounding barriers that make them significantly harder to reach with traditional outreach methods:</w:t>
      </w:r>
    </w:p>
    <w:p/>
    <w:p>
      <w:pPr>
        <w:pStyle w:val="Heading3"/>
      </w:pPr>
      <w:r>
        <w:t xml:space="preserve">Multiple Access Barriers</w:t>
      </w:r>
    </w:p>
    <w:p>
      <w:pPr>
        <w:pStyle w:val="ListParagraph"/>
        <w:numPr>
          <w:ilvl w:val="0"/>
          <w:numId w:val="2"/>
        </w:numPr>
      </w:pPr>
      <w:r>
        <w:rPr>
          <w:b/>
          <w:bCs/>
        </w:rPr>
        <w:t xml:space="preserve">Transportation: </w:t>
      </w:r>
      <w:r>
        <w:t xml:space="preserve">No vehicle, can't afford gas, unreliable public transit</w:t>
      </w:r>
    </w:p>
    <w:p>
      <w:pPr>
        <w:pStyle w:val="ListParagraph"/>
        <w:numPr>
          <w:ilvl w:val="0"/>
          <w:numId w:val="2"/>
        </w:numPr>
      </w:pPr>
      <w:r>
        <w:rPr>
          <w:b/>
          <w:bCs/>
        </w:rPr>
        <w:t xml:space="preserve">Communication: </w:t>
      </w:r>
      <w:r>
        <w:t xml:space="preserve">No stable phone/internet, mail doesn't reach unstable housing</w:t>
      </w:r>
    </w:p>
    <w:p>
      <w:pPr>
        <w:pStyle w:val="ListParagraph"/>
        <w:numPr>
          <w:ilvl w:val="0"/>
          <w:numId w:val="2"/>
        </w:numPr>
      </w:pPr>
      <w:r>
        <w:rPr>
          <w:b/>
          <w:bCs/>
        </w:rPr>
        <w:t xml:space="preserve">Time: </w:t>
      </w:r>
      <w:r>
        <w:t xml:space="preserve">Multiple jobs, can't take time off, no sick leave</w:t>
      </w:r>
    </w:p>
    <w:p>
      <w:pPr>
        <w:pStyle w:val="ListParagraph"/>
        <w:numPr>
          <w:ilvl w:val="0"/>
          <w:numId w:val="2"/>
        </w:numPr>
      </w:pPr>
      <w:r>
        <w:rPr>
          <w:b/>
          <w:bCs/>
        </w:rPr>
        <w:t xml:space="preserve">Childcare: </w:t>
      </w:r>
      <w:r>
        <w:t xml:space="preserve">Can't afford childcare, can't bring kids to appointments</w:t>
      </w:r>
    </w:p>
    <w:p>
      <w:pPr>
        <w:pStyle w:val="ListParagraph"/>
        <w:numPr>
          <w:ilvl w:val="0"/>
          <w:numId w:val="2"/>
        </w:numPr>
      </w:pPr>
      <w:r>
        <w:rPr>
          <w:b/>
          <w:bCs/>
        </w:rPr>
        <w:t xml:space="preserve">Competing Priorities: </w:t>
      </w:r>
      <w:r>
        <w:t xml:space="preserve">Preventive care takes backseat to rent, food, utilities</w:t>
      </w:r>
    </w:p>
    <w:p/>
    <w:p>
      <w:pPr>
        <w:pStyle w:val="Heading3"/>
      </w:pPr>
      <w:r>
        <w:t xml:space="preserve">EP_POV150 Thresholds for Strategy Shifts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Poverty Level</w:t>
            </w:r>
          </w:p>
        </w:tc>
        <w:tc>
          <w:tcPr>
            <w:tcW w:type="dxa" w:w="70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Required Strategy</w:t>
            </w:r>
          </w:p>
        </w:tc>
      </w:tr>
      <w:tr>
        <w:tc>
          <w:tcPr>
            <w:tcW w:type="dxa" w:w="2340"/>
            <w:tcBorders>
              <w:top w:val="single" w:color="999999" w:sz="1"/>
              <w:left w:val="single" w:color="999999" w:sz="1"/>
              <w:bottom w:val="single" w:color="999999" w:sz="1"/>
              <w:right w:val="single" w:color="999999" w:sz="1"/>
            </w:tcBorders>
            <w:shd w:fill="C6EFCE" w:val="clear"/>
            <w:tcMar>
              <w:top w:type="dxa" w:w="80"/>
              <w:left w:type="dxa" w:w="120"/>
              <w:bottom w:type="dxa" w:w="80"/>
              <w:right w:type="dxa" w:w="120"/>
            </w:tcMar>
          </w:tcPr>
          <w:p>
            <w:r>
              <w:rPr>
                <w:b/>
                <w:bCs/>
              </w:rPr>
              <w:t xml:space="preserve">&lt; 15%</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Standard outreach works: Mail/phone reminders, office appointments, online scheduling</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15-25%</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Enhanced approach: Multiple reminder methods, flexible scheduling, reduce barriers</w:t>
            </w:r>
          </w:p>
        </w:tc>
      </w:tr>
      <w:tr>
        <w:tc>
          <w:tcPr>
            <w:tcW w:type="dxa" w:w="2340"/>
            <w:tcBorders>
              <w:top w:val="single" w:color="999999" w:sz="1"/>
              <w:left w:val="single" w:color="999999" w:sz="1"/>
              <w:bottom w:val="single" w:color="999999" w:sz="1"/>
              <w:right w:val="single" w:color="999999" w:sz="1"/>
            </w:tcBorders>
            <w:shd w:fill="FFEB9C" w:val="clear"/>
            <w:tcMar>
              <w:top w:type="dxa" w:w="80"/>
              <w:left w:type="dxa" w:w="120"/>
              <w:bottom w:type="dxa" w:w="80"/>
              <w:right w:type="dxa" w:w="120"/>
            </w:tcMar>
          </w:tcPr>
          <w:p>
            <w:r>
              <w:rPr>
                <w:b/>
                <w:bCs/>
              </w:rPr>
              <w:t xml:space="preserve">25-35%</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Intensive outreach: Community health workers, mobile services, same-day appointments</w:t>
            </w:r>
          </w:p>
        </w:tc>
      </w:tr>
      <w:tr>
        <w:tc>
          <w:tcPr>
            <w:tcW w:type="dxa" w:w="2340"/>
            <w:tcBorders>
              <w:top w:val="single" w:color="999999" w:sz="1"/>
              <w:left w:val="single" w:color="999999" w:sz="1"/>
              <w:bottom w:val="single" w:color="999999" w:sz="1"/>
              <w:right w:val="single" w:color="999999" w:sz="1"/>
            </w:tcBorders>
            <w:shd w:fill="FFC7CE" w:val="clear"/>
            <w:tcMar>
              <w:top w:type="dxa" w:w="80"/>
              <w:left w:type="dxa" w:w="120"/>
              <w:bottom w:type="dxa" w:w="80"/>
              <w:right w:type="dxa" w:w="120"/>
            </w:tcMar>
          </w:tcPr>
          <w:p>
            <w:r>
              <w:rPr>
                <w:b/>
                <w:bCs/>
                <w:color w:val="9C0006"/>
              </w:rPr>
              <w:t xml:space="preserve">&gt; 35%</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Full intensive model: </w:t>
            </w:r>
            <w:r>
              <w:t xml:space="preserve">Door-to-door outreach, mobile clinics at community sites, immediate incentives (gift cards), no-show friendly policies, presumptive eligibility, one-stop services. Expect 3-5x resource needs per person reached.</w:t>
            </w:r>
          </w:p>
        </w:tc>
      </w:tr>
    </w:tbl>
    <w:p/>
    <w:p>
      <w:pPr>
        <w:pStyle w:val="Heading3"/>
      </w:pPr>
      <w:r>
        <w:t xml:space="preserve">Example: Mammography Campaign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Low Poverty Area (EP_POV150 &lt; 15%)</w:t>
            </w:r>
          </w:p>
        </w:tc>
        <w:tc>
          <w:tcPr>
            <w:tcW w:type="dxa" w:w="4680"/>
            <w:tcBorders>
              <w:top w:val="single" w:color="999999" w:sz="1"/>
              <w:left w:val="single" w:color="999999" w:sz="1"/>
              <w:bottom w:val="single" w:color="999999" w:sz="1"/>
              <w:right w:val="single" w:color="999999" w:sz="1"/>
            </w:tcBorders>
            <w:shd w:fill="FFC7CE" w:val="clear"/>
            <w:tcMar>
              <w:top w:type="dxa" w:w="80"/>
              <w:left w:type="dxa" w:w="120"/>
              <w:bottom w:type="dxa" w:w="80"/>
              <w:right w:type="dxa" w:w="120"/>
            </w:tcMar>
          </w:tcPr>
          <w:p>
            <w:r>
              <w:rPr>
                <w:b/>
                <w:bCs/>
              </w:rPr>
              <w:t xml:space="preserve">High Poverty Area (EP_POV150 &gt; 35%)</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 Mail appointment reminders</w:t>
            </w:r>
          </w:p>
          <w:p>
            <w:r>
              <w:t xml:space="preserve">• Office-based screening</w:t>
            </w:r>
          </w:p>
          <w:p>
            <w:r>
              <w:t xml:space="preserve">• Online scheduling</w:t>
            </w:r>
          </w:p>
          <w:p>
            <w:r>
              <w:t xml:space="preserve">• Phone follow-up</w:t>
            </w:r>
          </w:p>
          <w:p>
            <w:r>
              <w:t xml:space="preserve"/>
            </w:r>
          </w:p>
          <w:p>
            <w:r>
              <w:rPr>
                <w:b/>
                <w:bCs/>
              </w:rPr>
              <w:t xml:space="preserve">Expected: 60% show rate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 CHW home visits</w:t>
            </w:r>
          </w:p>
          <w:p>
            <w:r>
              <w:t xml:space="preserve">• Mobile van at church/food pantry</w:t>
            </w:r>
          </w:p>
          <w:p>
            <w:r>
              <w:t xml:space="preserve">• Same-day, walk-in</w:t>
            </w:r>
          </w:p>
          <w:p>
            <w:r>
              <w:t xml:space="preserve">• $25 gift card incentive</w:t>
            </w:r>
          </w:p>
          <w:p>
            <w:r>
              <w:t xml:space="preserve">• Free childcare on-site</w:t>
            </w:r>
          </w:p>
          <w:p>
            <w:r>
              <w:rPr>
                <w:b/>
                <w:bCs/>
              </w:rPr>
              <w:t xml:space="preserve">Expected: 40% screening rate vs. 5% with standard approach</w:t>
            </w:r>
          </w:p>
        </w:tc>
      </w:tr>
    </w:tbl>
    <w:p/>
    <w:p>
      <w:r>
        <w:br w:type="page"/>
      </w:r>
    </w:p>
    <w:p>
      <w:pPr>
        <w:pStyle w:val="Heading2"/>
      </w:pPr>
      <w:r>
        <w:t xml:space="preserve">EXAMPLE CAMPAIGN WORKFLOWS</w:t>
      </w:r>
    </w:p>
    <w:p>
      <w:pPr>
        <w:pStyle w:val="Heading3"/>
      </w:pPr>
      <w:r>
        <w:t xml:space="preserve">Mammography Outreach Campaign</w:t>
      </w:r>
    </w:p>
    <w:p>
      <w:pPr>
        <w:pStyle w:val="ListParagraph"/>
        <w:numPr>
          <w:ilvl w:val="0"/>
          <w:numId w:val="2"/>
        </w:numPr>
      </w:pPr>
      <w:r>
        <w:rPr>
          <w:b/>
          <w:bCs/>
        </w:rPr>
        <w:t xml:space="preserve">Primary Filter: </w:t>
      </w:r>
      <w:r>
        <w:t xml:space="preserve">RPL_THEMES ≥ 0.75 (high vulnerability)</w:t>
      </w:r>
    </w:p>
    <w:p>
      <w:pPr>
        <w:pStyle w:val="ListParagraph"/>
        <w:numPr>
          <w:ilvl w:val="0"/>
          <w:numId w:val="2"/>
        </w:numPr>
      </w:pPr>
      <w:r>
        <w:rPr>
          <w:b/>
          <w:bCs/>
        </w:rPr>
        <w:t xml:space="preserve">Target Audience: </w:t>
      </w:r>
      <w:r>
        <w:t xml:space="preserve">EP_AGE65 ≥ 15% (significant senior population)</w:t>
      </w:r>
    </w:p>
    <w:p>
      <w:pPr>
        <w:pStyle w:val="ListParagraph"/>
        <w:numPr>
          <w:ilvl w:val="0"/>
          <w:numId w:val="2"/>
        </w:numPr>
      </w:pPr>
      <w:r>
        <w:rPr>
          <w:b/>
          <w:bCs/>
        </w:rPr>
        <w:t xml:space="preserve">Poverty Assessment: </w:t>
      </w:r>
      <w:r>
        <w:t xml:space="preserve">Check EP_POV150 to determine effort level</w:t>
      </w:r>
    </w:p>
    <w:p>
      <w:pPr>
        <w:pStyle w:val="ListParagraph"/>
        <w:numPr>
          <w:ilvl w:val="0"/>
          <w:numId w:val="2"/>
        </w:numPr>
      </w:pPr>
      <w:r>
        <w:rPr>
          <w:b/>
          <w:bCs/>
        </w:rPr>
        <w:t xml:space="preserve">IF EP_POV150 &lt; 20%:</w:t>
      </w:r>
    </w:p>
    <w:p>
      <w:pPr>
        <w:spacing left="720"/>
      </w:pPr>
      <w:r>
        <w:t xml:space="preserve">  ○ Standard: Mail reminders, phone calls, office appointments</w:t>
      </w:r>
    </w:p>
    <w:p>
      <w:pPr>
        <w:pStyle w:val="ListParagraph"/>
        <w:numPr>
          <w:ilvl w:val="0"/>
          <w:numId w:val="2"/>
        </w:numPr>
      </w:pPr>
      <w:r>
        <w:rPr>
          <w:b/>
          <w:bCs/>
        </w:rPr>
        <w:t xml:space="preserve">IF EP_POV150 ≥ 20%:</w:t>
      </w:r>
    </w:p>
    <w:p>
      <w:pPr>
        <w:spacing left="720"/>
      </w:pPr>
      <w:r>
        <w:t xml:space="preserve">  ○ EP_LIMENG &gt; 10% → Spanish/Asian language materials + navigators</w:t>
      </w:r>
    </w:p>
    <w:p>
      <w:pPr>
        <w:spacing left="720"/>
      </w:pPr>
      <w:r>
        <w:t xml:space="preserve">  ○ EP_NOVEH &gt; 10% → Mobile mammography van at community sites</w:t>
      </w:r>
    </w:p>
    <w:p>
      <w:pPr>
        <w:spacing left="720"/>
      </w:pPr>
      <w:r>
        <w:t xml:space="preserve">  ○ EP_MINRTY &gt; 30% → Culturally matched community health workers</w:t>
      </w:r>
    </w:p>
    <w:p>
      <w:pPr>
        <w:spacing left="720"/>
      </w:pPr>
      <w:r>
        <w:t xml:space="preserve">  ○ Deploy door-to-door outreach + same-day appointments + incentives</w:t>
      </w:r>
    </w:p>
    <w:p/>
    <w:p>
      <w:pPr>
        <w:pStyle w:val="Heading3"/>
      </w:pPr>
      <w:r>
        <w:t xml:space="preserve">Pediatric Immunization Drive</w:t>
      </w:r>
    </w:p>
    <w:p>
      <w:pPr>
        <w:pStyle w:val="ListParagraph"/>
        <w:numPr>
          <w:ilvl w:val="0"/>
          <w:numId w:val="2"/>
        </w:numPr>
      </w:pPr>
      <w:r>
        <w:rPr>
          <w:b/>
          <w:bCs/>
        </w:rPr>
        <w:t xml:space="preserve">Filter: </w:t>
      </w:r>
      <w:r>
        <w:t xml:space="preserve">RPL_THEME1 ≥ 0.75 (economic barriers)</w:t>
      </w:r>
    </w:p>
    <w:p>
      <w:pPr>
        <w:pStyle w:val="ListParagraph"/>
        <w:numPr>
          <w:ilvl w:val="0"/>
          <w:numId w:val="2"/>
        </w:numPr>
      </w:pPr>
      <w:r>
        <w:rPr>
          <w:b/>
          <w:bCs/>
        </w:rPr>
        <w:t xml:space="preserve">Target: </w:t>
      </w:r>
      <w:r>
        <w:t xml:space="preserve">EP_AGE17 ≥ 25% (high pediatric population)</w:t>
      </w:r>
    </w:p>
    <w:p>
      <w:pPr>
        <w:pStyle w:val="ListParagraph"/>
        <w:numPr>
          <w:ilvl w:val="0"/>
          <w:numId w:val="2"/>
        </w:numPr>
      </w:pPr>
      <w:r>
        <w:rPr>
          <w:b/>
          <w:bCs/>
        </w:rPr>
        <w:t xml:space="preserve">Tailor Outreach:</w:t>
      </w:r>
    </w:p>
    <w:p>
      <w:pPr>
        <w:spacing left="720"/>
      </w:pPr>
      <w:r>
        <w:t xml:space="preserve">  ○ EP_SNGPNT &gt; 20% → Weekend/evening clinics</w:t>
      </w:r>
    </w:p>
    <w:p>
      <w:pPr>
        <w:spacing left="720"/>
      </w:pPr>
      <w:r>
        <w:t xml:space="preserve">  ○ EP_UNINSUR &gt; 15% → Promote VFC program</w:t>
      </w:r>
    </w:p>
    <w:p>
      <w:pPr>
        <w:spacing left="720"/>
      </w:pPr>
      <w:r>
        <w:t xml:space="preserve">  ○ EP_LIMENG &gt; 10% → Bilingual outreach workers</w:t>
      </w:r>
    </w:p>
    <w:p/>
    <w:p>
      <w:pPr>
        <w:pStyle w:val="Heading3"/>
      </w:pPr>
      <w:r>
        <w:t xml:space="preserve">Health Equity Initiative</w:t>
      </w:r>
    </w:p>
    <w:p>
      <w:pPr>
        <w:pStyle w:val="ListParagraph"/>
        <w:numPr>
          <w:ilvl w:val="0"/>
          <w:numId w:val="2"/>
        </w:numPr>
      </w:pPr>
      <w:r>
        <w:rPr>
          <w:b/>
          <w:bCs/>
        </w:rPr>
        <w:t xml:space="preserve">Filter: </w:t>
      </w:r>
      <w:r>
        <w:t xml:space="preserve">RPL_THEME3 ≥ 0.75 (racial/ethnic vulnerability)</w:t>
      </w:r>
    </w:p>
    <w:p>
      <w:pPr>
        <w:pStyle w:val="ListParagraph"/>
        <w:numPr>
          <w:ilvl w:val="0"/>
          <w:numId w:val="2"/>
        </w:numPr>
      </w:pPr>
      <w:r>
        <w:rPr>
          <w:b/>
          <w:bCs/>
        </w:rPr>
        <w:t xml:space="preserve">Target: </w:t>
      </w:r>
      <w:r>
        <w:t xml:space="preserve">EP_MINRTY ≥ 40% (minority-majority areas)</w:t>
      </w:r>
    </w:p>
    <w:p>
      <w:pPr>
        <w:pStyle w:val="ListParagraph"/>
        <w:numPr>
          <w:ilvl w:val="0"/>
          <w:numId w:val="2"/>
        </w:numPr>
      </w:pPr>
      <w:r>
        <w:rPr>
          <w:b/>
          <w:bCs/>
        </w:rPr>
        <w:t xml:space="preserve">Tailor Outreach:</w:t>
      </w:r>
    </w:p>
    <w:p>
      <w:pPr>
        <w:spacing left="720"/>
      </w:pPr>
      <w:r>
        <w:t xml:space="preserve">  ○ EP_DISABL &gt; 15% → Ensure ADA compliance</w:t>
      </w:r>
    </w:p>
    <w:p>
      <w:pPr>
        <w:spacing left="720"/>
      </w:pPr>
      <w:r>
        <w:t xml:space="preserve">  ○ EP_LIMENG &gt; 15% → Community health workers</w:t>
      </w:r>
    </w:p>
    <w:p>
      <w:pPr>
        <w:spacing left="720"/>
      </w:pPr>
      <w:r>
        <w:t xml:space="preserve">  ○ EP_NOVEH &gt; 12% → Community-based care sites</w:t>
      </w:r>
    </w:p>
    <w:p/>
    <w:p>
      <w:pPr>
        <w:pStyle w:val="Heading3"/>
      </w:pPr>
      <w:r>
        <w:t xml:space="preserve">Insurance Enrollment Campaign</w:t>
      </w:r>
    </w:p>
    <w:p>
      <w:pPr>
        <w:pStyle w:val="ListParagraph"/>
        <w:numPr>
          <w:ilvl w:val="0"/>
          <w:numId w:val="2"/>
        </w:numPr>
      </w:pPr>
      <w:r>
        <w:rPr>
          <w:b/>
          <w:bCs/>
        </w:rPr>
        <w:t xml:space="preserve">Filter: </w:t>
      </w:r>
      <w:r>
        <w:t xml:space="preserve">RPL_THEME1 ≥ 0.75 (socioeconomic need)</w:t>
      </w:r>
    </w:p>
    <w:p>
      <w:pPr>
        <w:pStyle w:val="ListParagraph"/>
        <w:numPr>
          <w:ilvl w:val="0"/>
          <w:numId w:val="2"/>
        </w:numPr>
      </w:pPr>
      <w:r>
        <w:rPr>
          <w:b/>
          <w:bCs/>
        </w:rPr>
        <w:t xml:space="preserve">Target: </w:t>
      </w:r>
      <w:r>
        <w:t xml:space="preserve">EP_UNINSUR ≥ 15% (high uninsured rate)</w:t>
      </w:r>
    </w:p>
    <w:p>
      <w:pPr>
        <w:pStyle w:val="ListParagraph"/>
        <w:numPr>
          <w:ilvl w:val="0"/>
          <w:numId w:val="2"/>
        </w:numPr>
      </w:pPr>
      <w:r>
        <w:rPr>
          <w:b/>
          <w:bCs/>
        </w:rPr>
        <w:t xml:space="preserve">Tailor Outreach:</w:t>
      </w:r>
    </w:p>
    <w:p>
      <w:pPr>
        <w:spacing left="720"/>
      </w:pPr>
      <w:r>
        <w:t xml:space="preserve">  ○ EP_LIMENG &gt; 10% → Enrollment navigators</w:t>
      </w:r>
    </w:p>
    <w:p>
      <w:pPr>
        <w:spacing left="720"/>
      </w:pPr>
      <w:r>
        <w:t xml:space="preserve">  ○ EP_NOVEH &gt; 10% → Community enrollment events</w:t>
      </w:r>
    </w:p>
    <w:p>
      <w:pPr>
        <w:spacing left="720"/>
      </w:pPr>
      <w:r>
        <w:t xml:space="preserve">  ○ EP_MINRTY &gt; 30% → Culturally appropriate materials</w:t>
      </w:r>
    </w:p>
    <w:p/>
    <w:p>
      <w:r>
        <w:br w:type="page"/>
      </w:r>
    </w:p>
    <w:p>
      <w:pPr>
        <w:pStyle w:val="Heading2"/>
      </w:pPr>
      <w:r>
        <w:t xml:space="preserve">PRIORITY THRESHOLDS FOR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Percentile Range</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Priority Level</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Action</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≥0.90 (Top 10%)</w:t>
            </w:r>
          </w:p>
        </w:tc>
        <w:tc>
          <w:tcPr>
            <w:tcW w:type="dxa" w:w="3120"/>
            <w:tcBorders>
              <w:top w:val="single" w:color="999999" w:sz="1"/>
              <w:left w:val="single" w:color="999999" w:sz="1"/>
              <w:bottom w:val="single" w:color="999999" w:sz="1"/>
              <w:right w:val="single" w:color="999999" w:sz="1"/>
            </w:tcBorders>
            <w:shd w:fill="FFC7CE" w:val="clear"/>
            <w:tcMar>
              <w:top w:type="dxa" w:w="80"/>
              <w:left w:type="dxa" w:w="120"/>
              <w:bottom w:type="dxa" w:w="80"/>
              <w:right w:type="dxa" w:w="120"/>
            </w:tcMar>
          </w:tcPr>
          <w:p>
            <w:r>
              <w:rPr>
                <w:b/>
                <w:bCs/>
                <w:color w:val="9C0006"/>
              </w:rPr>
              <w:t xml:space="preserve">🔴 Critical</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Immediate intervention, dedicated resources</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0.75-0.89</w:t>
            </w:r>
          </w:p>
        </w:tc>
        <w:tc>
          <w:tcPr>
            <w:tcW w:type="dxa" w:w="3120"/>
            <w:tcBorders>
              <w:top w:val="single" w:color="999999" w:sz="1"/>
              <w:left w:val="single" w:color="999999" w:sz="1"/>
              <w:bottom w:val="single" w:color="999999" w:sz="1"/>
              <w:right w:val="single" w:color="999999" w:sz="1"/>
            </w:tcBorders>
            <w:shd w:fill="FFEB9C" w:val="clear"/>
            <w:tcMar>
              <w:top w:type="dxa" w:w="80"/>
              <w:left w:type="dxa" w:w="120"/>
              <w:bottom w:type="dxa" w:w="80"/>
              <w:right w:type="dxa" w:w="120"/>
            </w:tcMar>
          </w:tcPr>
          <w:p>
            <w:r>
              <w:rPr>
                <w:b/>
                <w:bCs/>
                <w:color w:val="9C5700"/>
              </w:rPr>
              <w:t xml:space="preserve">🟡 High</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Targeted programs, enhanced outreach</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0.50-0.74</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 Moderate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Standard services, monitoring</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&lt;0.50</w:t>
            </w:r>
          </w:p>
        </w:tc>
        <w:tc>
          <w:tcPr>
            <w:tcW w:type="dxa" w:w="3120"/>
            <w:tcBorders>
              <w:top w:val="single" w:color="999999" w:sz="1"/>
              <w:left w:val="single" w:color="999999" w:sz="1"/>
              <w:bottom w:val="single" w:color="999999" w:sz="1"/>
              <w:right w:val="single" w:color="999999" w:sz="1"/>
            </w:tcBorders>
            <w:shd w:fill="C6EFCE" w:val="clear"/>
            <w:tcMar>
              <w:top w:type="dxa" w:w="80"/>
              <w:left w:type="dxa" w:w="120"/>
              <w:bottom w:type="dxa" w:w="80"/>
              <w:right w:type="dxa" w:w="120"/>
            </w:tcMar>
          </w:tcPr>
          <w:p>
            <w:r>
              <w:rPr>
                <w:b/>
                <w:bCs/>
                <w:color w:val="006100"/>
              </w:rPr>
              <w:t xml:space="preserve">⚪ Lower</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Routine services adequate</w:t>
            </w:r>
          </w:p>
        </w:tc>
      </w:tr>
    </w:tbl>
    <w:p/>
    <w:p>
      <w:r>
        <w:br w:type="page"/>
      </w:r>
    </w:p>
    <w:p>
      <w:pPr>
        <w:pStyle w:val="Heading2"/>
      </w:pPr>
      <w:r>
        <w:t xml:space="preserve">VARIABLES TO AVOID</w:t>
      </w:r>
    </w:p>
    <w:p>
      <w:r>
        <w:t xml:space="preserve">These variables should NOT be included in initial implementation:</w:t>
      </w:r>
    </w:p>
    <w:p/>
    <w:p>
      <w:pPr>
        <w:pStyle w:val="ListParagraph"/>
        <w:numPr>
          <w:ilvl w:val="0"/>
          <w:numId w:val="2"/>
        </w:numPr>
      </w:pPr>
      <w:r>
        <w:rPr>
          <w:b/>
          <w:bCs/>
        </w:rPr>
        <w:t xml:space="preserve">❌ Raw Counts (E_* except E_TOTPOP): </w:t>
      </w:r>
      <w:r>
        <w:t xml:space="preserve">Percentages are more comparable across areas of different sizes</w:t>
      </w:r>
    </w:p>
    <w:p>
      <w:pPr>
        <w:pStyle w:val="ListParagraph"/>
        <w:numPr>
          <w:ilvl w:val="0"/>
          <w:numId w:val="2"/>
        </w:numPr>
      </w:pPr>
      <w:r>
        <w:rPr>
          <w:b/>
          <w:bCs/>
        </w:rPr>
        <w:t xml:space="preserve">❌ Margins of Error (M_*, MP_*): </w:t>
      </w:r>
      <w:r>
        <w:t xml:space="preserve">Adds statistical complexity without value for campaign targeting</w:t>
      </w:r>
    </w:p>
    <w:p>
      <w:pPr>
        <w:pStyle w:val="ListParagraph"/>
        <w:numPr>
          <w:ilvl w:val="0"/>
          <w:numId w:val="2"/>
        </w:numPr>
      </w:pPr>
      <w:r>
        <w:rPr>
          <w:b/>
          <w:bCs/>
        </w:rPr>
        <w:t xml:space="preserve">❌ Individual Percentiles (EPL_*): </w:t>
      </w:r>
      <w:r>
        <w:t xml:space="preserve">Theme rankings (RPL_*) already summarize these effectively</w:t>
      </w:r>
    </w:p>
    <w:p>
      <w:pPr>
        <w:pStyle w:val="ListParagraph"/>
        <w:numPr>
          <w:ilvl w:val="0"/>
          <w:numId w:val="2"/>
        </w:numPr>
      </w:pPr>
      <w:r>
        <w:rPr>
          <w:b/>
          <w:bCs/>
        </w:rPr>
        <w:t xml:space="preserve">❌ Flag Variables (F_*): </w:t>
      </w:r>
      <w:r>
        <w:t xml:space="preserve">Binary flags lose nuance; percentile rankings provide more information</w:t>
      </w:r>
    </w:p>
    <w:p>
      <w:pPr>
        <w:pStyle w:val="ListParagraph"/>
        <w:numPr>
          <w:ilvl w:val="0"/>
          <w:numId w:val="2"/>
        </w:numPr>
      </w:pPr>
      <w:r>
        <w:rPr>
          <w:b/>
          <w:bCs/>
        </w:rPr>
        <w:t xml:space="preserve">❌ Sum Variables (SPL_*): </w:t>
      </w:r>
      <w:r>
        <w:t xml:space="preserve">These are intermediate calculations; use RPL_* percentiles instead</w:t>
      </w:r>
    </w:p>
    <w:p/>
    <w:p>
      <w:r>
        <w:br w:type="page"/>
      </w:r>
    </w:p>
    <w:p>
      <w:pPr>
        <w:pStyle w:val="Heading2"/>
      </w:pPr>
      <w:r>
        <w:t xml:space="preserve">TECHNICAL INTEGRATION NOTES</w:t>
      </w:r>
    </w:p>
    <w:p>
      <w:pPr>
        <w:pStyle w:val="Heading3"/>
      </w:pPr>
      <w:r>
        <w:t xml:space="preserve">Data Types</w:t>
      </w:r>
    </w:p>
    <w:p>
      <w:pPr>
        <w:pStyle w:val="ListParagraph"/>
        <w:numPr>
          <w:ilvl w:val="0"/>
          <w:numId w:val="2"/>
        </w:numPr>
      </w:pPr>
      <w:r>
        <w:rPr>
          <w:b/>
          <w:bCs/>
        </w:rPr>
        <w:t xml:space="preserve">RPL_* variables: </w:t>
      </w:r>
      <w:r>
        <w:t xml:space="preserve">float/numeric, range 0.0-1.0</w:t>
      </w:r>
    </w:p>
    <w:p>
      <w:pPr>
        <w:pStyle w:val="ListParagraph"/>
        <w:numPr>
          <w:ilvl w:val="0"/>
          <w:numId w:val="2"/>
        </w:numPr>
      </w:pPr>
      <w:r>
        <w:rPr>
          <w:b/>
          <w:bCs/>
        </w:rPr>
        <w:t xml:space="preserve">EP_* variables: </w:t>
      </w:r>
      <w:r>
        <w:t xml:space="preserve">float/numeric, range 0.0-100.0</w:t>
      </w:r>
    </w:p>
    <w:p>
      <w:pPr>
        <w:pStyle w:val="ListParagraph"/>
        <w:numPr>
          <w:ilvl w:val="0"/>
          <w:numId w:val="2"/>
        </w:numPr>
      </w:pPr>
      <w:r>
        <w:rPr>
          <w:b/>
          <w:bCs/>
        </w:rPr>
        <w:t xml:space="preserve">E_TOTPOP: </w:t>
      </w:r>
      <w:r>
        <w:t xml:space="preserve">integer, range 0-150,000+</w:t>
      </w:r>
    </w:p>
    <w:p>
      <w:pPr>
        <w:pStyle w:val="ListParagraph"/>
        <w:numPr>
          <w:ilvl w:val="0"/>
          <w:numId w:val="2"/>
        </w:numPr>
      </w:pPr>
      <w:r>
        <w:rPr>
          <w:b/>
          <w:bCs/>
        </w:rPr>
        <w:t xml:space="preserve">FIPS: </w:t>
      </w:r>
      <w:r>
        <w:t xml:space="preserve">string/character, 5 digits (ZIP code)</w:t>
      </w:r>
    </w:p>
    <w:p/>
    <w:p>
      <w:pPr>
        <w:pStyle w:val="Heading3"/>
      </w:pPr>
      <w:r>
        <w:t xml:space="preserve">Join Key</w:t>
      </w:r>
    </w:p>
    <w:p>
      <w:pPr>
        <w:pStyle w:val="ListParagraph"/>
        <w:numPr>
          <w:ilvl w:val="0"/>
          <w:numId w:val="2"/>
        </w:numPr>
      </w:pPr>
      <w:r>
        <w:t xml:space="preserve">Use </w:t>
      </w:r>
      <w:r>
        <w:rPr>
          <w:b/>
          <w:bCs/>
        </w:rPr>
        <w:t xml:space="preserve">FIPS</w:t>
      </w:r>
      <w:r>
        <w:t xml:space="preserve"> column to join with existing ZIP code data</w:t>
      </w:r>
    </w:p>
    <w:p>
      <w:pPr>
        <w:pStyle w:val="ListParagraph"/>
        <w:numPr>
          <w:ilvl w:val="0"/>
          <w:numId w:val="2"/>
        </w:numPr>
      </w:pPr>
      <w:r>
        <w:t xml:space="preserve">Format: 5-digit string (e.g., "60540", "10001")</w:t>
      </w:r>
    </w:p>
    <w:p/>
    <w:p>
      <w:pPr>
        <w:pStyle w:val="Heading3"/>
      </w:pPr>
      <w:r>
        <w:t xml:space="preserve">Color Scheme Recommendations</w:t>
      </w:r>
    </w:p>
    <w:p>
      <w:pPr>
        <w:pStyle w:val="ListParagraph"/>
        <w:numPr>
          <w:ilvl w:val="0"/>
          <w:numId w:val="2"/>
        </w:numPr>
      </w:pPr>
      <w:r>
        <w:rPr>
          <w:b/>
          <w:bCs/>
        </w:rPr>
        <w:t xml:space="preserve">Themes (percentiles): </w:t>
      </w:r>
      <w:r>
        <w:t xml:space="preserve">Use sequential color schemes (red = high vulnerability)</w:t>
      </w:r>
    </w:p>
    <w:p>
      <w:pPr>
        <w:pStyle w:val="ListParagraph"/>
        <w:numPr>
          <w:ilvl w:val="0"/>
          <w:numId w:val="2"/>
        </w:numPr>
      </w:pPr>
      <w:r>
        <w:rPr>
          <w:b/>
          <w:bCs/>
        </w:rPr>
        <w:t xml:space="preserve">Demographics/Barriers: </w:t>
      </w:r>
      <w:r>
        <w:t xml:space="preserve">Use sequential schemes (darker = higher percentage)</w:t>
      </w:r>
    </w:p>
    <w:p>
      <w:pPr>
        <w:pStyle w:val="ListParagraph"/>
        <w:numPr>
          <w:ilvl w:val="0"/>
          <w:numId w:val="2"/>
        </w:numPr>
      </w:pPr>
      <w:r>
        <w:rPr>
          <w:b/>
          <w:bCs/>
        </w:rPr>
        <w:t xml:space="preserve">Suggested palettes: </w:t>
      </w:r>
      <w:r>
        <w:t xml:space="preserve">ColorBrewer YlOrRd or RdYlGn (reversed)</w:t>
      </w:r>
    </w:p>
    <w:p/>
    <w:p>
      <w:pPr>
        <w:pStyle w:val="Heading3"/>
      </w:pPr>
      <w:r>
        <w:t xml:space="preserve">Missing Data Handling</w:t>
      </w:r>
    </w:p>
    <w:p>
      <w:pPr>
        <w:pStyle w:val="ListParagraph"/>
        <w:numPr>
          <w:ilvl w:val="0"/>
          <w:numId w:val="2"/>
        </w:numPr>
      </w:pPr>
      <w:r>
        <w:t xml:space="preserve">CDC uses </w:t>
      </w:r>
      <w:r>
        <w:rPr>
          <w:b/>
          <w:bCs/>
        </w:rPr>
        <w:t xml:space="preserve">-999</w:t>
      </w:r>
      <w:r>
        <w:t xml:space="preserve"> to indicate missing or unavailable data</w:t>
      </w:r>
    </w:p>
    <w:p>
      <w:pPr>
        <w:pStyle w:val="ListParagraph"/>
        <w:numPr>
          <w:ilvl w:val="0"/>
          <w:numId w:val="2"/>
        </w:numPr>
      </w:pPr>
      <w:r>
        <w:t xml:space="preserve">Filter out -999 values before calculations or visualizations</w:t>
      </w:r>
    </w:p>
    <w:p>
      <w:pPr>
        <w:pStyle w:val="ListParagraph"/>
        <w:numPr>
          <w:ilvl w:val="0"/>
          <w:numId w:val="2"/>
        </w:numPr>
      </w:pPr>
      <w:r>
        <w:t xml:space="preserve">1,214 ZCTAs (3.6%) lack complete SVI rankings - this is normal</w:t>
      </w:r>
    </w:p>
    <w:p/>
    <w:p/>
    <w:p>
      <w:r>
        <w:rPr>
          <w:i/>
          <w:iCs/>
          <w:sz w:val="20"/>
          <w:szCs w:val="20"/>
        </w:rPr>
        <w:t xml:space="preserve">Analysis Date: January 28, 2026</w:t>
      </w:r>
    </w:p>
    <w:p>
      <w:r>
        <w:rPr>
          <w:i/>
          <w:iCs/>
          <w:sz w:val="20"/>
          <w:szCs w:val="20"/>
        </w:rPr>
        <w:t xml:space="preserve">SVI Data Version: 2022 (based on 2018-2022 ACS 5-year estimates)</w:t>
      </w:r>
    </w:p>
    <w:p>
      <w:r>
        <w:rPr>
          <w:i/>
          <w:iCs/>
          <w:sz w:val="20"/>
          <w:szCs w:val="20"/>
        </w:rPr>
        <w:t xml:space="preserve">CDC SVI Contact: svi_coordinator@cdc.gov | Website: http://svi.cdc.gov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5"/>
      <w:sz w:val="28"/>
      <w:szCs w:val="28"/>
    </w:rPr>
  </w:style>
  <w:style w:type="paragraph" w:styleId="Heading3">
    <w:name w:val="Heading 3"/>
    <w:basedOn w:val="Normal"/>
    <w:next w:val="Normal"/>
    <w:qFormat/>
    <w:pPr>
      <w:spacing w:before="140" w:after="80"/>
      <w:outlineLvl w:val="2"/>
    </w:pPr>
    <w:rPr>
      <w:rFonts w:ascii="Arial" w:cs="Arial" w:eastAsia="Arial" w:hAnsi="Arial"/>
      <w:b/>
      <w:bCs/>
      <w:color w:val="2E75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2026-01-28T20:17:05.822Z</dcterms:created>
  <dcterms:modified xsi:type="dcterms:W3CDTF">2026-01-28T20:17:05.824Z</dcterms:modified>
</cp:coreProperties>
</file>

<file path=docProps/custom.xml><?xml version="1.0" encoding="utf-8"?>
<Properties xmlns="http://schemas.openxmlformats.org/officeDocument/2006/custom-properties" xmlns:vt="http://schemas.openxmlformats.org/officeDocument/2006/docPropsVTypes"/>
</file>