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Quarterly report</w:t>
      </w:r>
    </w:p>
    <w:p>
      <w:pPr>
        <w:pStyle w:val="BodyTextsub"/>
        <w:bidi w:val="0"/>
        <w:jc w:val="left"/>
        <w:rPr/>
      </w:pPr>
      <w:r>
        <w:rPr/>
        <w:t>Q3 2026 · Electrical services division</w:t>
      </w:r>
    </w:p>
    <w:p>
      <w:pPr>
        <w:pStyle w:val="Heading2"/>
        <w:bidi w:val="0"/>
        <w:jc w:val="left"/>
        <w:rPr/>
      </w:pPr>
      <w:r>
        <w:rPr/>
        <w:t>Summary</w:t>
      </w:r>
    </w:p>
    <w:p>
      <w:pPr>
        <w:pStyle w:val="BodyText"/>
        <w:bidi w:val="0"/>
        <w:jc w:val="left"/>
        <w:rPr/>
      </w:pPr>
      <w:r>
        <w:rPr/>
        <w:t>Revenue grew in every region. The north sites finished two weeks early, and the lake house solar project moved into its second phase.</w:t>
      </w:r>
    </w:p>
    <w:p>
      <w:pPr>
        <w:pStyle w:val="BodyText"/>
        <w:bidi w:val="0"/>
        <w:ind w:hanging="0" w:left="0" w:right="0"/>
        <w:jc w:val="left"/>
        <w:rPr/>
      </w:pPr>
      <w:r>
        <w:rPr>
          <w:b/>
          <w:color w:val="15803D"/>
          <w:sz w:val="40"/>
        </w:rPr>
        <w:t>+18%</w:t>
      </w:r>
      <w:r>
        <w:rPr/>
        <w:t xml:space="preserve"> revenue    </w:t>
      </w:r>
      <w:r>
        <w:rPr>
          <w:b/>
          <w:color w:val="15803D"/>
          <w:sz w:val="40"/>
        </w:rPr>
        <w:t>42</w:t>
      </w:r>
      <w:r>
        <w:rPr/>
        <w:t xml:space="preserve"> jobs closed    </w:t>
      </w:r>
      <w:r>
        <w:rPr>
          <w:b/>
          <w:color w:val="15803D"/>
          <w:sz w:val="40"/>
        </w:rPr>
        <w:t>96%</w:t>
      </w:r>
      <w:r>
        <w:rPr/>
        <w:t xml:space="preserve"> on time</w:t>
      </w:r>
    </w:p>
    <w:p>
      <w:pPr>
        <w:pStyle w:val="Heading2"/>
        <w:bidi w:val="0"/>
        <w:jc w:val="left"/>
        <w:rPr/>
      </w:pPr>
      <w:r>
        <w:rPr/>
        <w:t>By region</w:t>
      </w:r>
    </w:p>
    <w:tbl>
      <w:tblPr>
        <w:tblW w:w="353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0"/>
        <w:gridCol w:w="511"/>
        <w:gridCol w:w="960"/>
        <w:gridCol w:w="842"/>
      </w:tblGrid>
      <w:tr>
        <w:trPr/>
        <w:tc>
          <w:tcPr>
            <w:tcW w:w="1220" w:type="dxa"/>
            <w:tcBorders/>
            <w:vAlign w:val="center"/>
          </w:tcPr>
          <w:p>
            <w:pPr>
              <w:pStyle w:val="TableHeading"/>
              <w:suppressLineNumbers/>
              <w:shd w:fill="DBEAFE" w:val="clear"/>
              <w:bidi w:val="0"/>
              <w:spacing w:before="0" w:after="283"/>
              <w:jc w:val="left"/>
              <w:rPr/>
            </w:pPr>
            <w:r>
              <w:rPr/>
              <w:t>Region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shd w:fill="DBEAFE" w:val="clear"/>
              <w:bidi w:val="0"/>
              <w:spacing w:before="0" w:after="283"/>
              <w:jc w:val="left"/>
              <w:rPr/>
            </w:pPr>
            <w:r>
              <w:rPr/>
              <w:t>Jobs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Heading"/>
              <w:suppressLineNumbers/>
              <w:shd w:fill="DBEAFE" w:val="clear"/>
              <w:bidi w:val="0"/>
              <w:spacing w:before="0" w:after="283"/>
              <w:jc w:val="left"/>
              <w:rPr/>
            </w:pPr>
            <w:r>
              <w:rPr/>
              <w:t>Revenue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Heading"/>
              <w:suppressLineNumbers/>
              <w:shd w:fill="DBEAFE" w:val="clear"/>
              <w:bidi w:val="0"/>
              <w:spacing w:before="0" w:after="283"/>
              <w:jc w:val="left"/>
              <w:rPr/>
            </w:pPr>
            <w:r>
              <w:rPr/>
              <w:t>Change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North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$184,200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+24%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 district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$131,900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+15%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9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$96,400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+11%</w:t>
            </w:r>
          </w:p>
        </w:tc>
      </w:tr>
    </w:tbl>
    <w:p>
      <w:pPr>
        <w:pStyle w:val="Heading2"/>
        <w:bidi w:val="0"/>
        <w:jc w:val="left"/>
        <w:rPr/>
      </w:pPr>
      <w:r>
        <w:rPr/>
        <w:t>Next quarter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Panel orders for the lake house (phase 2)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Inspection of the north site on the 14th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>Two new apprentices start in November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rlito">
    <w:altName w:val="Calibri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rlito;Calibri;sans-serif" w:hAnsi="Carlito;Calibri;sans-serif" w:eastAsia="Carlito;Calibri;sans-serif" w:cs="Carlito;Calibri;sans-serif"/>
      <w:color w:val="1F2937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/>
      <w:shd w:fill="1E3A8A" w:val="clear"/>
    </w:pPr>
    <w:rPr>
      <w:b/>
      <w:bCs/>
      <w:color w:val="FFFFFF"/>
      <w:sz w:val="52"/>
      <w:szCs w:val="52"/>
    </w:rPr>
  </w:style>
  <w:style w:type="paragraph" w:styleId="Heading2">
    <w:name w:val="heading 2"/>
    <w:basedOn w:val="Heading"/>
    <w:next w:val="BodyText"/>
    <w:qFormat/>
    <w:pPr>
      <w:pBdr>
        <w:bottom w:val="single" w:sz="12" w:space="3" w:color="93C5FD"/>
      </w:pBdr>
      <w:spacing w:before="200" w:after="120"/>
      <w:outlineLvl w:val="1"/>
    </w:pPr>
    <w:rPr>
      <w:rFonts w:ascii="Liberation Serif" w:hAnsi="Liberation Serif" w:eastAsia="Noto Sans" w:cs="Noto Sans Devanagari"/>
      <w:b/>
      <w:bCs/>
      <w:color w:val="1E3A8A"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sub">
    <w:name w:val="Body Text.sub"/>
    <w:basedOn w:val="BodyText"/>
    <w:qFormat/>
    <w:pPr>
      <w:spacing w:before="120" w:after="280"/>
      <w:ind w:left="120" w:right="120"/>
    </w:pPr>
    <w:rPr>
      <w:color w:val="1E3A8A"/>
      <w:sz w:val="26"/>
      <w:szCs w:val="26"/>
    </w:rPr>
  </w:style>
  <w:style w:type="paragraph" w:styleId="TableHeading">
    <w:name w:val="Table Heading"/>
    <w:basedOn w:val="TableContents"/>
    <w:qFormat/>
    <w:pPr>
      <w:suppressLineNumbers/>
      <w:shd w:fill="DBEAF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