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Rework in Acinonyx’s Multi-Agent Development Process</w:t>
      </w:r>
    </w:p>
    <w:p>
      <w:r>
        <w:t>Research problem definition | Editable discussion draft | 13 October 2026</w:t>
      </w:r>
    </w:p>
    <w:p>
      <w:pPr>
        <w:pStyle w:val="Heading1"/>
      </w:pPr>
      <w:r>
        <w:t>1. Problem statement</w:t>
      </w:r>
    </w:p>
    <w:p>
      <w:r>
        <w:t>Acinonyx’s multi-agent development process repeatedly produces submissions that appear complete but do not fully satisfy independent acceptance requirements. Corrections sometimes resolve the reported example while leaving related entry points, states, configurations or failure paths insufficiently controlled. Consequently, tasks undergo repeated implementation, review, correction and retesting before scoped acceptance, while the project owner continues to coordinate handoffs manually.</w:t>
      </w:r>
    </w:p>
    <w:p>
      <w:r>
        <w:t>The research problem is to determine how much repeat submission activity is documented, identify the mechanisms that cause recurring acceptance failures, and establish changes that reduce correction cycles and owner intervention without weakening engineering quality. The study does not assume that every rejected submission represents wholly incorrect code, or that every correction is attributable to an implementing agent.</w:t>
      </w:r>
    </w:p>
    <w:p>
      <w:pPr>
        <w:pStyle w:val="Heading1"/>
      </w:pPr>
      <w:r>
        <w:t>2. Observed evidence</w:t>
      </w:r>
    </w:p>
    <w:p>
      <w:r>
        <w:t>The initial audit examined five implementation packages: SBA-02/SBA-05, SBA-03, CC-03, CC-04 and CC-05/CC-06. Combined deliveries are counted once. Across these packages, 19 submission rounds were recorded: five initial submissions and 14 follow-up submissions. Seventeen rounds were rejected and two received conditional acceptance within their reviewed scope. All five initial recorded submissions were rejected.</w:t>
      </w:r>
    </w:p>
    <w:tbl>
      <w:tblPr>
        <w:tblStyle w:val="LightShading-Accent1"/>
        <w:tblW w:type="auto" w:w="0"/>
        <w:tblLook w:firstColumn="1" w:firstRow="1" w:lastColumn="0" w:lastRow="0" w:noHBand="0" w:noVBand="1" w:val="04A0"/>
      </w:tblPr>
      <w:tblGrid>
        <w:gridCol w:w="2160"/>
        <w:gridCol w:w="2160"/>
        <w:gridCol w:w="2160"/>
        <w:gridCol w:w="2160"/>
      </w:tblGrid>
      <w:tr>
        <w:tc>
          <w:tcPr>
            <w:tcW w:type="dxa" w:w="2160"/>
          </w:tcPr>
          <w:p>
            <w:r>
              <w:t>Package</w:t>
            </w:r>
          </w:p>
        </w:tc>
        <w:tc>
          <w:tcPr>
            <w:tcW w:type="dxa" w:w="2160"/>
          </w:tcPr>
          <w:p>
            <w:r>
              <w:t>Submissions</w:t>
            </w:r>
          </w:p>
        </w:tc>
        <w:tc>
          <w:tcPr>
            <w:tcW w:type="dxa" w:w="2160"/>
          </w:tcPr>
          <w:p>
            <w:r>
              <w:t>Follow-ups</w:t>
            </w:r>
          </w:p>
        </w:tc>
        <w:tc>
          <w:tcPr>
            <w:tcW w:type="dxa" w:w="2160"/>
          </w:tcPr>
          <w:p>
            <w:r>
              <w:t>Rejections</w:t>
            </w:r>
          </w:p>
        </w:tc>
      </w:tr>
      <w:tr>
        <w:tc>
          <w:tcPr>
            <w:tcW w:type="dxa" w:w="2160"/>
          </w:tcPr>
          <w:p>
            <w:r>
              <w:t>SBA-02/SBA-05</w:t>
            </w:r>
          </w:p>
        </w:tc>
        <w:tc>
          <w:tcPr>
            <w:tcW w:type="dxa" w:w="2160"/>
          </w:tcPr>
          <w:p>
            <w:r>
              <w:t>3</w:t>
            </w:r>
          </w:p>
        </w:tc>
        <w:tc>
          <w:tcPr>
            <w:tcW w:type="dxa" w:w="2160"/>
          </w:tcPr>
          <w:p>
            <w:r>
              <w:t>2</w:t>
            </w:r>
          </w:p>
        </w:tc>
        <w:tc>
          <w:tcPr>
            <w:tcW w:type="dxa" w:w="2160"/>
          </w:tcPr>
          <w:p>
            <w:r>
              <w:t>2</w:t>
            </w:r>
          </w:p>
        </w:tc>
      </w:tr>
      <w:tr>
        <w:tc>
          <w:tcPr>
            <w:tcW w:type="dxa" w:w="2160"/>
          </w:tcPr>
          <w:p>
            <w:r>
              <w:t>SBA-03</w:t>
            </w:r>
          </w:p>
        </w:tc>
        <w:tc>
          <w:tcPr>
            <w:tcW w:type="dxa" w:w="2160"/>
          </w:tcPr>
          <w:p>
            <w:r>
              <w:t>5</w:t>
            </w:r>
          </w:p>
        </w:tc>
        <w:tc>
          <w:tcPr>
            <w:tcW w:type="dxa" w:w="2160"/>
          </w:tcPr>
          <w:p>
            <w:r>
              <w:t>4</w:t>
            </w:r>
          </w:p>
        </w:tc>
        <w:tc>
          <w:tcPr>
            <w:tcW w:type="dxa" w:w="2160"/>
          </w:tcPr>
          <w:p>
            <w:r>
              <w:t>5</w:t>
            </w:r>
          </w:p>
        </w:tc>
      </w:tr>
      <w:tr>
        <w:tc>
          <w:tcPr>
            <w:tcW w:type="dxa" w:w="2160"/>
          </w:tcPr>
          <w:p>
            <w:r>
              <w:t>CC-03</w:t>
            </w:r>
          </w:p>
        </w:tc>
        <w:tc>
          <w:tcPr>
            <w:tcW w:type="dxa" w:w="2160"/>
          </w:tcPr>
          <w:p>
            <w:r>
              <w:t>3</w:t>
            </w:r>
          </w:p>
        </w:tc>
        <w:tc>
          <w:tcPr>
            <w:tcW w:type="dxa" w:w="2160"/>
          </w:tcPr>
          <w:p>
            <w:r>
              <w:t>2</w:t>
            </w:r>
          </w:p>
        </w:tc>
        <w:tc>
          <w:tcPr>
            <w:tcW w:type="dxa" w:w="2160"/>
          </w:tcPr>
          <w:p>
            <w:r>
              <w:t>3</w:t>
            </w:r>
          </w:p>
        </w:tc>
      </w:tr>
      <w:tr>
        <w:tc>
          <w:tcPr>
            <w:tcW w:type="dxa" w:w="2160"/>
          </w:tcPr>
          <w:p>
            <w:r>
              <w:t>CC-04</w:t>
            </w:r>
          </w:p>
        </w:tc>
        <w:tc>
          <w:tcPr>
            <w:tcW w:type="dxa" w:w="2160"/>
          </w:tcPr>
          <w:p>
            <w:r>
              <w:t>6</w:t>
            </w:r>
          </w:p>
        </w:tc>
        <w:tc>
          <w:tcPr>
            <w:tcW w:type="dxa" w:w="2160"/>
          </w:tcPr>
          <w:p>
            <w:r>
              <w:t>5</w:t>
            </w:r>
          </w:p>
        </w:tc>
        <w:tc>
          <w:tcPr>
            <w:tcW w:type="dxa" w:w="2160"/>
          </w:tcPr>
          <w:p>
            <w:r>
              <w:t>5</w:t>
            </w:r>
          </w:p>
        </w:tc>
      </w:tr>
      <w:tr>
        <w:tc>
          <w:tcPr>
            <w:tcW w:type="dxa" w:w="2160"/>
          </w:tcPr>
          <w:p>
            <w:r>
              <w:t>CC-05/CC-06</w:t>
            </w:r>
          </w:p>
        </w:tc>
        <w:tc>
          <w:tcPr>
            <w:tcW w:type="dxa" w:w="2160"/>
          </w:tcPr>
          <w:p>
            <w:r>
              <w:t>2</w:t>
            </w:r>
          </w:p>
        </w:tc>
        <w:tc>
          <w:tcPr>
            <w:tcW w:type="dxa" w:w="2160"/>
          </w:tcPr>
          <w:p>
            <w:r>
              <w:t>1</w:t>
            </w:r>
          </w:p>
        </w:tc>
        <w:tc>
          <w:tcPr>
            <w:tcW w:type="dxa" w:w="2160"/>
          </w:tcPr>
          <w:p>
            <w:r>
              <w:t>2</w:t>
            </w:r>
          </w:p>
        </w:tc>
      </w:tr>
      <w:tr>
        <w:tc>
          <w:tcPr>
            <w:tcW w:type="dxa" w:w="2160"/>
          </w:tcPr>
          <w:p>
            <w:r>
              <w:t>Total</w:t>
            </w:r>
          </w:p>
        </w:tc>
        <w:tc>
          <w:tcPr>
            <w:tcW w:type="dxa" w:w="2160"/>
          </w:tcPr>
          <w:p>
            <w:r>
              <w:t>19</w:t>
            </w:r>
          </w:p>
        </w:tc>
        <w:tc>
          <w:tcPr>
            <w:tcW w:type="dxa" w:w="2160"/>
          </w:tcPr>
          <w:p>
            <w:r>
              <w:t>14</w:t>
            </w:r>
          </w:p>
        </w:tc>
        <w:tc>
          <w:tcPr>
            <w:tcW w:type="dxa" w:w="2160"/>
          </w:tcPr>
          <w:p>
            <w:r>
              <w:t>17</w:t>
            </w:r>
          </w:p>
        </w:tc>
      </w:tr>
    </w:tbl>
    <w:p>
      <w:r>
        <w:t>Follow-up submissions account for 14/19 = 73.7% of recorded rounds. The rejection fraction is 17/19 = 89.5%. Neither figure measures engineering hours, percentage of code incorrect, or wasted effort. Three package sequences subsequently involved Codex corrective work; those corrections are not counted as Antigravity-only completed delivery cycles.</w:t>
      </w:r>
    </w:p>
    <w:p>
      <w:pPr>
        <w:pStyle w:val="Heading1"/>
      </w:pPr>
      <w:r>
        <w:t>3. Preliminary diagnostic findings</w:t>
      </w:r>
    </w:p>
    <w:p>
      <w:pPr>
        <w:pStyle w:val="Heading2"/>
      </w:pPr>
      <w:r>
        <w:t>Incomplete boundary fixes</w:t>
      </w:r>
    </w:p>
    <w:p>
      <w:r>
        <w:t>Planning authorization weaknesses persisted across successive revisions. Fixing one call path or reproducer did not always enforce the same rule across all affected operations.</w:t>
      </w:r>
    </w:p>
    <w:p>
      <w:pPr>
        <w:pStyle w:val="Heading2"/>
      </w:pPr>
      <w:r>
        <w:t>Insufficient adverse-case checks</w:t>
      </w:r>
    </w:p>
    <w:p>
      <w:r>
        <w:t>Recorded examples include checking for a delayed side effect before its deadline, claiming browser records without DOM assertions, and treating printed test-like output as evidence of actual tests.</w:t>
      </w:r>
    </w:p>
    <w:p>
      <w:pPr>
        <w:pStyle w:val="Heading2"/>
      </w:pPr>
      <w:r>
        <w:t>Mechanism–guarantee mismatch</w:t>
      </w:r>
    </w:p>
    <w:p>
      <w:r>
        <w:t>Cooperative stop signals, capability declarations, class allowlists, worktrees and signatures were sometimes relied on for guarantees they did not independently establish.</w:t>
      </w:r>
    </w:p>
    <w:p>
      <w:pPr>
        <w:pStyle w:val="Heading2"/>
      </w:pPr>
      <w:r>
        <w:t>Incomplete historical integration coverage</w:t>
      </w:r>
    </w:p>
    <w:p>
      <w:r>
        <w:t>Success on fresh database schemas did not establish safe upgrades for already-shipped schemas and migration ledgers.</w:t>
      </w:r>
    </w:p>
    <w:p>
      <w:pPr>
        <w:pStyle w:val="Heading2"/>
      </w:pPr>
      <w:r>
        <w:t>Requirements and evidence standards evolving during delivery</w:t>
      </w:r>
    </w:p>
    <w:p>
      <w:r>
        <w:t>Review progressively clarified contract details and supported scope. Some additional work may therefore reflect specification development rather than an original implementation violation.</w:t>
      </w:r>
    </w:p>
    <w:p>
      <w:pPr>
        <w:pStyle w:val="Heading2"/>
      </w:pPr>
      <w:r>
        <w:t>Continued owner-mediated coordination</w:t>
      </w:r>
    </w:p>
    <w:p>
      <w:r>
        <w:t>Uploaded transcripts document repeated manual handoffs. This establishes coordination burden, but does not by itself prove that handoffs caused particular code defects.</w:t>
      </w:r>
    </w:p>
    <w:p>
      <w:pPr>
        <w:pStyle w:val="Heading1"/>
      </w:pPr>
      <w:r>
        <w:t>4. Research questions</w:t>
      </w:r>
    </w:p>
    <w:p>
      <w:pPr>
        <w:pStyle w:val="ListNumber"/>
      </w:pPr>
      <w:r>
        <w:t>How many initial submissions, follow-up submissions and recurring issue families can be reconstructed for each task?</w:t>
      </w:r>
    </w:p>
    <w:p>
      <w:pPr>
        <w:pStyle w:val="ListNumber"/>
      </w:pPr>
      <w:r>
        <w:t>Which corrections address original requirement violations, incomplete previous fixes, later requirement changes, infrastructure gaps or review/reporting errors?</w:t>
      </w:r>
    </w:p>
    <w:p>
      <w:pPr>
        <w:pStyle w:val="ListNumber"/>
      </w:pPr>
      <w:r>
        <w:t>Which engineering boundaries recur most frequently across rejection cycles?</w:t>
      </w:r>
    </w:p>
    <w:p>
      <w:pPr>
        <w:pStyle w:val="ListNumber"/>
      </w:pPr>
      <w:r>
        <w:t>What submission and verification practices would prevent recurrence while retaining independent acceptance?</w:t>
      </w:r>
    </w:p>
    <w:p>
      <w:pPr>
        <w:pStyle w:val="ListNumber"/>
      </w:pPr>
      <w:r>
        <w:t>How can the coordinator reduce routine project-owner intervention?</w:t>
      </w:r>
    </w:p>
    <w:p>
      <w:pPr>
        <w:pStyle w:val="Heading1"/>
      </w:pPr>
      <w:r>
        <w:t>5. Evidence base and method</w:t>
      </w:r>
    </w:p>
    <w:p>
      <w:r>
        <w:t>The collected corpus contains 186 reachable Git commits and patches, three GitHub pull requests with available reviews and conversations, 138 document snapshots, 21 uploaded transcripts and 188 existing evidence files, supplemented by available issue, Actions and repository-event metadata. These are repository-wide sources, not 186 tasks or 186 rework events. Original collection hashes were verified. Git history is preserved in a private repository bundle.</w:t>
      </w:r>
    </w:p>
    <w:p>
      <w:r>
        <w:t>The method is to reconstruct candidate-linked task timelines, associate review findings with subsequent patches, and classify recurring mechanisms. Thirteen selected remediation commits and eight recurring issue families have been identified. These are initial, overlapping selections, not an exhaustive defect census. Transcripts support reported sequences; measured runner records and candidate-specific reviews are distinguished from agent claims. Working hours are excluded where unavailable.</w:t>
      </w:r>
    </w:p>
    <w:p>
      <w:pPr>
        <w:pStyle w:val="Heading1"/>
      </w:pPr>
      <w:r>
        <w:t>6. Limitations</w:t>
      </w:r>
    </w:p>
    <w:p>
      <w:pPr>
        <w:pStyle w:val="ListBullet"/>
      </w:pPr>
      <w:r>
        <w:t>The selected packages are demanding coordinator/security tasks and do not constitute a representative model benchmark.</w:t>
      </w:r>
    </w:p>
    <w:p>
      <w:pPr>
        <w:pStyle w:val="ListBullet"/>
      </w:pPr>
      <w:r>
        <w:t>Git authors do not necessarily identify the agent responsible; timestamps do not establish hours worked or exact push times.</w:t>
      </w:r>
    </w:p>
    <w:p>
      <w:pPr>
        <w:pStyle w:val="ListBullet"/>
      </w:pPr>
      <w:r>
        <w:t>Unavailable IDE sessions, uncommitted desktop work, deleted records and provider billing are not fully captured.</w:t>
      </w:r>
    </w:p>
    <w:p>
      <w:pPr>
        <w:pStyle w:val="ListBullet"/>
      </w:pPr>
      <w:r>
        <w:t>Conditional acceptance is limited to the reviewed scope and does not establish production or end-to-end automation readiness.</w:t>
      </w:r>
    </w:p>
    <w:p>
      <w:pPr>
        <w:pStyle w:val="ListBullet"/>
      </w:pPr>
      <w:r>
        <w:t>The study does not assign a causal percentage to any provider or equate repeated submissions with wholly wasted work.</w:t>
      </w:r>
    </w:p>
    <w:p>
      <w:pPr>
        <w:pStyle w:val="Heading1"/>
      </w:pPr>
      <w:r>
        <w:t>7. Intended research outcome</w:t>
      </w:r>
    </w:p>
    <w:p>
      <w:r>
        <w:t>Produce a defensible account of repeat submission activity and recurring failure mechanisms, then evaluate practical interventions: versioned acceptance contracts, early enforcement-design review, full finding-closure matrices, reviewer-owned adverse-case tests and durable automated handoffs. Success is fewer correction cycles and less owner coordination while preserving trustworthy acceptance.</w:t>
      </w:r>
    </w:p>
    <w:p>
      <w:pPr>
        <w:pStyle w:val="Heading1"/>
      </w:pPr>
      <w:r>
        <w:t>8. Source register</w:t>
      </w:r>
    </w:p>
    <w:p>
      <w:r>
        <w:t>projects/scrum-board-automation/planning/AGENT_DELIVERY_RELIABILITY_AUDIT.md</w:t>
      </w:r>
    </w:p>
    <w:p>
      <w:r>
        <w:t>projects/scrum-board-automation/planning/AGENT_DELIVERY_AUDIT_LEDGER.json</w:t>
      </w:r>
    </w:p>
    <w:p>
      <w:r>
        <w:t>projects/scrum-board-automation/planning/REWORK_CAUSE_ANALYSIS.md</w:t>
      </w:r>
    </w:p>
    <w:p>
      <w:r>
        <w:t>projects/scrum-board-automation/planning/REWORK_CAUSE_LEDGER.json</w:t>
      </w:r>
    </w:p>
    <w:p>
      <w:r>
        <w:t>Private corpus: /workspace/research/acinonyx-delivery-2026-10-13/README.md</w:t>
      </w:r>
    </w:p>
    <w:p>
      <w:r>
        <w:t>This document defines the research problem and preliminary evidence. It is not a completed causal study or a release acceptance decision.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