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35588" w14:textId="7F5E500D" w:rsidR="00881B97" w:rsidRDefault="00B1798D">
      <w:pPr>
        <w:rPr>
          <w:b/>
          <w:sz w:val="36"/>
        </w:rPr>
      </w:pPr>
      <w:r>
        <w:rPr>
          <w:b/>
          <w:sz w:val="36"/>
        </w:rPr>
        <w:t>205 Artifacts - Demo Word</w:t>
      </w:r>
    </w:p>
    <w:p w14:paraId="76A7924C" w14:textId="15A46127" w:rsidR="00B1798D" w:rsidRDefault="00B1798D">
      <w:r>
        <w:t>Źródło treści: README.md</w:t>
      </w:r>
    </w:p>
    <w:p w14:paraId="6ABB2D67" w14:textId="77777777" w:rsidR="00B1798D" w:rsidRDefault="00B1798D"/>
    <w:p w14:paraId="7F446D44" w14:textId="77777777" w:rsidR="00B1798D" w:rsidRDefault="00B1798D">
      <w:r>
        <w:t># 205 Artifacts Layout</w:t>
      </w:r>
    </w:p>
    <w:p w14:paraId="2536FA54" w14:textId="77777777" w:rsidR="00B1798D" w:rsidRDefault="00B1798D"/>
    <w:p w14:paraId="09EBE5D4" w14:textId="77777777" w:rsidR="00B1798D" w:rsidRDefault="00B1798D">
      <w:r>
        <w:t>Cel: trzymać całą serię 205 (zarówno dokumenty zakresowe PR, jak i wyniki analiz oraz dane robocze) wewnątrz `docs_dev/_to_do/205_artifacts`.</w:t>
      </w:r>
    </w:p>
    <w:p w14:paraId="5FEF28FF" w14:textId="77777777" w:rsidR="00B1798D" w:rsidRDefault="00B1798D"/>
    <w:p w14:paraId="5098E11B" w14:textId="77777777" w:rsidR="00B1798D" w:rsidRDefault="00B1798D">
      <w:r>
        <w:t>## Struktura</w:t>
      </w:r>
    </w:p>
    <w:p w14:paraId="799FF2A0" w14:textId="77777777" w:rsidR="00B1798D" w:rsidRDefault="00B1798D"/>
    <w:p w14:paraId="168180AA" w14:textId="77777777" w:rsidR="00B1798D" w:rsidRDefault="00B1798D">
      <w:r>
        <w:t>- `tools/`</w:t>
      </w:r>
    </w:p>
    <w:p w14:paraId="68CA143C" w14:textId="77777777" w:rsidR="00B1798D" w:rsidRDefault="00B1798D">
      <w:r>
        <w:t xml:space="preserve">  - skrypty robocze serii 205 (uruchamiane z root repo)</w:t>
      </w:r>
    </w:p>
    <w:p w14:paraId="22A11E52" w14:textId="77777777" w:rsidR="00B1798D" w:rsidRDefault="00B1798D">
      <w:r>
        <w:t>- `205/`</w:t>
      </w:r>
    </w:p>
    <w:p w14:paraId="2ED55413" w14:textId="77777777" w:rsidR="00B1798D" w:rsidRDefault="00B1798D">
      <w:r>
        <w:t xml:space="preserve">  - `205_pr_studies_*` dokument zakresu PR 205</w:t>
      </w:r>
    </w:p>
    <w:p w14:paraId="3267A43E" w14:textId="77777777" w:rsidR="00B1798D" w:rsidRDefault="00B1798D">
      <w:r>
        <w:t xml:space="preserve">  - `analysis/` raporty i podsumowania dla 205</w:t>
      </w:r>
    </w:p>
    <w:p w14:paraId="2E310220" w14:textId="77777777" w:rsidR="00B1798D" w:rsidRDefault="00B1798D">
      <w:r>
        <w:t xml:space="preserve">  - `inputs/` listy pomocnicze i dane wejściowe</w:t>
      </w:r>
    </w:p>
    <w:p w14:paraId="7B4B7FD4" w14:textId="77777777" w:rsidR="00B1798D" w:rsidRDefault="00B1798D">
      <w:r>
        <w:t>- `205B/`</w:t>
      </w:r>
    </w:p>
    <w:p w14:paraId="6A616C5E" w14:textId="77777777" w:rsidR="00B1798D" w:rsidRDefault="00B1798D">
      <w:r>
        <w:t xml:space="preserve">  - `205B_pr_studies_*` dokument zakresu PR 205B</w:t>
      </w:r>
    </w:p>
    <w:p w14:paraId="7FEDBE2F" w14:textId="77777777" w:rsidR="00B1798D" w:rsidRDefault="00B1798D">
      <w:r>
        <w:t xml:space="preserve">  - `analysis/` raporty końcowe 205B</w:t>
      </w:r>
    </w:p>
    <w:p w14:paraId="54EAE492" w14:textId="77777777" w:rsidR="00B1798D" w:rsidRDefault="00B1798D">
      <w:r>
        <w:t xml:space="preserve">  - `screening/` wyniki screeningu kandydatów</w:t>
      </w:r>
    </w:p>
    <w:p w14:paraId="500F6C15" w14:textId="77777777" w:rsidR="00B1798D" w:rsidRDefault="00B1798D">
      <w:r>
        <w:t xml:space="preserve">  - `inputs/` listy kluczy projektów</w:t>
      </w:r>
    </w:p>
    <w:p w14:paraId="25971A20" w14:textId="77777777" w:rsidR="00B1798D" w:rsidRDefault="00B1798D">
      <w:r>
        <w:t xml:space="preserve">  - `timeseries/` dane dzienne (`csv/`, `raw/`, aggregate)</w:t>
      </w:r>
    </w:p>
    <w:p w14:paraId="04BE9A38" w14:textId="77777777" w:rsidR="00B1798D" w:rsidRDefault="00B1798D">
      <w:r>
        <w:t>- `205C/`</w:t>
      </w:r>
    </w:p>
    <w:p w14:paraId="6BA6C2CD" w14:textId="77777777" w:rsidR="00B1798D" w:rsidRDefault="00B1798D">
      <w:r>
        <w:t xml:space="preserve">  - `205C_pr_studies_*` dokument zakresu PR 205C</w:t>
      </w:r>
    </w:p>
    <w:p w14:paraId="57DFEFD6" w14:textId="77777777" w:rsidR="00B1798D" w:rsidRDefault="00B1798D">
      <w:r>
        <w:t xml:space="preserve">  - `analysis/` raporty końcowe 205C</w:t>
      </w:r>
    </w:p>
    <w:p w14:paraId="04B0E65F" w14:textId="77777777" w:rsidR="00B1798D" w:rsidRDefault="00B1798D">
      <w:r>
        <w:t xml:space="preserve">  - `selection/` wyniki doboru repo</w:t>
      </w:r>
    </w:p>
    <w:p w14:paraId="540E9CC4" w14:textId="77777777" w:rsidR="00B1798D" w:rsidRDefault="00B1798D">
      <w:r>
        <w:t xml:space="preserve">  - `inputs/` listy repo</w:t>
      </w:r>
    </w:p>
    <w:p w14:paraId="6AEFC39F" w14:textId="77777777" w:rsidR="00B1798D" w:rsidRDefault="00B1798D">
      <w:r>
        <w:t xml:space="preserve">  - `timeseries/` dane dzienne (`csv/`, `raw/`, aggregate)</w:t>
      </w:r>
    </w:p>
    <w:p w14:paraId="63F384B9" w14:textId="77777777" w:rsidR="00B1798D" w:rsidRDefault="00B1798D">
      <w:r>
        <w:t>- `205D/`</w:t>
      </w:r>
    </w:p>
    <w:p w14:paraId="3D92458A" w14:textId="77777777" w:rsidR="00B1798D" w:rsidRDefault="00B1798D">
      <w:r>
        <w:t xml:space="preserve">  - `205D_pr_studies_*` dokument zakresu PR 205D</w:t>
      </w:r>
    </w:p>
    <w:p w14:paraId="40B4B44F" w14:textId="77777777" w:rsidR="00B1798D" w:rsidRDefault="00B1798D">
      <w:r>
        <w:t xml:space="preserve">  - `analysis/` raporty i manifesty 205D</w:t>
      </w:r>
    </w:p>
    <w:p w14:paraId="20E1D997" w14:textId="77777777" w:rsidR="00B1798D" w:rsidRDefault="00B1798D">
      <w:r>
        <w:lastRenderedPageBreak/>
        <w:t xml:space="preserve">  - `inputs/` listy repo i dane wejściowe</w:t>
      </w:r>
    </w:p>
    <w:p w14:paraId="62277967" w14:textId="77777777" w:rsidR="00B1798D" w:rsidRDefault="00B1798D">
      <w:r>
        <w:t xml:space="preserve">  - `timeseries/` dane PR flow (`csv/`, `raw/`, aggregate)</w:t>
      </w:r>
    </w:p>
    <w:p w14:paraId="24C54D4C" w14:textId="77777777" w:rsidR="00B1798D" w:rsidRDefault="00B1798D">
      <w:r>
        <w:t>- `205E/`</w:t>
      </w:r>
    </w:p>
    <w:p w14:paraId="025BC966" w14:textId="77777777" w:rsidR="00B1798D" w:rsidRDefault="00B1798D">
      <w:r>
        <w:t xml:space="preserve">  - `205E_pr_studies_*` dokument zakresu PR 205E</w:t>
      </w:r>
    </w:p>
    <w:p w14:paraId="32B612B9" w14:textId="77777777" w:rsidR="00B1798D" w:rsidRDefault="00B1798D">
      <w:r>
        <w:t xml:space="preserve">  - `analysis/` raport i manifest 205E</w:t>
      </w:r>
    </w:p>
    <w:p w14:paraId="2A071995" w14:textId="77777777" w:rsidR="00B1798D" w:rsidRDefault="00B1798D">
      <w:r>
        <w:t xml:space="preserve">  - `timeseries/` dane komentarzy PR (`csv/`)</w:t>
      </w:r>
    </w:p>
    <w:p w14:paraId="12A0C1ED" w14:textId="77777777" w:rsidR="00B1798D" w:rsidRDefault="00B1798D">
      <w:r>
        <w:t>- `205F/`</w:t>
      </w:r>
    </w:p>
    <w:p w14:paraId="7203D762" w14:textId="77777777" w:rsidR="00B1798D" w:rsidRDefault="00B1798D">
      <w:r>
        <w:t xml:space="preserve">  - `205F_pr_studies_*` dokument zakresu PR 205F</w:t>
      </w:r>
    </w:p>
    <w:p w14:paraId="5B2463D1" w14:textId="77777777" w:rsidR="00B1798D" w:rsidRDefault="00B1798D">
      <w:r>
        <w:t xml:space="preserve">  - `inputs/` specyfikacja wykresów i dane pomocnicze</w:t>
      </w:r>
    </w:p>
    <w:p w14:paraId="51AB1199" w14:textId="77777777" w:rsidR="00B1798D" w:rsidRDefault="00B1798D">
      <w:r>
        <w:t xml:space="preserve">  - `analysis/` raport i manifest wizualizacji</w:t>
      </w:r>
    </w:p>
    <w:p w14:paraId="63D0BEE2" w14:textId="77777777" w:rsidR="00B1798D" w:rsidRDefault="00B1798D">
      <w:r>
        <w:t xml:space="preserve">  - `products/` wynikowe artefakty (`excel/`, `charts/`)</w:t>
      </w:r>
    </w:p>
    <w:p w14:paraId="29D47D53" w14:textId="77777777" w:rsidR="00B1798D" w:rsidRDefault="00B1798D"/>
    <w:p w14:paraId="2D4C637C" w14:textId="77777777" w:rsidR="00B1798D" w:rsidRDefault="00B1798D">
      <w:r>
        <w:t>## Zasada robocza</w:t>
      </w:r>
    </w:p>
    <w:p w14:paraId="705825A8" w14:textId="77777777" w:rsidR="00B1798D" w:rsidRDefault="00B1798D"/>
    <w:p w14:paraId="025CA143" w14:textId="77777777" w:rsidR="00B1798D" w:rsidRDefault="00B1798D">
      <w:r>
        <w:t>1. Nowe zadania PR dodajemy do `docs_dev/_to_do/205_artifacts/&lt;seria&gt;/`.</w:t>
      </w:r>
    </w:p>
    <w:p w14:paraId="33A1BC59" w14:textId="77777777" w:rsidR="00B1798D" w:rsidRDefault="00B1798D">
      <w:r>
        <w:t>2. Wszystkie wygenerowane artefakty trafiają do `docs_dev/_to_do/205_artifacts/&lt;seria&gt;/...`.</w:t>
      </w:r>
    </w:p>
    <w:p w14:paraId="0C151A72" w14:textId="77777777" w:rsidR="00B1798D" w:rsidRDefault="00B1798D">
      <w:r>
        <w:t>3. W nazwach plików zachowujemy prefiks serii (`205`, `205B`, `205C`, `205D`, `205E`, `205F`).</w:t>
      </w:r>
    </w:p>
    <w:p w14:paraId="3C2B188E" w14:textId="5EC37966" w:rsidR="00B1798D" w:rsidRDefault="00B1798D"/>
    <w:p w14:paraId="573D70F5" w14:textId="77777777" w:rsidR="00B1798D" w:rsidRDefault="00B1798D"/>
    <w:p w14:paraId="42A68E33" w14:textId="0AAA22E8" w:rsidR="00B1798D" w:rsidRDefault="00B1798D">
      <w:pPr>
        <w:rPr>
          <w:b/>
          <w:sz w:val="28"/>
        </w:rPr>
      </w:pPr>
      <w:r>
        <w:rPr>
          <w:b/>
          <w:sz w:val="28"/>
        </w:rPr>
        <w:t>Wykres osadzony z demo Excela</w:t>
      </w:r>
    </w:p>
    <w:p w14:paraId="5FE62F77" w14:textId="1CB7D8C6" w:rsidR="00B1798D" w:rsidRDefault="00B1798D">
      <w:r>
        <w:t>Poniżej osadzony wykres skopiowany z pliku demo_venom_chart_fixed.xlsx</w:t>
      </w:r>
    </w:p>
    <w:p w14:paraId="37288BE1" w14:textId="1CCD7E76" w:rsidR="00B1798D" w:rsidRDefault="00B1798D">
      <w:r>
        <w:rPr>
          <w:noProof/>
        </w:rPr>
        <w:drawing>
          <wp:inline distT="0" distB="0" distL="0" distR="0" wp14:anchorId="127937B5" wp14:editId="20E11DDD">
            <wp:extent cx="5760720" cy="2688590"/>
            <wp:effectExtent l="0" t="0" r="11430" b="16510"/>
            <wp:docPr id="785801300" name="Wykres 1">
              <a:extLst xmlns:a="http://schemas.openxmlformats.org/drawingml/2006/main">
                <a:ext uri="{FF2B5EF4-FFF2-40B4-BE49-F238E27FC236}">
                  <a16:creationId xmlns:a16="http://schemas.microsoft.com/office/drawing/2014/main" id="{785FD68E-B418-EE53-CCCE-E9D42A83EDE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691529C2" w14:textId="77777777" w:rsidR="00B1798D" w:rsidRPr="00B1798D" w:rsidRDefault="00B1798D"/>
    <w:sectPr w:rsidR="00B1798D" w:rsidRPr="00B179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98D"/>
    <w:rsid w:val="001B1BD4"/>
    <w:rsid w:val="005B24BF"/>
    <w:rsid w:val="00881B97"/>
    <w:rsid w:val="00B1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28668"/>
  <w15:chartTrackingRefBased/>
  <w15:docId w15:val="{36DE44DB-2E7A-4B66-845B-CC49D9BA6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17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17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17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17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17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17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17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17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17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17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17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17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1798D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1798D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1798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1798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1798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1798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17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17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17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17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17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1798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1798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1798D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17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1798D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179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\\wsl.localhost\Ubuntu-Venom\home\ubuntu\venom\docs_dev\_to_do\205_artifacts\demo\demo_venom_chart_fixed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l-PL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/>
            </a:pPr>
            <a:r>
              <a:rPr lang="pl-PL"/>
              <a:t>Venom LOC Trend (Q1 2026)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Lines of Code</c:v>
          </c:tx>
          <c:marker>
            <c:symbol val="none"/>
          </c:marker>
          <c:cat>
            <c:numRef>
              <c:f>data!$A$38:$A$91</c:f>
              <c:numCache>
                <c:formatCode>m/d/yyyy</c:formatCode>
                <c:ptCount val="54"/>
                <c:pt idx="0">
                  <c:v>46059</c:v>
                </c:pt>
                <c:pt idx="1">
                  <c:v>46060</c:v>
                </c:pt>
                <c:pt idx="2">
                  <c:v>46061</c:v>
                </c:pt>
                <c:pt idx="3">
                  <c:v>46062</c:v>
                </c:pt>
                <c:pt idx="4">
                  <c:v>46063</c:v>
                </c:pt>
                <c:pt idx="5">
                  <c:v>46064</c:v>
                </c:pt>
                <c:pt idx="6">
                  <c:v>46065</c:v>
                </c:pt>
                <c:pt idx="7">
                  <c:v>46066</c:v>
                </c:pt>
                <c:pt idx="8">
                  <c:v>46067</c:v>
                </c:pt>
                <c:pt idx="9">
                  <c:v>46068</c:v>
                </c:pt>
                <c:pt idx="10">
                  <c:v>46069</c:v>
                </c:pt>
                <c:pt idx="11">
                  <c:v>46070</c:v>
                </c:pt>
                <c:pt idx="12">
                  <c:v>46071</c:v>
                </c:pt>
                <c:pt idx="13">
                  <c:v>46072</c:v>
                </c:pt>
                <c:pt idx="14">
                  <c:v>46073</c:v>
                </c:pt>
                <c:pt idx="15">
                  <c:v>46074</c:v>
                </c:pt>
                <c:pt idx="16">
                  <c:v>46075</c:v>
                </c:pt>
                <c:pt idx="17">
                  <c:v>46076</c:v>
                </c:pt>
                <c:pt idx="18">
                  <c:v>46077</c:v>
                </c:pt>
                <c:pt idx="19">
                  <c:v>46078</c:v>
                </c:pt>
                <c:pt idx="20">
                  <c:v>46079</c:v>
                </c:pt>
                <c:pt idx="21">
                  <c:v>46080</c:v>
                </c:pt>
                <c:pt idx="22">
                  <c:v>46081</c:v>
                </c:pt>
                <c:pt idx="23">
                  <c:v>46082</c:v>
                </c:pt>
                <c:pt idx="24">
                  <c:v>46083</c:v>
                </c:pt>
                <c:pt idx="25">
                  <c:v>46084</c:v>
                </c:pt>
                <c:pt idx="26">
                  <c:v>46085</c:v>
                </c:pt>
                <c:pt idx="27">
                  <c:v>46086</c:v>
                </c:pt>
                <c:pt idx="28">
                  <c:v>46087</c:v>
                </c:pt>
                <c:pt idx="29">
                  <c:v>46088</c:v>
                </c:pt>
                <c:pt idx="30">
                  <c:v>46089</c:v>
                </c:pt>
                <c:pt idx="31">
                  <c:v>46090</c:v>
                </c:pt>
                <c:pt idx="32">
                  <c:v>46091</c:v>
                </c:pt>
                <c:pt idx="33">
                  <c:v>46092</c:v>
                </c:pt>
                <c:pt idx="34">
                  <c:v>46093</c:v>
                </c:pt>
                <c:pt idx="35">
                  <c:v>46094</c:v>
                </c:pt>
                <c:pt idx="36">
                  <c:v>46095</c:v>
                </c:pt>
                <c:pt idx="37">
                  <c:v>46096</c:v>
                </c:pt>
                <c:pt idx="38">
                  <c:v>46097</c:v>
                </c:pt>
                <c:pt idx="39">
                  <c:v>46098</c:v>
                </c:pt>
                <c:pt idx="40">
                  <c:v>46099</c:v>
                </c:pt>
                <c:pt idx="41">
                  <c:v>46100</c:v>
                </c:pt>
                <c:pt idx="42">
                  <c:v>46101</c:v>
                </c:pt>
                <c:pt idx="43">
                  <c:v>46102</c:v>
                </c:pt>
                <c:pt idx="44">
                  <c:v>46103</c:v>
                </c:pt>
                <c:pt idx="45">
                  <c:v>46104</c:v>
                </c:pt>
                <c:pt idx="46">
                  <c:v>46105</c:v>
                </c:pt>
                <c:pt idx="47">
                  <c:v>46106</c:v>
                </c:pt>
                <c:pt idx="48">
                  <c:v>46107</c:v>
                </c:pt>
                <c:pt idx="49">
                  <c:v>46108</c:v>
                </c:pt>
                <c:pt idx="50">
                  <c:v>46109</c:v>
                </c:pt>
                <c:pt idx="51">
                  <c:v>46110</c:v>
                </c:pt>
                <c:pt idx="52">
                  <c:v>46111</c:v>
                </c:pt>
                <c:pt idx="53">
                  <c:v>46112</c:v>
                </c:pt>
              </c:numCache>
            </c:numRef>
          </c:cat>
          <c:val>
            <c:numRef>
              <c:f>data!$D$38:$D$91</c:f>
              <c:numCache>
                <c:formatCode>General</c:formatCode>
                <c:ptCount val="54"/>
                <c:pt idx="0">
                  <c:v>104950</c:v>
                </c:pt>
                <c:pt idx="1">
                  <c:v>104950</c:v>
                </c:pt>
                <c:pt idx="2">
                  <c:v>104950</c:v>
                </c:pt>
                <c:pt idx="3">
                  <c:v>104950</c:v>
                </c:pt>
                <c:pt idx="4">
                  <c:v>75403</c:v>
                </c:pt>
                <c:pt idx="5">
                  <c:v>75403</c:v>
                </c:pt>
                <c:pt idx="6">
                  <c:v>75403</c:v>
                </c:pt>
                <c:pt idx="7">
                  <c:v>80637</c:v>
                </c:pt>
                <c:pt idx="8">
                  <c:v>90105</c:v>
                </c:pt>
                <c:pt idx="9">
                  <c:v>90105</c:v>
                </c:pt>
                <c:pt idx="10">
                  <c:v>90105</c:v>
                </c:pt>
                <c:pt idx="11">
                  <c:v>90105</c:v>
                </c:pt>
                <c:pt idx="12">
                  <c:v>90105</c:v>
                </c:pt>
                <c:pt idx="13">
                  <c:v>90105</c:v>
                </c:pt>
                <c:pt idx="14">
                  <c:v>90105</c:v>
                </c:pt>
                <c:pt idx="15">
                  <c:v>90105</c:v>
                </c:pt>
                <c:pt idx="16">
                  <c:v>101943</c:v>
                </c:pt>
                <c:pt idx="17">
                  <c:v>101943</c:v>
                </c:pt>
                <c:pt idx="18">
                  <c:v>101943</c:v>
                </c:pt>
                <c:pt idx="19">
                  <c:v>101943</c:v>
                </c:pt>
                <c:pt idx="20">
                  <c:v>101943</c:v>
                </c:pt>
                <c:pt idx="21">
                  <c:v>101943</c:v>
                </c:pt>
                <c:pt idx="22">
                  <c:v>101943</c:v>
                </c:pt>
                <c:pt idx="23">
                  <c:v>107223</c:v>
                </c:pt>
                <c:pt idx="24">
                  <c:v>107223</c:v>
                </c:pt>
                <c:pt idx="25">
                  <c:v>107223</c:v>
                </c:pt>
                <c:pt idx="26">
                  <c:v>107223</c:v>
                </c:pt>
                <c:pt idx="27">
                  <c:v>107223</c:v>
                </c:pt>
                <c:pt idx="28">
                  <c:v>107223</c:v>
                </c:pt>
                <c:pt idx="29">
                  <c:v>107223</c:v>
                </c:pt>
                <c:pt idx="30">
                  <c:v>107223</c:v>
                </c:pt>
                <c:pt idx="31">
                  <c:v>125999</c:v>
                </c:pt>
                <c:pt idx="32">
                  <c:v>125999</c:v>
                </c:pt>
                <c:pt idx="33">
                  <c:v>125999</c:v>
                </c:pt>
                <c:pt idx="34">
                  <c:v>125999</c:v>
                </c:pt>
                <c:pt idx="35">
                  <c:v>125999</c:v>
                </c:pt>
                <c:pt idx="36">
                  <c:v>125999</c:v>
                </c:pt>
                <c:pt idx="37">
                  <c:v>131676</c:v>
                </c:pt>
                <c:pt idx="38">
                  <c:v>131999</c:v>
                </c:pt>
                <c:pt idx="39">
                  <c:v>132346</c:v>
                </c:pt>
                <c:pt idx="40">
                  <c:v>133226</c:v>
                </c:pt>
                <c:pt idx="41">
                  <c:v>133226</c:v>
                </c:pt>
                <c:pt idx="42">
                  <c:v>133226</c:v>
                </c:pt>
                <c:pt idx="43">
                  <c:v>133226</c:v>
                </c:pt>
                <c:pt idx="44">
                  <c:v>138011</c:v>
                </c:pt>
                <c:pt idx="45">
                  <c:v>138011</c:v>
                </c:pt>
                <c:pt idx="46">
                  <c:v>138011</c:v>
                </c:pt>
                <c:pt idx="47">
                  <c:v>138011</c:v>
                </c:pt>
                <c:pt idx="48">
                  <c:v>138011</c:v>
                </c:pt>
                <c:pt idx="49">
                  <c:v>138011</c:v>
                </c:pt>
                <c:pt idx="50">
                  <c:v>138011</c:v>
                </c:pt>
                <c:pt idx="51">
                  <c:v>138011</c:v>
                </c:pt>
                <c:pt idx="52">
                  <c:v>138011</c:v>
                </c:pt>
                <c:pt idx="53">
                  <c:v>138011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ED7-4328-BFA9-9683E1C2B2D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64918480"/>
        <c:axId val="1664925680"/>
      </c:lineChart>
      <c:dateAx>
        <c:axId val="166491848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pl-PL"/>
                  <a:t>Date</a:t>
                </a:r>
              </a:p>
            </c:rich>
          </c:tx>
          <c:overlay val="0"/>
        </c:title>
        <c:numFmt formatCode="m/d/yyyy" sourceLinked="1"/>
        <c:majorTickMark val="out"/>
        <c:minorTickMark val="none"/>
        <c:tickLblPos val="nextTo"/>
        <c:crossAx val="1664925680"/>
        <c:crosses val="autoZero"/>
        <c:auto val="1"/>
        <c:lblOffset val="100"/>
        <c:baseTimeUnit val="days"/>
      </c:dateAx>
      <c:valAx>
        <c:axId val="166492568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pl-PL"/>
                  <a:t>Lines of Code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664918480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externalData r:id="rId1">
    <c:autoUpdate val="0"/>
  </c:externalData>
</c:chartSpace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264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Pieniak</dc:creator>
  <cp:keywords/>
  <dc:description/>
  <cp:lastModifiedBy>Maciej Pieniak</cp:lastModifiedBy>
  <cp:revision>1</cp:revision>
  <dcterms:created xsi:type="dcterms:W3CDTF">2026-04-27T11:39:00Z</dcterms:created>
  <dcterms:modified xsi:type="dcterms:W3CDTF">2026-04-27T11:39:00Z</dcterms:modified>
</cp:coreProperties>
</file>