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2D1B5E"/>
          <w:sz w:val="44"/>
          <w:szCs w:val="44"/>
        </w:rPr>
        <w:t xml:space="preserve">Guía de Referencia del Dataset Sintético</w:t>
      </w:r>
    </w:p>
    <w:p>
      <w:pPr>
        <w:spacing w:after="120"/>
        <w:jc w:val="center"/>
      </w:pPr>
      <w:r>
        <w:rPr>
          <w:rFonts w:ascii="Arial" w:cs="Arial" w:eastAsia="Arial" w:hAnsi="Arial"/>
          <w:b/>
          <w:bCs/>
          <w:color w:val="3D2B7E"/>
          <w:sz w:val="28"/>
          <w:szCs w:val="28"/>
        </w:rPr>
        <w:t xml:space="preserve">Reto 3 — Antes de que se vayan</w:t>
      </w:r>
    </w:p>
    <w:p>
      <w:pPr>
        <w:spacing w:after="120"/>
        <w:jc w:val="center"/>
      </w:pPr>
      <w:r>
        <w:rPr>
          <w:rFonts w:ascii="Arial" w:cs="Arial" w:eastAsia="Arial" w:hAnsi="Arial"/>
          <w:i/>
          <w:iCs/>
          <w:color w:val="555555"/>
          <w:sz w:val="24"/>
          <w:szCs w:val="24"/>
        </w:rPr>
        <w:t xml:space="preserve">Scoring Predictivo de Abandono de Comerciantes — Deuna</w:t>
      </w:r>
    </w:p>
    <w:p>
      <w:pPr>
        <w:spacing w:after="400"/>
        <w:jc w:val="center"/>
      </w:pPr>
      <w:r>
        <w:rPr>
          <w:rFonts w:ascii="Arial" w:cs="Arial" w:eastAsia="Arial" w:hAnsi="Arial"/>
          <w:color w:val="777777"/>
          <w:sz w:val="22"/>
          <w:szCs w:val="22"/>
        </w:rPr>
        <w:t xml:space="preserve">Interact2Hack 2026</w:t>
      </w:r>
    </w:p>
    <w:p>
      <w:pPr>
        <w:pBdr>
          <w:top w:val="single" w:color="00D4A6" w:sz="12" w:space="1"/>
        </w:pBdr>
        <w:spacing w:after="200" w:before="200"/>
        <w:jc w:val="center"/>
      </w:pPr>
      <w:r>
        <w:t xml:space="preserve"/>
      </w:r>
    </w:p>
    <w:p>
      <w:pPr>
        <w:spacing w:after="500"/>
        <w:jc w:val="center"/>
      </w:pPr>
      <w:r>
        <w:rPr>
          <w:rFonts w:ascii="Arial" w:cs="Arial" w:eastAsia="Arial" w:hAnsi="Arial"/>
          <w:i/>
          <w:iCs/>
          <w:color w:val="666666"/>
          <w:sz w:val="20"/>
          <w:szCs w:val="20"/>
        </w:rPr>
        <w:t xml:space="preserve">Documentación técnica — análisis de mercado, estructura de tablas,
pipeline de generación y manual de uso</w:t>
      </w:r>
    </w:p>
    <w:p>
      <w:pPr>
        <w:spacing w:after="200" w:before="400"/>
        <w:jc w:val="center"/>
      </w:pPr>
      <w:r>
        <w:rPr>
          <w:rFonts w:ascii="Arial" w:cs="Arial" w:eastAsia="Arial" w:hAnsi="Arial"/>
          <w:b/>
          <w:bCs/>
          <w:color w:val="2D1B5E"/>
          <w:sz w:val="26"/>
          <w:szCs w:val="26"/>
        </w:rPr>
        <w:t xml:space="preserve">Contenido</w:t>
      </w:r>
    </w:p>
    <w:p>
      <w:pPr>
        <w:spacing w:after="60"/>
        <w:jc w:val="center"/>
      </w:pPr>
      <w:r>
        <w:rPr>
          <w:rFonts w:ascii="Arial" w:cs="Arial" w:eastAsia="Arial" w:hAnsi="Arial"/>
          <w:color w:val="3D2B7E"/>
          <w:sz w:val="22"/>
          <w:szCs w:val="22"/>
        </w:rPr>
        <w:t xml:space="preserve">1. Resumen ejecutivo</w:t>
      </w:r>
    </w:p>
    <w:p>
      <w:pPr>
        <w:spacing w:after="60"/>
        <w:jc w:val="center"/>
      </w:pPr>
      <w:r>
        <w:rPr>
          <w:rFonts w:ascii="Arial" w:cs="Arial" w:eastAsia="Arial" w:hAnsi="Arial"/>
          <w:color w:val="3D2B7E"/>
          <w:sz w:val="22"/>
          <w:szCs w:val="22"/>
        </w:rPr>
        <w:t xml:space="preserve">2. Análisis de mercado (investigación base)</w:t>
      </w:r>
    </w:p>
    <w:p>
      <w:pPr>
        <w:spacing w:after="60"/>
        <w:jc w:val="center"/>
      </w:pPr>
      <w:r>
        <w:rPr>
          <w:rFonts w:ascii="Arial" w:cs="Arial" w:eastAsia="Arial" w:hAnsi="Arial"/>
          <w:color w:val="3D2B7E"/>
          <w:sz w:val="22"/>
          <w:szCs w:val="22"/>
        </w:rPr>
        <w:t xml:space="preserve">3. Arquitectura del dataset sintético</w:t>
      </w:r>
    </w:p>
    <w:p>
      <w:pPr>
        <w:spacing w:after="60"/>
        <w:jc w:val="center"/>
      </w:pPr>
      <w:r>
        <w:rPr>
          <w:rFonts w:ascii="Arial" w:cs="Arial" w:eastAsia="Arial" w:hAnsi="Arial"/>
          <w:color w:val="3D2B7E"/>
          <w:sz w:val="22"/>
          <w:szCs w:val="22"/>
        </w:rPr>
        <w:t xml:space="preserve">4. Detalle de los archivos CSV</w:t>
      </w:r>
    </w:p>
    <w:p>
      <w:pPr>
        <w:spacing w:after="60"/>
        <w:jc w:val="center"/>
      </w:pPr>
      <w:r>
        <w:rPr>
          <w:rFonts w:ascii="Arial" w:cs="Arial" w:eastAsia="Arial" w:hAnsi="Arial"/>
          <w:color w:val="3D2B7E"/>
          <w:sz w:val="22"/>
          <w:szCs w:val="22"/>
        </w:rPr>
        <w:t xml:space="preserve">5. Detalle de los scripts Python</w:t>
      </w:r>
    </w:p>
    <w:p>
      <w:pPr>
        <w:spacing w:after="60"/>
        <w:jc w:val="center"/>
      </w:pPr>
      <w:r>
        <w:rPr>
          <w:rFonts w:ascii="Arial" w:cs="Arial" w:eastAsia="Arial" w:hAnsi="Arial"/>
          <w:color w:val="3D2B7E"/>
          <w:sz w:val="22"/>
          <w:szCs w:val="22"/>
        </w:rPr>
        <w:t xml:space="preserve">6. Pipeline de ejecución</w:t>
      </w:r>
    </w:p>
    <w:p>
      <w:pPr>
        <w:spacing w:after="60"/>
        <w:jc w:val="center"/>
      </w:pPr>
      <w:r>
        <w:rPr>
          <w:rFonts w:ascii="Arial" w:cs="Arial" w:eastAsia="Arial" w:hAnsi="Arial"/>
          <w:color w:val="3D2B7E"/>
          <w:sz w:val="22"/>
          <w:szCs w:val="22"/>
        </w:rPr>
        <w:t xml:space="preserve">7. Unificación de tablas para el modelo</w:t>
      </w:r>
    </w:p>
    <w:p>
      <w:pPr>
        <w:spacing w:after="60"/>
        <w:jc w:val="center"/>
      </w:pPr>
      <w:r>
        <w:rPr>
          <w:rFonts w:ascii="Arial" w:cs="Arial" w:eastAsia="Arial" w:hAnsi="Arial"/>
          <w:color w:val="3D2B7E"/>
          <w:sz w:val="22"/>
          <w:szCs w:val="22"/>
        </w:rPr>
        <w:t xml:space="preserve">8. Consideraciones críticas</w:t>
      </w:r>
    </w:p>
    <w:p>
      <w:pPr>
        <w:spacing w:after="60"/>
        <w:jc w:val="center"/>
      </w:pPr>
      <w:r>
        <w:rPr>
          <w:rFonts w:ascii="Arial" w:cs="Arial" w:eastAsia="Arial" w:hAnsi="Arial"/>
          <w:color w:val="3D2B7E"/>
          <w:sz w:val="22"/>
          <w:szCs w:val="22"/>
        </w:rPr>
        <w:t xml:space="preserve">9. Roadmap — qué falta</w:t>
      </w:r>
    </w:p>
    <w:p>
      <w:pPr>
        <w:pStyle w:val="Heading1"/>
        <w:pageBreakBefore/>
        <w:spacing w:after="180" w:before="360"/>
      </w:pPr>
      <w:r>
        <w:rPr>
          <w:rFonts w:ascii="Arial" w:cs="Arial" w:eastAsia="Arial" w:hAnsi="Arial"/>
          <w:b/>
          <w:bCs/>
          <w:color w:val="2D1B5E"/>
          <w:sz w:val="32"/>
          <w:szCs w:val="32"/>
        </w:rPr>
        <w:t xml:space="preserve">1. Resumen ejecutivo</w:t>
      </w:r>
    </w:p>
    <w:p>
      <w:pPr>
        <w:spacing w:after="100" w:before="0"/>
      </w:pPr>
      <w:r>
        <w:rPr>
          <w:rFonts w:ascii="Arial" w:cs="Arial" w:eastAsia="Arial" w:hAnsi="Arial"/>
          <w:sz w:val="22"/>
          <w:szCs w:val="22"/>
        </w:rPr>
        <w:t xml:space="preserve">Este documento describe el dataset sintético construido para el reto de scoring predictivo de abandono de comerciantes de Deuna. El dataset simula el comportamiento transaccional de 2.000 comercios ecuatorianos a lo largo de 12 meses (abril 2025 a marzo 2026) y está diseñado para entrenar un modelo que prediga qué comercios están por dejar de transar en los próximos 30 días.</w:t>
      </w:r>
    </w:p>
    <w:p>
      <w:pPr>
        <w:spacing w:after="100" w:before="0"/>
      </w:pPr>
      <w:r>
        <w:rPr>
          <w:rFonts w:ascii="Arial" w:cs="Arial" w:eastAsia="Arial" w:hAnsi="Arial"/>
          <w:sz w:val="22"/>
          <w:szCs w:val="22"/>
        </w:rPr>
        <w:t xml:space="preserve">Toda la síntesis está anclada a datos reales del mercado ecuatoriano: distribución de empresas por segmento según INEC, estacionalidad de ventas según SRI, tasas de rechazo típicas de pagos QR en LatAm, y el crecimiento documentado de Deuna desde su lanzamiento en 2020 hasta superar los 520.000 comercios afiliados en 2025.</w:t>
      </w:r>
    </w:p>
    <w:p>
      <w:pPr>
        <w:pStyle w:val="Heading3"/>
        <w:spacing w:after="100" w:before="240"/>
      </w:pPr>
      <w:r>
        <w:rPr>
          <w:rFonts w:ascii="Arial" w:cs="Arial" w:eastAsia="Arial" w:hAnsi="Arial"/>
          <w:b/>
          <w:bCs/>
          <w:color w:val="3D2B7E"/>
          <w:sz w:val="22"/>
          <w:szCs w:val="22"/>
        </w:rPr>
        <w:t xml:space="preserve">Estado actual del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500"/>
        <w:gridCol w:w="1526"/>
      </w:tblGrid>
      <w:tr>
        <w:trPr>
          <w:tblHeader/>
        </w:trPr>
        <w:tc>
          <w:tcPr>
            <w:tcW w:type="dxa" w:w="2400"/>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Tabla</w:t>
            </w:r>
          </w:p>
        </w:tc>
        <w:tc>
          <w:tcPr>
            <w:tcW w:type="dxa" w:w="1600"/>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Volumen</w:t>
            </w:r>
          </w:p>
        </w:tc>
        <w:tc>
          <w:tcPr>
            <w:tcW w:type="dxa" w:w="3500"/>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Propósito</w:t>
            </w:r>
          </w:p>
        </w:tc>
        <w:tc>
          <w:tcPr>
            <w:tcW w:type="dxa" w:w="1526"/>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Estado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bCs/>
                <w:sz w:val="20"/>
                <w:szCs w:val="20"/>
              </w:rPr>
              <w:t xml:space="preserve">dim_merchants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2.000 filas</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Perfil estático de los comercios</w:t>
            </w:r>
          </w:p>
        </w:tc>
        <w:tc>
          <w:tcPr>
            <w:tcW w:type="dxa" w:w="15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 Generada</w:t>
            </w:r>
          </w:p>
        </w:tc>
      </w:tr>
      <w:tr>
        <w:tc>
          <w:tcPr>
            <w:tcW w:type="dxa" w:w="24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b/>
                <w:bCs/>
                <w:sz w:val="20"/>
                <w:szCs w:val="20"/>
              </w:rPr>
              <w:t xml:space="preserve">fact_performance_monthly</w:t>
            </w:r>
          </w:p>
        </w:tc>
        <w:tc>
          <w:tcPr>
            <w:tcW w:type="dxa" w:w="16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22.399 filas</w:t>
            </w:r>
          </w:p>
        </w:tc>
        <w:tc>
          <w:tcPr>
            <w:tcW w:type="dxa" w:w="35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Métricas mensuales (12 meses × 2.000 comercios)</w:t>
            </w:r>
          </w:p>
        </w:tc>
        <w:tc>
          <w:tcPr>
            <w:tcW w:type="dxa" w:w="15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 Generada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bCs/>
                <w:sz w:val="20"/>
                <w:szCs w:val="20"/>
              </w:rPr>
              <w:t xml:space="preserve">fact_support_tickets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9.942 filas</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Detalle individual de tickets de soporte</w:t>
            </w:r>
          </w:p>
        </w:tc>
        <w:tc>
          <w:tcPr>
            <w:tcW w:type="dxa" w:w="15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 Generada</w:t>
            </w:r>
          </w:p>
        </w:tc>
      </w:tr>
      <w:tr>
        <w:tc>
          <w:tcPr>
            <w:tcW w:type="dxa" w:w="24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b/>
                <w:bCs/>
                <w:sz w:val="20"/>
                <w:szCs w:val="20"/>
              </w:rPr>
              <w:t xml:space="preserve">fact_churn_predictions</w:t>
            </w:r>
          </w:p>
        </w:tc>
        <w:tc>
          <w:tcPr>
            <w:tcW w:type="dxa" w:w="16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 filas</w:t>
            </w:r>
          </w:p>
        </w:tc>
        <w:tc>
          <w:tcPr>
            <w:tcW w:type="dxa" w:w="35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Salida del modelo (scores, drivers SHAP, NBA)</w:t>
            </w:r>
          </w:p>
        </w:tc>
        <w:tc>
          <w:tcPr>
            <w:tcW w:type="dxa" w:w="15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 Pendiente</w:t>
            </w:r>
          </w:p>
        </w:tc>
      </w:tr>
    </w:tbl>
    <w:p>
      <w:pPr>
        <w:spacing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00D4A6" w:sz="16"/>
              <w:bottom w:val="single" w:color="BFBFBF" w:sz="4"/>
              <w:right w:val="single" w:color="BFBFBF" w:sz="4"/>
            </w:tcBorders>
            <w:shd w:fill="E8F5E9" w:color="auto" w:val="clear"/>
            <w:tcMar>
              <w:top w:type="dxa" w:w="160"/>
              <w:left w:type="dxa" w:w="200"/>
              <w:bottom w:type="dxa" w:w="160"/>
              <w:right w:type="dxa" w:w="200"/>
            </w:tcMar>
          </w:tcPr>
          <w:p>
            <w:pPr>
              <w:spacing w:after="100"/>
            </w:pPr>
            <w:r>
              <w:rPr>
                <w:rFonts w:ascii="Arial" w:cs="Arial" w:eastAsia="Arial" w:hAnsi="Arial"/>
                <w:b/>
                <w:bCs/>
                <w:color w:val="2D1B5E"/>
                <w:sz w:val="22"/>
                <w:szCs w:val="22"/>
              </w:rPr>
              <w:t xml:space="preserve">Consistencia garantizada</w:t>
            </w:r>
          </w:p>
          <w:p>
            <w:pPr>
              <w:spacing w:after="60"/>
            </w:pPr>
            <w:r>
              <w:rPr>
                <w:rFonts w:ascii="Arial" w:cs="Arial" w:eastAsia="Arial" w:hAnsi="Arial"/>
                <w:sz w:val="20"/>
                <w:szCs w:val="20"/>
              </w:rPr>
              <w:t xml:space="preserve">Las tres tablas generadas son internamente consistentes: los conteos agregados de Tabla 4 calzan exactamente con los campos correspondientes de Tabla 2, y ambas se relacionan con Tabla 1 mediante merchant_id sin huérfanos ni duplicados.</w:t>
            </w:r>
          </w:p>
          <w:p>
            <w:pPr>
              <w:spacing w:after="60"/>
            </w:pPr>
            <w:r>
              <w:rPr>
                <w:rFonts w:ascii="Arial" w:cs="Arial" w:eastAsia="Arial" w:hAnsi="Arial"/>
                <w:sz w:val="20"/>
                <w:szCs w:val="20"/>
              </w:rPr>
              <w:t xml:space="preserve">La etiqueta ground truth (abandono_30d) vive en Tabla 1 y tiene una tasa efectiva del 13,0%, alineada con el rango orientativo del reto (10%-15%).</w:t>
            </w:r>
          </w:p>
        </w:tc>
      </w:tr>
    </w:tbl>
    <w:p>
      <w:pPr>
        <w:pStyle w:val="Heading1"/>
        <w:pageBreakBefore/>
        <w:spacing w:after="180" w:before="360"/>
      </w:pPr>
      <w:r>
        <w:rPr>
          <w:rFonts w:ascii="Arial" w:cs="Arial" w:eastAsia="Arial" w:hAnsi="Arial"/>
          <w:b/>
          <w:bCs/>
          <w:color w:val="2D1B5E"/>
          <w:sz w:val="32"/>
          <w:szCs w:val="32"/>
        </w:rPr>
        <w:t xml:space="preserve">2. Análisis de mercado (investigación base)</w:t>
      </w:r>
    </w:p>
    <w:p>
      <w:pPr>
        <w:spacing w:after="100" w:before="0"/>
      </w:pPr>
      <w:r>
        <w:rPr>
          <w:rFonts w:ascii="Arial" w:cs="Arial" w:eastAsia="Arial" w:hAnsi="Arial"/>
          <w:sz w:val="22"/>
          <w:szCs w:val="22"/>
        </w:rPr>
        <w:t xml:space="preserve">Antes de generar los datos, se investigaron cinco aspectos del mercado real ecuatoriano para asegurar que las distribuciones sintéticas sean defendibles ante el jurado. Los hallazgos calibran los parámetros del generador.</w:t>
      </w:r>
    </w:p>
    <w:p>
      <w:pPr>
        <w:pStyle w:val="Heading2"/>
        <w:spacing w:after="140" w:before="300"/>
      </w:pPr>
      <w:r>
        <w:rPr>
          <w:rFonts w:ascii="Arial" w:cs="Arial" w:eastAsia="Arial" w:hAnsi="Arial"/>
          <w:b/>
          <w:bCs/>
          <w:color w:val="2D1B5E"/>
          <w:sz w:val="26"/>
          <w:szCs w:val="26"/>
        </w:rPr>
        <w:t xml:space="preserve">2.1 Ecosistema de pagos QR en Ecuador — contexto Deuna</w:t>
      </w:r>
    </w:p>
    <w:p>
      <w:pPr>
        <w:spacing w:after="100" w:before="0"/>
      </w:pPr>
      <w:r>
        <w:rPr>
          <w:rFonts w:ascii="Arial" w:cs="Arial" w:eastAsia="Arial" w:hAnsi="Arial"/>
          <w:sz w:val="22"/>
          <w:szCs w:val="22"/>
        </w:rPr>
        <w:t xml:space="preserve">Deuna es una billetera digital respaldada por Banco Pichincha, lanzada en 2020. Su crecimiento ha sido acelerado, especialmente entre 2023 y 2025.</w:t>
      </w:r>
    </w:p>
    <w:p>
      <w:pPr>
        <w:pStyle w:val="ListParagraph"/>
        <w:numPr>
          <w:ilvl w:val="0"/>
          <w:numId w:val="2"/>
        </w:numPr>
        <w:spacing w:after="60"/>
      </w:pPr>
      <w:r>
        <w:rPr>
          <w:rFonts w:ascii="Arial" w:cs="Arial" w:eastAsia="Arial" w:hAnsi="Arial"/>
          <w:b/>
          <w:bCs/>
          <w:sz w:val="22"/>
          <w:szCs w:val="22"/>
        </w:rPr>
        <w:t xml:space="preserve">Abril 2023: </w:t>
      </w:r>
      <w:r>
        <w:rPr>
          <w:rFonts w:ascii="Arial" w:cs="Arial" w:eastAsia="Arial" w:hAnsi="Arial"/>
          <w:sz w:val="22"/>
          <w:szCs w:val="22"/>
        </w:rPr>
        <w:t xml:space="preserve">2023: superó el millón de usuarios registrados.</w:t>
      </w:r>
    </w:p>
    <w:p>
      <w:pPr>
        <w:pStyle w:val="ListParagraph"/>
        <w:numPr>
          <w:ilvl w:val="0"/>
          <w:numId w:val="2"/>
        </w:numPr>
        <w:spacing w:after="60"/>
      </w:pPr>
      <w:r>
        <w:rPr>
          <w:rFonts w:ascii="Arial" w:cs="Arial" w:eastAsia="Arial" w:hAnsi="Arial"/>
          <w:b/>
          <w:bCs/>
          <w:sz w:val="22"/>
          <w:szCs w:val="22"/>
        </w:rPr>
        <w:t xml:space="preserve">Cierre 2024: </w:t>
      </w:r>
      <w:r>
        <w:rPr>
          <w:rFonts w:ascii="Arial" w:cs="Arial" w:eastAsia="Arial" w:hAnsi="Arial"/>
          <w:sz w:val="22"/>
          <w:szCs w:val="22"/>
        </w:rPr>
        <w:t xml:space="preserve">Red de códigos QR llegó a aproximadamente 314.000 comercios afiliados.</w:t>
      </w:r>
    </w:p>
    <w:p>
      <w:pPr>
        <w:pStyle w:val="ListParagraph"/>
        <w:numPr>
          <w:ilvl w:val="0"/>
          <w:numId w:val="2"/>
        </w:numPr>
        <w:spacing w:after="60"/>
      </w:pPr>
      <w:r>
        <w:rPr>
          <w:rFonts w:ascii="Arial" w:cs="Arial" w:eastAsia="Arial" w:hAnsi="Arial"/>
          <w:b/>
          <w:bCs/>
          <w:sz w:val="22"/>
          <w:szCs w:val="22"/>
        </w:rPr>
        <w:t xml:space="preserve">2025: </w:t>
      </w:r>
      <w:r>
        <w:rPr>
          <w:rFonts w:ascii="Arial" w:cs="Arial" w:eastAsia="Arial" w:hAnsi="Arial"/>
          <w:sz w:val="22"/>
          <w:szCs w:val="22"/>
        </w:rPr>
        <w:t xml:space="preserve">Según cifras oficiales de la app, superó los 520.000 comercios y más de 5.5 millones de usuarios activos.</w:t>
      </w:r>
    </w:p>
    <w:p>
      <w:pPr>
        <w:pStyle w:val="ListParagraph"/>
        <w:numPr>
          <w:ilvl w:val="0"/>
          <w:numId w:val="2"/>
        </w:numPr>
        <w:spacing w:after="60"/>
      </w:pPr>
      <w:r>
        <w:rPr>
          <w:rFonts w:ascii="Arial" w:cs="Arial" w:eastAsia="Arial" w:hAnsi="Arial"/>
          <w:b/>
          <w:bCs/>
          <w:sz w:val="22"/>
          <w:szCs w:val="22"/>
        </w:rPr>
        <w:t xml:space="preserve">Cobertura geográfica: </w:t>
      </w:r>
      <w:r>
        <w:rPr>
          <w:rFonts w:ascii="Arial" w:cs="Arial" w:eastAsia="Arial" w:hAnsi="Arial"/>
          <w:sz w:val="22"/>
          <w:szCs w:val="22"/>
        </w:rPr>
        <w:t xml:space="preserve">Más de 18.000 comercios Deuna en Quito y 11.700 en Guayaquil (datos del mapa oficial de la app).</w:t>
      </w:r>
    </w:p>
    <w:p>
      <w:pPr>
        <w:spacing w:after="200" w:before="0"/>
      </w:pPr>
      <w:r>
        <w:rPr>
          <w:rFonts w:ascii="Arial" w:cs="Arial" w:eastAsia="Arial" w:hAnsi="Arial"/>
          <w:sz w:val="22"/>
          <w:szCs w:val="22"/>
        </w:rPr>
        <w:t xml:space="preserve">Este crecimiento explica el sesgo de la variable fecha_onboarding hacia los años 2023-2024, donde se concentra la mayor parte del parque actual de comercios.</w:t>
      </w:r>
    </w:p>
    <w:p>
      <w:pPr>
        <w:pStyle w:val="Heading2"/>
        <w:spacing w:after="140" w:before="300"/>
      </w:pPr>
      <w:r>
        <w:rPr>
          <w:rFonts w:ascii="Arial" w:cs="Arial" w:eastAsia="Arial" w:hAnsi="Arial"/>
          <w:b/>
          <w:bCs/>
          <w:color w:val="2D1B5E"/>
          <w:sz w:val="26"/>
          <w:szCs w:val="26"/>
        </w:rPr>
        <w:t xml:space="preserve">2.2 Distribución empresarial de Ecuador</w:t>
      </w:r>
    </w:p>
    <w:p>
      <w:pPr>
        <w:spacing w:after="100" w:before="0"/>
      </w:pPr>
      <w:r>
        <w:rPr>
          <w:rFonts w:ascii="Arial" w:cs="Arial" w:eastAsia="Arial" w:hAnsi="Arial"/>
          <w:sz w:val="22"/>
          <w:szCs w:val="22"/>
        </w:rPr>
        <w:t xml:space="preserve">La Superintendencia de Compañías y el INEC clasifican a las empresas ecuatorianas en cuatro segmentos según ventas anuales y personal ocupado: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3200"/>
        <w:gridCol w:w="2226"/>
      </w:tblGrid>
      <w:tr>
        <w:trPr>
          <w:tblHeader/>
        </w:trPr>
        <w:tc>
          <w:tcPr>
            <w:tcW w:type="dxa" w:w="1900"/>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Segmento</w:t>
            </w:r>
          </w:p>
        </w:tc>
        <w:tc>
          <w:tcPr>
            <w:tcW w:type="dxa" w:w="1700"/>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Trabajadores</w:t>
            </w:r>
          </w:p>
        </w:tc>
        <w:tc>
          <w:tcPr>
            <w:tcW w:type="dxa" w:w="3200"/>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Ventas anuales (USD)</w:t>
            </w:r>
          </w:p>
        </w:tc>
        <w:tc>
          <w:tcPr>
            <w:tcW w:type="dxa" w:w="2226"/>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 del total</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bCs/>
                <w:sz w:val="20"/>
                <w:szCs w:val="20"/>
              </w:rPr>
              <w:t xml:space="preserve">Microempresa</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1 a 9</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 $100.000</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~90%</w:t>
            </w:r>
          </w:p>
        </w:tc>
      </w:tr>
      <w:tr>
        <w:tc>
          <w:tcPr>
            <w:tcW w:type="dxa" w:w="19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b/>
                <w:bCs/>
                <w:sz w:val="20"/>
                <w:szCs w:val="20"/>
              </w:rPr>
              <w:t xml:space="preserve">Pequeña</w:t>
            </w:r>
          </w:p>
        </w:tc>
        <w:tc>
          <w:tcPr>
            <w:tcW w:type="dxa" w:w="17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10 a 49</w:t>
            </w:r>
          </w:p>
        </w:tc>
        <w:tc>
          <w:tcPr>
            <w:tcW w:type="dxa" w:w="32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$100.001 - $1.000.000</w:t>
            </w:r>
          </w:p>
        </w:tc>
        <w:tc>
          <w:tcPr>
            <w:tcW w:type="dxa" w:w="22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~7%</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bCs/>
                <w:sz w:val="20"/>
                <w:szCs w:val="20"/>
              </w:rPr>
              <w:t xml:space="preserve">Mediana</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50 a 199</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$1.000.001 - $5.000.000</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~2.5%</w:t>
            </w:r>
          </w:p>
        </w:tc>
      </w:tr>
      <w:tr>
        <w:tc>
          <w:tcPr>
            <w:tcW w:type="dxa" w:w="19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b/>
                <w:bCs/>
                <w:sz w:val="20"/>
                <w:szCs w:val="20"/>
              </w:rPr>
              <w:t xml:space="preserve">Grande</w:t>
            </w:r>
          </w:p>
        </w:tc>
        <w:tc>
          <w:tcPr>
            <w:tcW w:type="dxa" w:w="17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 200</w:t>
            </w:r>
          </w:p>
        </w:tc>
        <w:tc>
          <w:tcPr>
            <w:tcW w:type="dxa" w:w="32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&gt; $5.000.001</w:t>
            </w:r>
          </w:p>
        </w:tc>
        <w:tc>
          <w:tcPr>
            <w:tcW w:type="dxa" w:w="22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~0.5%</w:t>
            </w:r>
          </w:p>
        </w:tc>
      </w:tr>
    </w:tbl>
    <w:p>
      <w:pPr>
        <w:spacing w:after="200" w:before="160"/>
      </w:pPr>
      <w:r>
        <w:rPr>
          <w:rFonts w:ascii="Arial" w:cs="Arial" w:eastAsia="Arial" w:hAnsi="Arial"/>
          <w:sz w:val="22"/>
          <w:szCs w:val="22"/>
        </w:rPr>
        <w:t xml:space="preserve">Esta distribución proviene de datos del Directorio de Empresas del INEC: aproximadamente el 99,5% de empresas en Ecuador son MIPYMES, con dominio aplastante de las microempresas. Esto justifica la distribución utilizada en el generador de dim_merchants.</w:t>
      </w:r>
    </w:p>
    <w:p>
      <w:pPr>
        <w:pStyle w:val="Heading2"/>
        <w:spacing w:after="140" w:before="300"/>
      </w:pPr>
      <w:r>
        <w:rPr>
          <w:rFonts w:ascii="Arial" w:cs="Arial" w:eastAsia="Arial" w:hAnsi="Arial"/>
          <w:b/>
          <w:bCs/>
          <w:color w:val="2D1B5E"/>
          <w:sz w:val="26"/>
          <w:szCs w:val="26"/>
        </w:rPr>
        <w:t xml:space="preserve">2.3 Distribución geográfica</w:t>
      </w:r>
    </w:p>
    <w:p>
      <w:pPr>
        <w:spacing w:after="100" w:before="0"/>
      </w:pPr>
      <w:r>
        <w:rPr>
          <w:rFonts w:ascii="Arial" w:cs="Arial" w:eastAsia="Arial" w:hAnsi="Arial"/>
          <w:sz w:val="22"/>
          <w:szCs w:val="22"/>
        </w:rPr>
        <w:t xml:space="preserve">Quito (Pichincha) y Guayaquil (Guayas) concentran la mayor parte del tejido empresarial formal del país. Cuenca (Azuay) es el tercer polo comercial.</w:t>
      </w:r>
    </w:p>
    <w:p>
      <w:pPr>
        <w:pStyle w:val="ListParagraph"/>
        <w:numPr>
          <w:ilvl w:val="0"/>
          <w:numId w:val="2"/>
        </w:numPr>
        <w:spacing w:after="60"/>
      </w:pPr>
      <w:r>
        <w:rPr>
          <w:rFonts w:ascii="Arial" w:cs="Arial" w:eastAsia="Arial" w:hAnsi="Arial"/>
          <w:b/>
          <w:bCs/>
          <w:sz w:val="22"/>
          <w:szCs w:val="22"/>
        </w:rPr>
        <w:t xml:space="preserve">Quito: </w:t>
      </w:r>
      <w:r>
        <w:rPr>
          <w:rFonts w:ascii="Arial" w:cs="Arial" w:eastAsia="Arial" w:hAnsi="Arial"/>
          <w:sz w:val="22"/>
          <w:szCs w:val="22"/>
        </w:rPr>
        <w:t xml:space="preserve">190.983 empresas registradas (2021).</w:t>
      </w:r>
    </w:p>
    <w:p>
      <w:pPr>
        <w:pStyle w:val="ListParagraph"/>
        <w:numPr>
          <w:ilvl w:val="0"/>
          <w:numId w:val="2"/>
        </w:numPr>
        <w:spacing w:after="60"/>
      </w:pPr>
      <w:r>
        <w:rPr>
          <w:rFonts w:ascii="Arial" w:cs="Arial" w:eastAsia="Arial" w:hAnsi="Arial"/>
          <w:b/>
          <w:bCs/>
          <w:sz w:val="22"/>
          <w:szCs w:val="22"/>
        </w:rPr>
        <w:t xml:space="preserve">Guayaquil: </w:t>
      </w:r>
      <w:r>
        <w:rPr>
          <w:rFonts w:ascii="Arial" w:cs="Arial" w:eastAsia="Arial" w:hAnsi="Arial"/>
          <w:sz w:val="22"/>
          <w:szCs w:val="22"/>
        </w:rPr>
        <w:t xml:space="preserve">114.694 empresas.</w:t>
      </w:r>
    </w:p>
    <w:p>
      <w:pPr>
        <w:pStyle w:val="ListParagraph"/>
        <w:numPr>
          <w:ilvl w:val="0"/>
          <w:numId w:val="2"/>
        </w:numPr>
        <w:spacing w:after="60"/>
      </w:pPr>
      <w:r>
        <w:rPr>
          <w:rFonts w:ascii="Arial" w:cs="Arial" w:eastAsia="Arial" w:hAnsi="Arial"/>
          <w:b/>
          <w:bCs/>
          <w:sz w:val="22"/>
          <w:szCs w:val="22"/>
        </w:rPr>
        <w:t xml:space="preserve">Cuenca: </w:t>
      </w:r>
      <w:r>
        <w:rPr>
          <w:rFonts w:ascii="Arial" w:cs="Arial" w:eastAsia="Arial" w:hAnsi="Arial"/>
          <w:sz w:val="22"/>
          <w:szCs w:val="22"/>
        </w:rPr>
        <w:t xml:space="preserve">45.915 empresas (83% del total de Azuay).</w:t>
      </w:r>
    </w:p>
    <w:p>
      <w:pPr>
        <w:spacing w:after="200" w:before="120"/>
      </w:pPr>
      <w:r>
        <w:rPr>
          <w:rFonts w:ascii="Arial" w:cs="Arial" w:eastAsia="Arial" w:hAnsi="Arial"/>
          <w:sz w:val="22"/>
          <w:szCs w:val="22"/>
        </w:rPr>
        <w:t xml:space="preserve">Los pesos regionales del generador reflejan esta concentración: Pichincha 30%, Guayas 25%, Azuay 8%, Manabí 7%, con el resto distribuido en provincias menores y colas mínimas para Galápagos y Amazonía (zonas con infraestructura digital más débil).</w:t>
      </w:r>
    </w:p>
    <w:p>
      <w:pPr>
        <w:pStyle w:val="Heading2"/>
        <w:spacing w:after="140" w:before="300"/>
      </w:pPr>
      <w:r>
        <w:rPr>
          <w:rFonts w:ascii="Arial" w:cs="Arial" w:eastAsia="Arial" w:hAnsi="Arial"/>
          <w:b/>
          <w:bCs/>
          <w:color w:val="2D1B5E"/>
          <w:sz w:val="26"/>
          <w:szCs w:val="26"/>
        </w:rPr>
        <w:t xml:space="preserve">2.4 Estacionalidad del consumo ecuatoriano</w:t>
      </w:r>
    </w:p>
    <w:p>
      <w:pPr>
        <w:spacing w:after="100" w:before="0"/>
      </w:pPr>
      <w:r>
        <w:rPr>
          <w:rFonts w:ascii="Arial" w:cs="Arial" w:eastAsia="Arial" w:hAnsi="Arial"/>
          <w:sz w:val="22"/>
          <w:szCs w:val="22"/>
        </w:rPr>
        <w:t xml:space="preserve">La estacionalidad en Ecuador está fuertemente marcada por el pago del décimo tercer sueldo (bono navideño, obligatorio antes del 24 de diciembre) y el décimo cuarto sueldo (pagado en marzo en Costa y en agosto en Sierra/Amazonía).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3D2B7E" w:sz="16"/>
              <w:bottom w:val="single" w:color="BFBFBF" w:sz="4"/>
              <w:right w:val="single" w:color="BFBFBF" w:sz="4"/>
            </w:tcBorders>
            <w:shd w:fill="E8F4FD" w:color="auto" w:val="clear"/>
            <w:tcMar>
              <w:top w:type="dxa" w:w="160"/>
              <w:left w:type="dxa" w:w="200"/>
              <w:bottom w:type="dxa" w:w="160"/>
              <w:right w:type="dxa" w:w="200"/>
            </w:tcMar>
          </w:tcPr>
          <w:p>
            <w:pPr>
              <w:spacing w:after="100"/>
            </w:pPr>
            <w:r>
              <w:rPr>
                <w:rFonts w:ascii="Arial" w:cs="Arial" w:eastAsia="Arial" w:hAnsi="Arial"/>
                <w:b/>
                <w:bCs/>
                <w:color w:val="2D1B5E"/>
                <w:sz w:val="22"/>
                <w:szCs w:val="22"/>
              </w:rPr>
              <w:t xml:space="preserve">Dato clave del SRI — estacionalidad diciembre</w:t>
            </w:r>
          </w:p>
          <w:p>
            <w:pPr>
              <w:spacing w:after="60"/>
            </w:pPr>
            <w:r>
              <w:rPr>
                <w:rFonts w:ascii="Arial" w:cs="Arial" w:eastAsia="Arial" w:hAnsi="Arial"/>
                <w:sz w:val="20"/>
                <w:szCs w:val="20"/>
              </w:rPr>
              <w:t xml:space="preserve">Según el Servicio de Rentas Internas, las ventas mensuales entre enero y noviembre en Ecuador se ubican en promedio entre USD 10.600 y 14.800 millones.</w:t>
            </w:r>
          </w:p>
          <w:p>
            <w:pPr>
              <w:spacing w:after="60"/>
            </w:pPr>
            <w:r>
              <w:rPr>
                <w:rFonts w:ascii="Arial" w:cs="Arial" w:eastAsia="Arial" w:hAnsi="Arial"/>
                <w:sz w:val="20"/>
                <w:szCs w:val="20"/>
              </w:rPr>
              <w:t xml:space="preserve">En diciembre, alcanzan aproximadamente USD 18.250 millones, lo que representa un aumento cercano al 43% frente a los meses previos.</w:t>
            </w:r>
          </w:p>
          <w:p>
            <w:pPr>
              <w:spacing w:after="60"/>
            </w:pPr>
            <w:r>
              <w:rPr>
                <w:rFonts w:ascii="Arial" w:cs="Arial" w:eastAsia="Arial" w:hAnsi="Arial"/>
                <w:sz w:val="20"/>
                <w:szCs w:val="20"/>
              </w:rPr>
              <w:t xml:space="preserve">Enero y febrero muestran contracción del 15-20% porque 'ya no hay dinero' después de las compras navideñas.</w:t>
            </w:r>
          </w:p>
        </w:tc>
      </w:tr>
    </w:tbl>
    <w:p>
      <w:pPr>
        <w:spacing w:after="100" w:before="160"/>
      </w:pPr>
      <w:r>
        <w:rPr>
          <w:rFonts w:ascii="Arial" w:cs="Arial" w:eastAsia="Arial" w:hAnsi="Arial"/>
          <w:b/>
          <w:bCs/>
          <w:sz w:val="22"/>
          <w:szCs w:val="22"/>
        </w:rPr>
        <w:t xml:space="preserve">Multiplicadores de estacionalidad usados en el generador: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26"/>
      </w:tblGrid>
      <w:tr>
        <w:trPr>
          <w:tblHeader/>
        </w:trPr>
        <w:tc>
          <w:tcPr>
            <w:tcW w:type="dxa" w:w="2200"/>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Mes</w:t>
            </w:r>
          </w:p>
        </w:tc>
        <w:tc>
          <w:tcPr>
            <w:tcW w:type="dxa" w:w="1400"/>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Multiplicador</w:t>
            </w:r>
          </w:p>
        </w:tc>
        <w:tc>
          <w:tcPr>
            <w:tcW w:type="dxa" w:w="5426"/>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Fuente o justificación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bCs/>
                <w:sz w:val="20"/>
                <w:szCs w:val="20"/>
              </w:rPr>
              <w:t xml:space="preserve">Enero</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0.82</w:t>
            </w:r>
          </w:p>
        </w:tc>
        <w:tc>
          <w:tcPr>
            <w:tcW w:type="dxa" w:w="5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Contracción post-navideña fuerte</w:t>
            </w:r>
          </w:p>
        </w:tc>
      </w:tr>
      <w:tr>
        <w:tc>
          <w:tcPr>
            <w:tcW w:type="dxa" w:w="22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b/>
                <w:bCs/>
                <w:sz w:val="20"/>
                <w:szCs w:val="20"/>
              </w:rPr>
              <w:t xml:space="preserve">Febrero</w:t>
            </w:r>
          </w:p>
        </w:tc>
        <w:tc>
          <w:tcPr>
            <w:tcW w:type="dxa" w:w="14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0.90</w:t>
            </w:r>
          </w:p>
        </w:tc>
        <w:tc>
          <w:tcPr>
            <w:tcW w:type="dxa" w:w="54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Aún contraído</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bCs/>
                <w:sz w:val="20"/>
                <w:szCs w:val="20"/>
              </w:rPr>
              <w:t xml:space="preserve">Marzo</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1.05</w:t>
            </w:r>
          </w:p>
        </w:tc>
        <w:tc>
          <w:tcPr>
            <w:tcW w:type="dxa" w:w="5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Décimo cuarto sueldo en Costa</w:t>
            </w:r>
          </w:p>
        </w:tc>
      </w:tr>
      <w:tr>
        <w:tc>
          <w:tcPr>
            <w:tcW w:type="dxa" w:w="22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b/>
                <w:bCs/>
                <w:sz w:val="20"/>
                <w:szCs w:val="20"/>
              </w:rPr>
              <w:t xml:space="preserve">Abril</w:t>
            </w:r>
          </w:p>
        </w:tc>
        <w:tc>
          <w:tcPr>
            <w:tcW w:type="dxa" w:w="14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1.00</w:t>
            </w:r>
          </w:p>
        </w:tc>
        <w:tc>
          <w:tcPr>
            <w:tcW w:type="dxa" w:w="54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Base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bCs/>
                <w:sz w:val="20"/>
                <w:szCs w:val="20"/>
              </w:rPr>
              <w:t xml:space="preserve">Mayo</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1.02</w:t>
            </w:r>
          </w:p>
        </w:tc>
        <w:tc>
          <w:tcPr>
            <w:tcW w:type="dxa" w:w="5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Día de la Madre</w:t>
            </w:r>
          </w:p>
        </w:tc>
      </w:tr>
      <w:tr>
        <w:tc>
          <w:tcPr>
            <w:tcW w:type="dxa" w:w="22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b/>
                <w:bCs/>
                <w:sz w:val="20"/>
                <w:szCs w:val="20"/>
              </w:rPr>
              <w:t xml:space="preserve">Junio-Julio</w:t>
            </w:r>
          </w:p>
        </w:tc>
        <w:tc>
          <w:tcPr>
            <w:tcW w:type="dxa" w:w="14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1.00 / 0.98</w:t>
            </w:r>
          </w:p>
        </w:tc>
        <w:tc>
          <w:tcPr>
            <w:tcW w:type="dxa" w:w="54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Base / vacaciones sierra</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bCs/>
                <w:sz w:val="20"/>
                <w:szCs w:val="20"/>
              </w:rPr>
              <w:t xml:space="preserve">Agosto</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1.05</w:t>
            </w:r>
          </w:p>
        </w:tc>
        <w:tc>
          <w:tcPr>
            <w:tcW w:type="dxa" w:w="5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Décimo cuarto sueldo en Sierra/Amazonía</w:t>
            </w:r>
          </w:p>
        </w:tc>
      </w:tr>
      <w:tr>
        <w:tc>
          <w:tcPr>
            <w:tcW w:type="dxa" w:w="22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b/>
                <w:bCs/>
                <w:sz w:val="20"/>
                <w:szCs w:val="20"/>
              </w:rPr>
              <w:t xml:space="preserve">Septiembre-Octubre</w:t>
            </w:r>
          </w:p>
        </w:tc>
        <w:tc>
          <w:tcPr>
            <w:tcW w:type="dxa" w:w="14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1.00</w:t>
            </w:r>
          </w:p>
        </w:tc>
        <w:tc>
          <w:tcPr>
            <w:tcW w:type="dxa" w:w="54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Regreso a clases / base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bCs/>
                <w:sz w:val="20"/>
                <w:szCs w:val="20"/>
              </w:rPr>
              <w:t xml:space="preserve">Noviembre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1.10</w:t>
            </w:r>
          </w:p>
        </w:tc>
        <w:tc>
          <w:tcPr>
            <w:tcW w:type="dxa" w:w="5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Black Friday, pre-navidad</w:t>
            </w:r>
          </w:p>
        </w:tc>
      </w:tr>
      <w:tr>
        <w:tc>
          <w:tcPr>
            <w:tcW w:type="dxa" w:w="22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b/>
                <w:bCs/>
                <w:sz w:val="20"/>
                <w:szCs w:val="20"/>
              </w:rPr>
              <w:t xml:space="preserve">Diciembre</w:t>
            </w:r>
          </w:p>
        </w:tc>
        <w:tc>
          <w:tcPr>
            <w:tcW w:type="dxa" w:w="14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1.43</w:t>
            </w:r>
          </w:p>
        </w:tc>
        <w:tc>
          <w:tcPr>
            <w:tcW w:type="dxa" w:w="54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Décimo tercer sueldo (dato SRI)</w:t>
            </w:r>
          </w:p>
        </w:tc>
      </w:tr>
    </w:tbl>
    <w:p>
      <w:pPr>
        <w:pStyle w:val="Heading2"/>
        <w:spacing w:after="140" w:before="300"/>
      </w:pPr>
      <w:r>
        <w:rPr>
          <w:rFonts w:ascii="Arial" w:cs="Arial" w:eastAsia="Arial" w:hAnsi="Arial"/>
          <w:b/>
          <w:bCs/>
          <w:color w:val="2D1B5E"/>
          <w:sz w:val="26"/>
          <w:szCs w:val="26"/>
        </w:rPr>
        <w:t xml:space="preserve">2.5 Ticket promedio en pagos QR</w:t>
      </w:r>
    </w:p>
    <w:p>
      <w:pPr>
        <w:spacing w:after="100" w:before="0"/>
      </w:pPr>
      <w:r>
        <w:rPr>
          <w:rFonts w:ascii="Arial" w:cs="Arial" w:eastAsia="Arial" w:hAnsi="Arial"/>
          <w:sz w:val="22"/>
          <w:szCs w:val="22"/>
        </w:rPr>
        <w:t xml:space="preserve">El ticket promedio por transacción en pagos QR ecuatorianos es bajo, reflejando su uso masivo en consumo diario (tienda de barrio, transporte, comida rápida).</w:t>
      </w:r>
    </w:p>
    <w:p>
      <w:pPr>
        <w:pStyle w:val="ListParagraph"/>
        <w:numPr>
          <w:ilvl w:val="0"/>
          <w:numId w:val="2"/>
        </w:numPr>
        <w:spacing w:after="60"/>
      </w:pPr>
      <w:r>
        <w:rPr>
          <w:rFonts w:ascii="Arial" w:cs="Arial" w:eastAsia="Arial" w:hAnsi="Arial"/>
          <w:b/>
          <w:bCs/>
          <w:sz w:val="22"/>
          <w:szCs w:val="22"/>
        </w:rPr>
        <w:t xml:space="preserve">Monto promedio de retiro de efectivo: </w:t>
      </w:r>
      <w:r>
        <w:rPr>
          <w:rFonts w:ascii="Arial" w:cs="Arial" w:eastAsia="Arial" w:hAnsi="Arial"/>
          <w:sz w:val="22"/>
          <w:szCs w:val="22"/>
        </w:rPr>
        <w:t xml:space="preserve">En 2024 era USD 112, en 2025 bajó a USD 88.9 (indicador indirecto de adopción digital).</w:t>
      </w:r>
    </w:p>
    <w:p>
      <w:pPr>
        <w:pStyle w:val="ListParagraph"/>
        <w:numPr>
          <w:ilvl w:val="0"/>
          <w:numId w:val="2"/>
        </w:numPr>
        <w:spacing w:after="60"/>
      </w:pPr>
      <w:r>
        <w:rPr>
          <w:rFonts w:ascii="Arial" w:cs="Arial" w:eastAsia="Arial" w:hAnsi="Arial"/>
          <w:b/>
          <w:bCs/>
          <w:sz w:val="22"/>
          <w:szCs w:val="22"/>
        </w:rPr>
        <w:t xml:space="preserve">Rango típico de pagos QR: </w:t>
      </w:r>
      <w:r>
        <w:rPr>
          <w:rFonts w:ascii="Arial" w:cs="Arial" w:eastAsia="Arial" w:hAnsi="Arial"/>
          <w:sz w:val="22"/>
          <w:szCs w:val="22"/>
        </w:rPr>
        <w:t xml:space="preserve">Desde USD 3 (carrera de taxi) hasta USD 45 (repuestos de motos).</w:t>
      </w:r>
    </w:p>
    <w:p>
      <w:pPr>
        <w:pStyle w:val="ListParagraph"/>
        <w:numPr>
          <w:ilvl w:val="0"/>
          <w:numId w:val="2"/>
        </w:numPr>
        <w:spacing w:after="60"/>
      </w:pPr>
      <w:r>
        <w:rPr>
          <w:rFonts w:ascii="Arial" w:cs="Arial" w:eastAsia="Arial" w:hAnsi="Arial"/>
          <w:b/>
          <w:bCs/>
          <w:sz w:val="22"/>
          <w:szCs w:val="22"/>
        </w:rPr>
        <w:t xml:space="preserve">Distribución por sector: </w:t>
      </w:r>
      <w:r>
        <w:rPr>
          <w:rFonts w:ascii="Arial" w:cs="Arial" w:eastAsia="Arial" w:hAnsi="Arial"/>
          <w:sz w:val="22"/>
          <w:szCs w:val="22"/>
        </w:rPr>
        <w:t xml:space="preserve">Ecuador tiene todavía una preferencia del 49% por efectivo (McKinsey 2023), pero el QR crece rápidamente en pequeños comercios.</w:t>
      </w:r>
    </w:p>
    <w:p>
      <w:pPr>
        <w:pStyle w:val="Heading2"/>
        <w:spacing w:after="140" w:before="300"/>
      </w:pPr>
      <w:r>
        <w:rPr>
          <w:rFonts w:ascii="Arial" w:cs="Arial" w:eastAsia="Arial" w:hAnsi="Arial"/>
          <w:b/>
          <w:bCs/>
          <w:color w:val="2D1B5E"/>
          <w:sz w:val="26"/>
          <w:szCs w:val="26"/>
        </w:rPr>
        <w:t xml:space="preserve">2.6 Tasas de rechazo en pagos digitales</w:t>
      </w:r>
    </w:p>
    <w:p>
      <w:pPr>
        <w:spacing w:after="100" w:before="0"/>
      </w:pPr>
      <w:r>
        <w:rPr>
          <w:rFonts w:ascii="Arial" w:cs="Arial" w:eastAsia="Arial" w:hAnsi="Arial"/>
          <w:sz w:val="22"/>
          <w:szCs w:val="22"/>
        </w:rPr>
        <w:t xml:space="preserve">Las tasas de rechazo varían fuertemente entre canales: e-commerce tiene tasas altas por controles antifraude conservadores, mientras que pagos en persona (como QR) tienen mucha menor fricción.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626"/>
      </w:tblGrid>
      <w:tr>
        <w:trPr>
          <w:tblHeader/>
        </w:trPr>
        <w:tc>
          <w:tcPr>
            <w:tcW w:type="dxa" w:w="3000"/>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Canal</w:t>
            </w:r>
          </w:p>
        </w:tc>
        <w:tc>
          <w:tcPr>
            <w:tcW w:type="dxa" w:w="1400"/>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Tasa típica</w:t>
            </w:r>
          </w:p>
        </w:tc>
        <w:tc>
          <w:tcPr>
            <w:tcW w:type="dxa" w:w="4626"/>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Observación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bCs/>
                <w:sz w:val="20"/>
                <w:szCs w:val="20"/>
              </w:rPr>
              <w:t xml:space="preserve">E-commerce global</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~11.4%</w:t>
            </w:r>
          </w:p>
        </w:tc>
        <w:tc>
          <w:tcPr>
            <w:tcW w:type="dxa" w:w="4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Reporte Sipay — incluye tarjetas extranjeras</w:t>
            </w:r>
          </w:p>
        </w:tc>
      </w:tr>
      <w:tr>
        <w:tc>
          <w:tcPr>
            <w:tcW w:type="dxa" w:w="30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b/>
                <w:bCs/>
                <w:sz w:val="20"/>
                <w:szCs w:val="20"/>
              </w:rPr>
              <w:t xml:space="preserve">E-commerce general</w:t>
            </w:r>
          </w:p>
        </w:tc>
        <w:tc>
          <w:tcPr>
            <w:tcW w:type="dxa" w:w="14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10-20%</w:t>
            </w:r>
          </w:p>
        </w:tc>
        <w:tc>
          <w:tcPr>
            <w:tcW w:type="dxa" w:w="46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Controles antifraude agresivos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bCs/>
                <w:sz w:val="20"/>
                <w:szCs w:val="20"/>
              </w:rPr>
              <w:t xml:space="preserve">QR en persona (sano)</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1-4%</w:t>
            </w:r>
          </w:p>
        </w:tc>
        <w:tc>
          <w:tcPr>
            <w:tcW w:type="dxa" w:w="4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Pago directo cuenta a cuenta, sin intermediarios</w:t>
            </w:r>
          </w:p>
        </w:tc>
      </w:tr>
      <w:tr>
        <w:tc>
          <w:tcPr>
            <w:tcW w:type="dxa" w:w="30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b/>
                <w:bCs/>
                <w:sz w:val="20"/>
                <w:szCs w:val="20"/>
              </w:rPr>
              <w:t xml:space="preserve">QR con fricción técnica</w:t>
            </w:r>
          </w:p>
        </w:tc>
        <w:tc>
          <w:tcPr>
            <w:tcW w:type="dxa" w:w="14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5-15%</w:t>
            </w:r>
          </w:p>
        </w:tc>
        <w:tc>
          <w:tcPr>
            <w:tcW w:type="dxa" w:w="46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Problemas de conectividad, saldo insuficiente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bCs/>
                <w:sz w:val="20"/>
                <w:szCs w:val="20"/>
              </w:rPr>
              <w:t xml:space="preserve">QR crítico (pre-abandono)</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15-25%</w:t>
            </w:r>
          </w:p>
        </w:tc>
        <w:tc>
          <w:tcPr>
            <w:tcW w:type="dxa" w:w="4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Deterioro sistémico, inminente salida</w:t>
            </w:r>
          </w:p>
        </w:tc>
      </w:tr>
    </w:tbl>
    <w:p>
      <w:pPr>
        <w:spacing w:after="200" w:before="160"/>
      </w:pPr>
      <w:r>
        <w:rPr>
          <w:rFonts w:ascii="Arial" w:cs="Arial" w:eastAsia="Arial" w:hAnsi="Arial"/>
          <w:sz w:val="22"/>
          <w:szCs w:val="22"/>
        </w:rPr>
        <w:t xml:space="preserve">El generador utiliza una distribución beta(2, 50) para comercios sanos (media ~4%), con incrementos progresivos hasta 25% para comercios en fase de abandono. La media global del dataset quedó en 4.4%, perfectamente alineada con el benchmark.</w:t>
      </w:r>
    </w:p>
    <w:p>
      <w:pPr>
        <w:pStyle w:val="Heading2"/>
        <w:spacing w:after="140" w:before="300"/>
      </w:pPr>
      <w:r>
        <w:rPr>
          <w:rFonts w:ascii="Arial" w:cs="Arial" w:eastAsia="Arial" w:hAnsi="Arial"/>
          <w:b/>
          <w:bCs/>
          <w:color w:val="2D1B5E"/>
          <w:sz w:val="26"/>
          <w:szCs w:val="26"/>
        </w:rPr>
        <w:t xml:space="preserve">2.7 Sectores económicos (CIIU)</w:t>
      </w:r>
    </w:p>
    <w:p>
      <w:pPr>
        <w:spacing w:after="100" w:before="0"/>
      </w:pPr>
      <w:r>
        <w:rPr>
          <w:rFonts w:ascii="Arial" w:cs="Arial" w:eastAsia="Arial" w:hAnsi="Arial"/>
          <w:sz w:val="22"/>
          <w:szCs w:val="22"/>
        </w:rPr>
        <w:t xml:space="preserve">El INEC utiliza la Clasificación Industrial Internacional Uniforme (CIIU Rev.4) para codificar actividades económicas. Para pagos QR, los sectores más representativos 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3826"/>
      </w:tblGrid>
      <w:tr>
        <w:trPr>
          <w:tblHeader/>
        </w:trPr>
        <w:tc>
          <w:tcPr>
            <w:tcW w:type="dxa" w:w="4000"/>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Sección CIIU</w:t>
            </w:r>
          </w:p>
        </w:tc>
        <w:tc>
          <w:tcPr>
            <w:tcW w:type="dxa" w:w="1200"/>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Peso asignado</w:t>
            </w:r>
          </w:p>
        </w:tc>
        <w:tc>
          <w:tcPr>
            <w:tcW w:type="dxa" w:w="3826"/>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Actividades incluidas</w:t>
            </w:r>
          </w:p>
        </w:tc>
      </w:tr>
      <w:t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bCs/>
                <w:sz w:val="20"/>
                <w:szCs w:val="20"/>
              </w:rPr>
              <w:t xml:space="preserve">G47 — Comercio al por menor</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45%</w:t>
            </w:r>
          </w:p>
        </w:tc>
        <w:tc>
          <w:tcPr>
            <w:tcW w:type="dxa" w:w="38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Tiendas, bazares, fruterías, boutiques</w:t>
            </w:r>
          </w:p>
        </w:tc>
      </w:tr>
      <w:tr>
        <w:tc>
          <w:tcPr>
            <w:tcW w:type="dxa" w:w="40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b/>
                <w:bCs/>
                <w:sz w:val="20"/>
                <w:szCs w:val="20"/>
              </w:rPr>
              <w:t xml:space="preserve">I56 — Restaurantes</w:t>
            </w:r>
          </w:p>
        </w:tc>
        <w:tc>
          <w:tcPr>
            <w:tcW w:type="dxa" w:w="12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30%</w:t>
            </w:r>
          </w:p>
        </w:tc>
        <w:tc>
          <w:tcPr>
            <w:tcW w:type="dxa" w:w="38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Restaurantes, comida rápida, cafeterías, bares</w:t>
            </w:r>
          </w:p>
        </w:tc>
      </w:tr>
      <w:t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bCs/>
                <w:sz w:val="20"/>
                <w:szCs w:val="20"/>
              </w:rPr>
              <w:t xml:space="preserve">S96 — Servicios personales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8%</w:t>
            </w:r>
          </w:p>
        </w:tc>
        <w:tc>
          <w:tcPr>
            <w:tcW w:type="dxa" w:w="38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Peluquerías, lavanderías</w:t>
            </w:r>
          </w:p>
        </w:tc>
      </w:tr>
      <w:tr>
        <w:tc>
          <w:tcPr>
            <w:tcW w:type="dxa" w:w="40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b/>
                <w:bCs/>
                <w:sz w:val="20"/>
                <w:szCs w:val="20"/>
              </w:rPr>
              <w:t xml:space="preserve">C10-C11 — Alimentos/bebidas</w:t>
            </w:r>
          </w:p>
        </w:tc>
        <w:tc>
          <w:tcPr>
            <w:tcW w:type="dxa" w:w="12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5%</w:t>
            </w:r>
          </w:p>
        </w:tc>
        <w:tc>
          <w:tcPr>
            <w:tcW w:type="dxa" w:w="38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Panaderías, pastelerías</w:t>
            </w:r>
          </w:p>
        </w:tc>
      </w:tr>
      <w:t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bCs/>
                <w:sz w:val="20"/>
                <w:szCs w:val="20"/>
              </w:rPr>
              <w:t xml:space="preserve">H49 — Transporte</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4%</w:t>
            </w:r>
          </w:p>
        </w:tc>
        <w:tc>
          <w:tcPr>
            <w:tcW w:type="dxa" w:w="38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Taxis, cooperativas de transporte</w:t>
            </w:r>
          </w:p>
        </w:tc>
      </w:tr>
      <w:tr>
        <w:tc>
          <w:tcPr>
            <w:tcW w:type="dxa" w:w="40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b/>
                <w:bCs/>
                <w:sz w:val="20"/>
                <w:szCs w:val="20"/>
              </w:rPr>
              <w:t xml:space="preserve">Otros</w:t>
            </w:r>
          </w:p>
        </w:tc>
        <w:tc>
          <w:tcPr>
            <w:tcW w:type="dxa" w:w="12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8%</w:t>
            </w:r>
          </w:p>
        </w:tc>
        <w:tc>
          <w:tcPr>
            <w:tcW w:type="dxa" w:w="38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Farmacias, repuestos, librerías, etc.</w:t>
            </w:r>
          </w:p>
        </w:tc>
      </w:tr>
    </w:tbl>
    <w:p>
      <w:pPr>
        <w:pStyle w:val="Heading1"/>
        <w:pageBreakBefore/>
        <w:spacing w:after="180" w:before="360"/>
      </w:pPr>
      <w:r>
        <w:rPr>
          <w:rFonts w:ascii="Arial" w:cs="Arial" w:eastAsia="Arial" w:hAnsi="Arial"/>
          <w:b/>
          <w:bCs/>
          <w:color w:val="2D1B5E"/>
          <w:sz w:val="32"/>
          <w:szCs w:val="32"/>
        </w:rPr>
        <w:t xml:space="preserve">3. Arquitectura del dataset sintético</w:t>
      </w:r>
    </w:p>
    <w:p>
      <w:pPr>
        <w:spacing w:after="100" w:before="0"/>
      </w:pPr>
      <w:r>
        <w:rPr>
          <w:rFonts w:ascii="Arial" w:cs="Arial" w:eastAsia="Arial" w:hAnsi="Arial"/>
          <w:sz w:val="22"/>
          <w:szCs w:val="22"/>
        </w:rPr>
        <w:t xml:space="preserve">El dataset sigue un modelo estrella simplificado: una tabla de dimensiones (dim_merchants) conectada a dos tablas de hechos (fact_performance_monthly, fact_support_tickets). La cuarta tabla (fact_churn_predictions) se genera después de entrenar el modelo.</w:t>
      </w:r>
    </w:p>
    <w:p>
      <w:pPr>
        <w:pStyle w:val="Heading2"/>
        <w:spacing w:after="140" w:before="300"/>
      </w:pPr>
      <w:r>
        <w:rPr>
          <w:rFonts w:ascii="Arial" w:cs="Arial" w:eastAsia="Arial" w:hAnsi="Arial"/>
          <w:b/>
          <w:bCs/>
          <w:color w:val="2D1B5E"/>
          <w:sz w:val="26"/>
          <w:szCs w:val="26"/>
        </w:rPr>
        <w:t xml:space="preserve">3.1 Diagrama de relaciones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00D4A6" w:sz="12"/>
              <w:bottom w:val="single" w:color="CCCCCC" w:sz="4"/>
              <w:right w:val="single" w:color="CCCCCC" w:sz="4"/>
            </w:tcBorders>
            <w:shd w:fill="F4F4F4" w:color="auto" w:val="clear"/>
            <w:tcMar>
              <w:top w:type="dxa" w:w="120"/>
              <w:left w:type="dxa" w:w="180"/>
              <w:bottom w:type="dxa" w:w="120"/>
              <w:right w:type="dxa" w:w="180"/>
            </w:tcMar>
          </w:tcPr>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                    │      dim_merchants           │</w:t>
            </w:r>
          </w:p>
          <w:p>
            <w:pPr>
              <w:spacing w:after="0"/>
            </w:pPr>
            <w:r>
              <w:rPr>
                <w:rFonts w:ascii="Courier New" w:cs="Courier New" w:eastAsia="Courier New" w:hAnsi="Courier New"/>
                <w:color w:val="333333"/>
                <w:sz w:val="18"/>
                <w:szCs w:val="18"/>
              </w:rPr>
              <w:t xml:space="preserve">                    │  (2.000 filas — 1 por comercio)│</w:t>
            </w:r>
          </w:p>
          <w:p>
            <w:pPr>
              <w:spacing w:after="0"/>
            </w:pPr>
            <w:r>
              <w:rPr>
                <w:rFonts w:ascii="Courier New" w:cs="Courier New" w:eastAsia="Courier New" w:hAnsi="Courier New"/>
                <w:color w:val="333333"/>
                <w:sz w:val="18"/>
                <w:szCs w:val="18"/>
              </w:rPr>
              <w:t xml:space="preserve">                    │                              │</w:t>
            </w:r>
          </w:p>
          <w:p>
            <w:pPr>
              <w:spacing w:after="0"/>
            </w:pPr>
            <w:r>
              <w:rPr>
                <w:rFonts w:ascii="Courier New" w:cs="Courier New" w:eastAsia="Courier New" w:hAnsi="Courier New"/>
                <w:color w:val="333333"/>
                <w:sz w:val="18"/>
                <w:szCs w:val="18"/>
              </w:rPr>
              <w:t xml:space="preserve">                    │  PK:  merchant_id            │</w:t>
            </w:r>
          </w:p>
          <w:p>
            <w:pPr>
              <w:spacing w:after="0"/>
            </w:pPr>
            <w:r>
              <w:rPr>
                <w:rFonts w:ascii="Courier New" w:cs="Courier New" w:eastAsia="Courier New" w:hAnsi="Courier New"/>
                <w:color w:val="333333"/>
                <w:sz w:val="18"/>
                <w:szCs w:val="18"/>
              </w:rPr>
              <w:t xml:space="preserve">                    │  + perfil, región, segmento, │</w:t>
            </w:r>
          </w:p>
          <w:p>
            <w:pPr>
              <w:spacing w:after="0"/>
            </w:pPr>
            <w:r>
              <w:rPr>
                <w:rFonts w:ascii="Courier New" w:cs="Courier New" w:eastAsia="Courier New" w:hAnsi="Courier New"/>
                <w:color w:val="333333"/>
                <w:sz w:val="18"/>
                <w:szCs w:val="18"/>
              </w:rPr>
              <w:t xml:space="preserve">                    │    CIIU, fechas, ejecutivo   │</w:t>
            </w:r>
          </w:p>
          <w:p>
            <w:pPr>
              <w:spacing w:after="0"/>
            </w:pPr>
            <w:r>
              <w:rPr>
                <w:rFonts w:ascii="Courier New" w:cs="Courier New" w:eastAsia="Courier New" w:hAnsi="Courier New"/>
                <w:color w:val="333333"/>
                <w:sz w:val="18"/>
                <w:szCs w:val="18"/>
              </w:rPr>
              <w:t xml:space="preserve">                    │  + abandono_30d (ground truth)│</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                               │ 1</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                   │                           │</w:t>
            </w:r>
          </w:p>
          <w:p>
            <w:pPr>
              <w:spacing w:after="0"/>
            </w:pPr>
            <w:r>
              <w:rPr>
                <w:rFonts w:ascii="Courier New" w:cs="Courier New" w:eastAsia="Courier New" w:hAnsi="Courier New"/>
                <w:color w:val="333333"/>
                <w:sz w:val="18"/>
                <w:szCs w:val="18"/>
              </w:rPr>
              <w:t xml:space="preserve">                   │ N                         │ N</w:t>
            </w:r>
          </w:p>
          <w:p>
            <w:pPr>
              <w:spacing w:after="0"/>
            </w:pPr>
            <w:r>
              <w:rPr>
                <w:rFonts w:ascii="Courier New" w:cs="Courier New" w:eastAsia="Courier New" w:hAnsi="Courier New"/>
                <w:color w:val="333333"/>
                <w:sz w:val="18"/>
                <w:szCs w:val="18"/>
              </w:rPr>
              <w:t xml:space="preserve">      ┌────────────▼────────────┐   ┌──────────▼────────────┐</w:t>
            </w:r>
          </w:p>
          <w:p>
            <w:pPr>
              <w:spacing w:after="0"/>
            </w:pPr>
            <w:r>
              <w:rPr>
                <w:rFonts w:ascii="Courier New" w:cs="Courier New" w:eastAsia="Courier New" w:hAnsi="Courier New"/>
                <w:color w:val="333333"/>
                <w:sz w:val="18"/>
                <w:szCs w:val="18"/>
              </w:rPr>
              <w:t xml:space="preserve">      │ fact_performance_monthly│   │ fact_support_tickets  │</w:t>
            </w:r>
          </w:p>
          <w:p>
            <w:pPr>
              <w:spacing w:after="0"/>
            </w:pPr>
            <w:r>
              <w:rPr>
                <w:rFonts w:ascii="Courier New" w:cs="Courier New" w:eastAsia="Courier New" w:hAnsi="Courier New"/>
                <w:color w:val="333333"/>
                <w:sz w:val="18"/>
                <w:szCs w:val="18"/>
              </w:rPr>
              <w:t xml:space="preserve">      │   (22.399 filas)        │   │    (9.942 filas)      │</w:t>
            </w:r>
          </w:p>
          <w:p>
            <w:pPr>
              <w:spacing w:after="0"/>
            </w:pPr>
            <w:r>
              <w:rPr>
                <w:rFonts w:ascii="Courier New" w:cs="Courier New" w:eastAsia="Courier New" w:hAnsi="Courier New"/>
                <w:color w:val="333333"/>
                <w:sz w:val="18"/>
                <w:szCs w:val="18"/>
              </w:rPr>
              <w:t xml:space="preserve">      │                         │   │                       │</w:t>
            </w:r>
          </w:p>
          <w:p>
            <w:pPr>
              <w:spacing w:after="0"/>
            </w:pPr>
            <w:r>
              <w:rPr>
                <w:rFonts w:ascii="Courier New" w:cs="Courier New" w:eastAsia="Courier New" w:hAnsi="Courier New"/>
                <w:color w:val="333333"/>
                <w:sz w:val="18"/>
                <w:szCs w:val="18"/>
              </w:rPr>
              <w:t xml:space="preserve">      │ PK: (merchant_id,       │   │ PK: ticket_id         │</w:t>
            </w:r>
          </w:p>
          <w:p>
            <w:pPr>
              <w:spacing w:after="0"/>
            </w:pPr>
            <w:r>
              <w:rPr>
                <w:rFonts w:ascii="Courier New" w:cs="Courier New" w:eastAsia="Courier New" w:hAnsi="Courier New"/>
                <w:color w:val="333333"/>
                <w:sz w:val="18"/>
                <w:szCs w:val="18"/>
              </w:rPr>
              <w:t xml:space="preserve">      │      mes_reporte)       │   │ FK: merchant_id       │</w:t>
            </w:r>
          </w:p>
          <w:p>
            <w:pPr>
              <w:spacing w:after="0"/>
            </w:pPr>
            <w:r>
              <w:rPr>
                <w:rFonts w:ascii="Courier New" w:cs="Courier New" w:eastAsia="Courier New" w:hAnsi="Courier New"/>
                <w:color w:val="333333"/>
                <w:sz w:val="18"/>
                <w:szCs w:val="18"/>
              </w:rPr>
              <w:t xml:space="preserve">      │                         │   │                       │</w:t>
            </w:r>
          </w:p>
          <w:p>
            <w:pPr>
              <w:spacing w:after="0"/>
            </w:pPr>
            <w:r>
              <w:rPr>
                <w:rFonts w:ascii="Courier New" w:cs="Courier New" w:eastAsia="Courier New" w:hAnsi="Courier New"/>
                <w:color w:val="333333"/>
                <w:sz w:val="18"/>
                <w:szCs w:val="18"/>
              </w:rPr>
              <w:t xml:space="preserve">      │ Métricas mensuales:     │   │ Detalle por ticket:   │</w:t>
            </w:r>
          </w:p>
          <w:p>
            <w:pPr>
              <w:spacing w:after="0"/>
            </w:pPr>
            <w:r>
              <w:rPr>
                <w:rFonts w:ascii="Courier New" w:cs="Courier New" w:eastAsia="Courier New" w:hAnsi="Courier New"/>
                <w:color w:val="333333"/>
                <w:sz w:val="18"/>
                <w:szCs w:val="18"/>
              </w:rPr>
              <w:t xml:space="preserve">      │ - TPV, count_trx        │   │ - categoría, severidad│</w:t>
            </w:r>
          </w:p>
          <w:p>
            <w:pPr>
              <w:spacing w:after="0"/>
            </w:pPr>
            <w:r>
              <w:rPr>
                <w:rFonts w:ascii="Courier New" w:cs="Courier New" w:eastAsia="Courier New" w:hAnsi="Courier New"/>
                <w:color w:val="333333"/>
                <w:sz w:val="18"/>
                <w:szCs w:val="18"/>
              </w:rPr>
              <w:t xml:space="preserve">      │ - tasa_rechazo          │   │ - estado, SLA         │</w:t>
            </w:r>
          </w:p>
          <w:p>
            <w:pPr>
              <w:spacing w:after="0"/>
            </w:pPr>
            <w:r>
              <w:rPr>
                <w:rFonts w:ascii="Courier New" w:cs="Courier New" w:eastAsia="Courier New" w:hAnsi="Courier New"/>
                <w:color w:val="333333"/>
                <w:sz w:val="18"/>
                <w:szCs w:val="18"/>
              </w:rPr>
              <w:t xml:space="preserve">      │ - tickets (agregados)   │   │ - satisfacción        │</w:t>
            </w:r>
          </w:p>
          <w:p>
            <w:pPr>
              <w:spacing w:after="0"/>
            </w:pPr>
            <w:r>
              <w:rPr>
                <w:rFonts w:ascii="Courier New" w:cs="Courier New" w:eastAsia="Courier New" w:hAnsi="Courier New"/>
                <w:color w:val="333333"/>
                <w:sz w:val="18"/>
                <w:szCs w:val="18"/>
              </w:rPr>
              <w:t xml:space="preserve">      │ - recencia              │   └───────────────────────┘</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                                         │ (agregación)</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                           consistente con tabla 2</w:t>
            </w:r>
          </w:p>
          <w:p>
            <w:pPr>
              <w:spacing w:after="0"/>
            </w:pPr>
            <w:r>
              <w:rPr>
                <w:rFonts w:ascii="Courier New" w:cs="Courier New" w:eastAsia="Courier New" w:hAnsi="Courier New"/>
                <w:color w:val="333333"/>
                <w:sz w:val="18"/>
                <w:szCs w:val="18"/>
              </w:rPr>
              <w:t xml:space="preserve"> </w:t>
            </w:r>
          </w:p>
        </w:tc>
      </w:tr>
    </w:tbl>
    <w:p>
      <w:pPr>
        <w:pStyle w:val="Heading2"/>
        <w:spacing w:after="140" w:before="300"/>
      </w:pPr>
      <w:r>
        <w:rPr>
          <w:rFonts w:ascii="Arial" w:cs="Arial" w:eastAsia="Arial" w:hAnsi="Arial"/>
          <w:b/>
          <w:bCs/>
          <w:color w:val="2D1B5E"/>
          <w:sz w:val="26"/>
          <w:szCs w:val="26"/>
        </w:rPr>
        <w:t xml:space="preserve">3.2 Flujo de generación</w:t>
      </w:r>
    </w:p>
    <w:p>
      <w:pPr>
        <w:spacing w:after="100" w:before="0"/>
      </w:pPr>
      <w:r>
        <w:rPr>
          <w:rFonts w:ascii="Arial" w:cs="Arial" w:eastAsia="Arial" w:hAnsi="Arial"/>
          <w:sz w:val="22"/>
          <w:szCs w:val="22"/>
        </w:rPr>
        <w:t xml:space="preserve">El pipeline sigue un orden estricto porque cada tabla depende de la anterior: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4526"/>
      </w:tblGrid>
      <w:tr>
        <w:trPr>
          <w:tblHeader/>
        </w:trPr>
        <w:tc>
          <w:tcPr>
            <w:tcW w:type="dxa" w:w="1200"/>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Orden</w:t>
            </w:r>
          </w:p>
        </w:tc>
        <w:tc>
          <w:tcPr>
            <w:tcW w:type="dxa" w:w="3300"/>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Script</w:t>
            </w:r>
          </w:p>
        </w:tc>
        <w:tc>
          <w:tcPr>
            <w:tcW w:type="dxa" w:w="4526"/>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Qué hace</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bCs/>
                <w:sz w:val="20"/>
                <w:szCs w:val="20"/>
              </w:rPr>
              <w:t xml:space="preserve">Paso 1</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generar_dim_merchants.py</w:t>
            </w:r>
          </w:p>
        </w:tc>
        <w:tc>
          <w:tcPr>
            <w:tcW w:type="dxa" w:w="45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Genera dim_merchants.csv desde cero con distribuciones calibradas</w:t>
            </w:r>
          </w:p>
        </w:tc>
      </w:tr>
      <w:tr>
        <w:tc>
          <w:tcPr>
            <w:tcW w:type="dxa" w:w="12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b/>
                <w:bCs/>
                <w:sz w:val="20"/>
                <w:szCs w:val="20"/>
              </w:rPr>
              <w:t xml:space="preserve">Paso 2</w:t>
            </w:r>
          </w:p>
        </w:tc>
        <w:tc>
          <w:tcPr>
            <w:tcW w:type="dxa" w:w="33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generar_fact_performance.py</w:t>
            </w:r>
          </w:p>
        </w:tc>
        <w:tc>
          <w:tcPr>
            <w:tcW w:type="dxa" w:w="45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Lee dim_merchants.csv. Asigna abandono_30d y salud latente. Genera fact_performance_monthly.csv y actualiza dim_merchants_con_abandono.csv</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bCs/>
                <w:sz w:val="20"/>
                <w:szCs w:val="20"/>
              </w:rPr>
              <w:t xml:space="preserve">Paso 3</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generar_fact_support_tickets.py</w:t>
            </w:r>
          </w:p>
        </w:tc>
        <w:tc>
          <w:tcPr>
            <w:tcW w:type="dxa" w:w="45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Lee ambas tablas anteriores. Desagrega los conteos de tickets en filas individuales, garantizando consistencia</w:t>
            </w:r>
          </w:p>
        </w:tc>
      </w:tr>
      <w:tr>
        <w:tc>
          <w:tcPr>
            <w:tcW w:type="dxa" w:w="12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b/>
                <w:bCs/>
                <w:sz w:val="20"/>
                <w:szCs w:val="20"/>
              </w:rPr>
              <w:t xml:space="preserve">Paso 4</w:t>
            </w:r>
          </w:p>
        </w:tc>
        <w:tc>
          <w:tcPr>
            <w:tcW w:type="dxa" w:w="33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(Notebook del modelo)</w:t>
            </w:r>
          </w:p>
        </w:tc>
        <w:tc>
          <w:tcPr>
            <w:tcW w:type="dxa" w:w="45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Entrena el modelo, genera SHAP y produce fact_churn_predictions.csv</w:t>
            </w:r>
          </w:p>
        </w:tc>
      </w:tr>
    </w:tbl>
    <w:p>
      <w:pPr>
        <w:pStyle w:val="Heading1"/>
        <w:pageBreakBefore/>
        <w:spacing w:after="180" w:before="360"/>
      </w:pPr>
      <w:r>
        <w:rPr>
          <w:rFonts w:ascii="Arial" w:cs="Arial" w:eastAsia="Arial" w:hAnsi="Arial"/>
          <w:b/>
          <w:bCs/>
          <w:color w:val="2D1B5E"/>
          <w:sz w:val="32"/>
          <w:szCs w:val="32"/>
        </w:rPr>
        <w:t xml:space="preserve">4. Detalle de los archivos CSV</w:t>
      </w:r>
    </w:p>
    <w:p>
      <w:pPr>
        <w:pStyle w:val="Heading2"/>
        <w:spacing w:after="140" w:before="300"/>
      </w:pPr>
      <w:r>
        <w:rPr>
          <w:rFonts w:ascii="Arial" w:cs="Arial" w:eastAsia="Arial" w:hAnsi="Arial"/>
          <w:b/>
          <w:bCs/>
          <w:color w:val="2D1B5E"/>
          <w:sz w:val="26"/>
          <w:szCs w:val="26"/>
        </w:rPr>
        <w:t xml:space="preserve">4.1 dim_merchants.csv y dim_merchants_con_abandono.csv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F39C12" w:sz="16"/>
              <w:bottom w:val="single" w:color="BFBFBF" w:sz="4"/>
              <w:right w:val="single" w:color="BFBFBF" w:sz="4"/>
            </w:tcBorders>
            <w:shd w:fill="FFF4E5" w:color="auto" w:val="clear"/>
            <w:tcMar>
              <w:top w:type="dxa" w:w="160"/>
              <w:left w:type="dxa" w:w="200"/>
              <w:bottom w:type="dxa" w:w="160"/>
              <w:right w:type="dxa" w:w="200"/>
            </w:tcMar>
          </w:tcPr>
          <w:p>
            <w:pPr>
              <w:spacing w:after="100"/>
            </w:pPr>
            <w:r>
              <w:rPr>
                <w:rFonts w:ascii="Arial" w:cs="Arial" w:eastAsia="Arial" w:hAnsi="Arial"/>
                <w:b/>
                <w:bCs/>
                <w:color w:val="2D1B5E"/>
                <w:sz w:val="22"/>
                <w:szCs w:val="22"/>
              </w:rPr>
              <w:t xml:space="preserve">¿Por qué hay dos versiones?</w:t>
            </w:r>
          </w:p>
          <w:p>
            <w:pPr>
              <w:spacing w:after="60"/>
            </w:pPr>
            <w:r>
              <w:rPr>
                <w:rFonts w:ascii="Arial" w:cs="Arial" w:eastAsia="Arial" w:hAnsi="Arial"/>
                <w:sz w:val="20"/>
                <w:szCs w:val="20"/>
              </w:rPr>
              <w:t xml:space="preserve">dim_merchants.csv es la salida inicial del Paso 1 (sin etiqueta de abandono).</w:t>
            </w:r>
          </w:p>
          <w:p>
            <w:pPr>
              <w:spacing w:after="60"/>
            </w:pPr>
            <w:r>
              <w:rPr>
                <w:rFonts w:ascii="Arial" w:cs="Arial" w:eastAsia="Arial" w:hAnsi="Arial"/>
                <w:sz w:val="20"/>
                <w:szCs w:val="20"/>
              </w:rPr>
              <w:t xml:space="preserve">dim_merchants_con_abandono.csv es la versión final, actualizada en el Paso 2, que añade la columna abandono_30d. Esta es la versión que usarás al entrenar el modelo y la única que tienes que mantener a largo plazo.</w:t>
            </w:r>
          </w:p>
          <w:p>
            <w:pPr>
              <w:spacing w:after="60"/>
            </w:pPr>
            <w:r>
              <w:rPr>
                <w:rFonts w:ascii="Arial" w:cs="Arial" w:eastAsia="Arial" w:hAnsi="Arial"/>
                <w:sz w:val="20"/>
                <w:szCs w:val="20"/>
              </w:rPr>
              <w:t xml:space="preserve">El archivo original sin etiqueta puede borrarse una vez completado el Paso 2.</w:t>
            </w:r>
          </w:p>
        </w:tc>
      </w:tr>
    </w:tbl>
    <w:p>
      <w:pPr>
        <w:spacing w:after="100" w:before="120"/>
      </w:pPr>
      <w:r>
        <w:rPr>
          <w:rFonts w:ascii="Arial" w:cs="Arial" w:eastAsia="Arial" w:hAnsi="Arial"/>
          <w:i/>
          <w:iCs/>
          <w:sz w:val="22"/>
          <w:szCs w:val="22"/>
        </w:rPr>
        <w:t xml:space="preserve">Granularidad: una fila por comercio. Volumen: 2.000 filas.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Campo</w:t>
            </w:r>
          </w:p>
        </w:tc>
        <w:tc>
          <w:tcPr>
            <w:tcW w:type="dxa" w:w="1500"/>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Tipo</w:t>
            </w:r>
          </w:p>
        </w:tc>
        <w:tc>
          <w:tcPr>
            <w:tcW w:type="dxa" w:w="4526"/>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Descripción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merchant_id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STRING (PK)</w:t>
            </w:r>
          </w:p>
        </w:tc>
        <w:tc>
          <w:tcPr>
            <w:tcW w:type="dxa" w:w="45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Identificador único. Formato: DEU-XXXXXXXX</w:t>
            </w:r>
          </w:p>
        </w:tc>
      </w:tr>
      <w:tr>
        <w:tc>
          <w:tcPr>
            <w:tcW w:type="dxa" w:w="30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nombre_comercio</w:t>
            </w:r>
          </w:p>
        </w:tc>
        <w:tc>
          <w:tcPr>
            <w:tcW w:type="dxa" w:w="15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STRING</w:t>
            </w:r>
          </w:p>
        </w:tc>
        <w:tc>
          <w:tcPr>
            <w:tcW w:type="dxa" w:w="45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Nombre comercial plausible (ej: 'Doña Carmita Express')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segmento_comercial</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STRING</w:t>
            </w:r>
          </w:p>
        </w:tc>
        <w:tc>
          <w:tcPr>
            <w:tcW w:type="dxa" w:w="45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Micro / Pequeña / Mediana / Grande (según SRI)</w:t>
            </w:r>
          </w:p>
        </w:tc>
      </w:tr>
      <w:tr>
        <w:tc>
          <w:tcPr>
            <w:tcW w:type="dxa" w:w="30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tipo_negocio_ciiu</w:t>
            </w:r>
          </w:p>
        </w:tc>
        <w:tc>
          <w:tcPr>
            <w:tcW w:type="dxa" w:w="15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STRING</w:t>
            </w:r>
          </w:p>
        </w:tc>
        <w:tc>
          <w:tcPr>
            <w:tcW w:type="dxa" w:w="45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Código CIIU Rev.4 (ej: G4711.01)</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tipo_negocio_desc</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STRING</w:t>
            </w:r>
          </w:p>
        </w:tc>
        <w:tc>
          <w:tcPr>
            <w:tcW w:type="dxa" w:w="45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Descripción del sector</w:t>
            </w:r>
          </w:p>
        </w:tc>
      </w:tr>
      <w:tr>
        <w:tc>
          <w:tcPr>
            <w:tcW w:type="dxa" w:w="30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fecha_onboarding</w:t>
            </w:r>
          </w:p>
        </w:tc>
        <w:tc>
          <w:tcPr>
            <w:tcW w:type="dxa" w:w="15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DATE</w:t>
            </w:r>
          </w:p>
        </w:tc>
        <w:tc>
          <w:tcPr>
            <w:tcW w:type="dxa" w:w="45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Fecha de primera transacción en Deuna</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fecha_ultima_transaccion</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DATE</w:t>
            </w:r>
          </w:p>
        </w:tc>
        <w:tc>
          <w:tcPr>
            <w:tcW w:type="dxa" w:w="45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Fecha última actividad (cálculo directo de recencia)</w:t>
            </w:r>
          </w:p>
        </w:tc>
      </w:tr>
      <w:tr>
        <w:tc>
          <w:tcPr>
            <w:tcW w:type="dxa" w:w="30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region</w:t>
            </w:r>
          </w:p>
        </w:tc>
        <w:tc>
          <w:tcPr>
            <w:tcW w:type="dxa" w:w="15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STRING</w:t>
            </w:r>
          </w:p>
        </w:tc>
        <w:tc>
          <w:tcPr>
            <w:tcW w:type="dxa" w:w="45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Provincia (Pichincha, Guayas, Azuay, etc.)</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ciudad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STRING</w:t>
            </w:r>
          </w:p>
        </w:tc>
        <w:tc>
          <w:tcPr>
            <w:tcW w:type="dxa" w:w="45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Ciudad principal de la provincia</w:t>
            </w:r>
          </w:p>
        </w:tc>
      </w:tr>
      <w:tr>
        <w:tc>
          <w:tcPr>
            <w:tcW w:type="dxa" w:w="30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latitud</w:t>
            </w:r>
          </w:p>
        </w:tc>
        <w:tc>
          <w:tcPr>
            <w:tcW w:type="dxa" w:w="15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FLOAT</w:t>
            </w:r>
          </w:p>
        </w:tc>
        <w:tc>
          <w:tcPr>
            <w:tcW w:type="dxa" w:w="45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Coordenada para mapas de calor (con ruido)</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longitud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FLOAT</w:t>
            </w:r>
          </w:p>
        </w:tc>
        <w:tc>
          <w:tcPr>
            <w:tcW w:type="dxa" w:w="45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Coordenada para mapas de calor (con ruido)</w:t>
            </w:r>
          </w:p>
        </w:tc>
      </w:tr>
      <w:tr>
        <w:tc>
          <w:tcPr>
            <w:tcW w:type="dxa" w:w="30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ejecutivo_cuenta</w:t>
            </w:r>
          </w:p>
        </w:tc>
        <w:tc>
          <w:tcPr>
            <w:tcW w:type="dxa" w:w="15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STRING</w:t>
            </w:r>
          </w:p>
        </w:tc>
        <w:tc>
          <w:tcPr>
            <w:tcW w:type="dxa" w:w="45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KAM asignado o 'Auto-gestionado' para Micro</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abandono_30d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INTEGER</w:t>
            </w:r>
          </w:p>
        </w:tc>
        <w:tc>
          <w:tcPr>
            <w:tcW w:type="dxa" w:w="45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 Ground truth: 1 = abandona en próximos 30 días, 0 = activo</w:t>
            </w:r>
          </w:p>
        </w:tc>
      </w:tr>
    </w:tbl>
    <w:p>
      <w:pPr>
        <w:spacing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E74C3C" w:sz="16"/>
              <w:bottom w:val="single" w:color="BFBFBF" w:sz="4"/>
              <w:right w:val="single" w:color="BFBFBF" w:sz="4"/>
            </w:tcBorders>
            <w:shd w:fill="FDEBEB" w:color="auto" w:val="clear"/>
            <w:tcMar>
              <w:top w:type="dxa" w:w="160"/>
              <w:left w:type="dxa" w:w="200"/>
              <w:bottom w:type="dxa" w:w="160"/>
              <w:right w:type="dxa" w:w="200"/>
            </w:tcMar>
          </w:tcPr>
          <w:p>
            <w:pPr>
              <w:spacing w:after="100"/>
            </w:pPr>
            <w:r>
              <w:rPr>
                <w:rFonts w:ascii="Arial" w:cs="Arial" w:eastAsia="Arial" w:hAnsi="Arial"/>
                <w:b/>
                <w:bCs/>
                <w:color w:val="2D1B5E"/>
                <w:sz w:val="22"/>
                <w:szCs w:val="22"/>
              </w:rPr>
              <w:t xml:space="preserve">Variable oculta (no expuesta)</w:t>
            </w:r>
          </w:p>
          <w:p>
            <w:pPr>
              <w:spacing w:after="60"/>
            </w:pPr>
            <w:r>
              <w:rPr>
                <w:rFonts w:ascii="Arial" w:cs="Arial" w:eastAsia="Arial" w:hAnsi="Arial"/>
                <w:sz w:val="20"/>
                <w:szCs w:val="20"/>
              </w:rPr>
              <w:t xml:space="preserve">Internamente, el generador calcula una variable _salud_latente (float entre 0.01 y 0.99) que sirve como ancla generativa. Esta variable determina probabilísticamente quién abandona y condiciona las trayectorias temporales.</w:t>
            </w:r>
          </w:p>
          <w:p>
            <w:pPr>
              <w:spacing w:after="60"/>
            </w:pPr>
            <w:r>
              <w:rPr>
                <w:rFonts w:ascii="Arial" w:cs="Arial" w:eastAsia="Arial" w:hAnsi="Arial"/>
                <w:sz w:val="20"/>
                <w:szCs w:val="20"/>
              </w:rPr>
              <w:t xml:space="preserve">IMPORTANTE: esta columna nunca se guarda en el CSV final. El modelo solo ve las columnas de esta tabla y las features derivadas de las otras dos. Si apareciera como feature, el modelo tendría AUC = 1.0 trivialmente.</w:t>
            </w:r>
          </w:p>
        </w:tc>
      </w:tr>
    </w:tbl>
    <w:p>
      <w:pPr>
        <w:pStyle w:val="Heading2"/>
        <w:spacing w:after="140" w:before="300"/>
      </w:pPr>
      <w:r>
        <w:rPr>
          <w:rFonts w:ascii="Arial" w:cs="Arial" w:eastAsia="Arial" w:hAnsi="Arial"/>
          <w:b/>
          <w:bCs/>
          <w:color w:val="2D1B5E"/>
          <w:sz w:val="26"/>
          <w:szCs w:val="26"/>
        </w:rPr>
        <w:t xml:space="preserve">4.2 fact_performance_monthly.csv</w:t>
      </w:r>
    </w:p>
    <w:p>
      <w:pPr>
        <w:spacing w:after="100" w:before="0"/>
      </w:pPr>
      <w:r>
        <w:rPr>
          <w:rFonts w:ascii="Arial" w:cs="Arial" w:eastAsia="Arial" w:hAnsi="Arial"/>
          <w:i/>
          <w:iCs/>
          <w:sz w:val="22"/>
          <w:szCs w:val="22"/>
        </w:rPr>
        <w:t xml:space="preserve">Granularidad: una fila por (merchant_id, mes_reporte). Volumen: 22.399 filas.</w:t>
      </w:r>
    </w:p>
    <w:p>
      <w:pPr>
        <w:spacing w:after="160" w:before="0"/>
      </w:pPr>
      <w:r>
        <w:rPr>
          <w:rFonts w:ascii="Arial" w:cs="Arial" w:eastAsia="Arial" w:hAnsi="Arial"/>
          <w:sz w:val="22"/>
          <w:szCs w:val="22"/>
        </w:rPr>
        <w:t xml:space="preserve">Comercios que fueron dados de alta durante el período del dataset tienen menos de 12 meses de historia, por eso el total no es exactamente 24.000.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4426"/>
      </w:tblGrid>
      <w:tr>
        <w:trPr>
          <w:tblHeader/>
        </w:trPr>
        <w:tc>
          <w:tcPr>
            <w:tcW w:type="dxa" w:w="3100"/>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Campo</w:t>
            </w:r>
          </w:p>
        </w:tc>
        <w:tc>
          <w:tcPr>
            <w:tcW w:type="dxa" w:w="1500"/>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Tipo</w:t>
            </w:r>
          </w:p>
        </w:tc>
        <w:tc>
          <w:tcPr>
            <w:tcW w:type="dxa" w:w="4426"/>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Descripción</w:t>
            </w:r>
          </w:p>
        </w:tc>
      </w:tr>
      <w:tr>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merchant_id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STRING (FK)</w:t>
            </w:r>
          </w:p>
        </w:tc>
        <w:tc>
          <w:tcPr>
            <w:tcW w:type="dxa" w:w="4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Relación con dim_merchants</w:t>
            </w:r>
          </w:p>
        </w:tc>
      </w:tr>
      <w:tr>
        <w:tc>
          <w:tcPr>
            <w:tcW w:type="dxa" w:w="31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mes_reporte</w:t>
            </w:r>
          </w:p>
        </w:tc>
        <w:tc>
          <w:tcPr>
            <w:tcW w:type="dxa" w:w="15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DATE (PK)</w:t>
            </w:r>
          </w:p>
        </w:tc>
        <w:tc>
          <w:tcPr>
            <w:tcW w:type="dxa" w:w="44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Primer día del mes reportado (ej: 2025-12-01)</w:t>
            </w:r>
          </w:p>
        </w:tc>
      </w:tr>
      <w:tr>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tpv_mensual</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FLOAT</w:t>
            </w:r>
          </w:p>
        </w:tc>
        <w:tc>
          <w:tcPr>
            <w:tcW w:type="dxa" w:w="4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Total Payment Volume en USD</w:t>
            </w:r>
          </w:p>
        </w:tc>
      </w:tr>
      <w:tr>
        <w:tc>
          <w:tcPr>
            <w:tcW w:type="dxa" w:w="31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count_trx</w:t>
            </w:r>
          </w:p>
        </w:tc>
        <w:tc>
          <w:tcPr>
            <w:tcW w:type="dxa" w:w="15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INTEGER</w:t>
            </w:r>
          </w:p>
        </w:tc>
        <w:tc>
          <w:tcPr>
            <w:tcW w:type="dxa" w:w="44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Número total de transacciones exitosas del mes</w:t>
            </w:r>
          </w:p>
        </w:tc>
      </w:tr>
      <w:tr>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ticket_promedio</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FLOAT</w:t>
            </w:r>
          </w:p>
        </w:tc>
        <w:tc>
          <w:tcPr>
            <w:tcW w:type="dxa" w:w="4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TPV / count_trx</w:t>
            </w:r>
          </w:p>
        </w:tc>
      </w:tr>
      <w:tr>
        <w:tc>
          <w:tcPr>
            <w:tcW w:type="dxa" w:w="31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tasa_rechazo</w:t>
            </w:r>
          </w:p>
        </w:tc>
        <w:tc>
          <w:tcPr>
            <w:tcW w:type="dxa" w:w="15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FLOAT</w:t>
            </w:r>
          </w:p>
        </w:tc>
        <w:tc>
          <w:tcPr>
            <w:tcW w:type="dxa" w:w="44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 de transacciones rechazadas (0.00 a 0.30)</w:t>
            </w:r>
          </w:p>
        </w:tc>
      </w:tr>
      <w:tr>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dias_sin_transaccion_max</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INTEGER</w:t>
            </w:r>
          </w:p>
        </w:tc>
        <w:tc>
          <w:tcPr>
            <w:tcW w:type="dxa" w:w="4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Racha máxima de días consecutivos sin transaccionar</w:t>
            </w:r>
          </w:p>
        </w:tc>
      </w:tr>
      <w:tr>
        <w:tc>
          <w:tcPr>
            <w:tcW w:type="dxa" w:w="31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dias_desde_ultima_trx</w:t>
            </w:r>
          </w:p>
        </w:tc>
        <w:tc>
          <w:tcPr>
            <w:tcW w:type="dxa" w:w="15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INTEGER</w:t>
            </w:r>
          </w:p>
        </w:tc>
        <w:tc>
          <w:tcPr>
            <w:tcW w:type="dxa" w:w="44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Días entre última trx del mes y cierre del mes</w:t>
            </w:r>
          </w:p>
        </w:tc>
      </w:tr>
      <w:tr>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tickets_soporte_abiertos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INTEGER</w:t>
            </w:r>
          </w:p>
        </w:tc>
        <w:tc>
          <w:tcPr>
            <w:tcW w:type="dxa" w:w="4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Tickets abiertos en el mes (agregado de Tabla 4)</w:t>
            </w:r>
          </w:p>
        </w:tc>
      </w:tr>
      <w:tr>
        <w:tc>
          <w:tcPr>
            <w:tcW w:type="dxa" w:w="31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tickets_soporte_resueltos</w:t>
            </w:r>
          </w:p>
        </w:tc>
        <w:tc>
          <w:tcPr>
            <w:tcW w:type="dxa" w:w="15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INTEGER</w:t>
            </w:r>
          </w:p>
        </w:tc>
        <w:tc>
          <w:tcPr>
            <w:tcW w:type="dxa" w:w="44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Tickets cerrados satisfactoriamente en el mes</w:t>
            </w:r>
          </w:p>
        </w:tc>
      </w:tr>
      <w:tr>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tiempo_resolucion_prom_hrs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FLOAT</w:t>
            </w:r>
          </w:p>
        </w:tc>
        <w:tc>
          <w:tcPr>
            <w:tcW w:type="dxa" w:w="4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SLA promedio de tickets cerrados</w:t>
            </w:r>
          </w:p>
        </w:tc>
      </w:tr>
      <w:tr>
        <w:tc>
          <w:tcPr>
            <w:tcW w:type="dxa" w:w="31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severidad_prom_tickets</w:t>
            </w:r>
          </w:p>
        </w:tc>
        <w:tc>
          <w:tcPr>
            <w:tcW w:type="dxa" w:w="15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FLOAT</w:t>
            </w:r>
          </w:p>
        </w:tc>
        <w:tc>
          <w:tcPr>
            <w:tcW w:type="dxa" w:w="44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Severidad promedio (1-5) de tickets abiertos</w:t>
            </w:r>
          </w:p>
        </w:tc>
      </w:tr>
    </w:tbl>
    <w:p>
      <w:pPr>
        <w:pStyle w:val="Heading2"/>
        <w:spacing w:after="140" w:before="300"/>
      </w:pPr>
      <w:r>
        <w:rPr>
          <w:rFonts w:ascii="Arial" w:cs="Arial" w:eastAsia="Arial" w:hAnsi="Arial"/>
          <w:b/>
          <w:bCs/>
          <w:color w:val="2D1B5E"/>
          <w:sz w:val="26"/>
          <w:szCs w:val="26"/>
        </w:rPr>
        <w:t xml:space="preserve">4.3 fact_support_tickets.csv</w:t>
      </w:r>
    </w:p>
    <w:p>
      <w:pPr>
        <w:spacing w:after="100" w:before="0"/>
      </w:pPr>
      <w:r>
        <w:rPr>
          <w:rFonts w:ascii="Arial" w:cs="Arial" w:eastAsia="Arial" w:hAnsi="Arial"/>
          <w:i/>
          <w:iCs/>
          <w:sz w:val="22"/>
          <w:szCs w:val="22"/>
        </w:rPr>
        <w:t xml:space="preserve">Granularidad: una fila por ticket individual. Volumen: 9.942 filas.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rPr>
          <w:tblHeader/>
        </w:trPr>
        <w:tc>
          <w:tcPr>
            <w:tcW w:type="dxa" w:w="2800"/>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Campo</w:t>
            </w:r>
          </w:p>
        </w:tc>
        <w:tc>
          <w:tcPr>
            <w:tcW w:type="dxa" w:w="1800"/>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Tipo</w:t>
            </w:r>
          </w:p>
        </w:tc>
        <w:tc>
          <w:tcPr>
            <w:tcW w:type="dxa" w:w="4426"/>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Descripción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ticket_id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STRING (PK)</w:t>
            </w:r>
          </w:p>
        </w:tc>
        <w:tc>
          <w:tcPr>
            <w:tcW w:type="dxa" w:w="4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Identificador único. Formato: TKT-XXXXXXXXXX</w:t>
            </w:r>
          </w:p>
        </w:tc>
      </w:tr>
      <w:tr>
        <w:tc>
          <w:tcPr>
            <w:tcW w:type="dxa" w:w="28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merchant_id</w:t>
            </w:r>
          </w:p>
        </w:tc>
        <w:tc>
          <w:tcPr>
            <w:tcW w:type="dxa" w:w="18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STRING (FK)</w:t>
            </w:r>
          </w:p>
        </w:tc>
        <w:tc>
          <w:tcPr>
            <w:tcW w:type="dxa" w:w="44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Relación con dim_merchants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fecha_apertura</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DATETIME</w:t>
            </w:r>
          </w:p>
        </w:tc>
        <w:tc>
          <w:tcPr>
            <w:tcW w:type="dxa" w:w="4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Fecha y hora de apertura</w:t>
            </w:r>
          </w:p>
        </w:tc>
      </w:tr>
      <w:tr>
        <w:tc>
          <w:tcPr>
            <w:tcW w:type="dxa" w:w="28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fecha_cierre</w:t>
            </w:r>
          </w:p>
        </w:tc>
        <w:tc>
          <w:tcPr>
            <w:tcW w:type="dxa" w:w="18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DATETIME (nullable)</w:t>
            </w:r>
          </w:p>
        </w:tc>
        <w:tc>
          <w:tcPr>
            <w:tcW w:type="dxa" w:w="44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NULL si aún está abierto</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categoria</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STRING</w:t>
            </w:r>
          </w:p>
        </w:tc>
        <w:tc>
          <w:tcPr>
            <w:tcW w:type="dxa" w:w="4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pago_rechazado, liquidacion_demora, app_congelada, configuracion_qr, cierre_caja, facturacion_comisiones, consulta_general, problema_qr_fisico, roles_vendedor</w:t>
            </w:r>
          </w:p>
        </w:tc>
      </w:tr>
      <w:tr>
        <w:tc>
          <w:tcPr>
            <w:tcW w:type="dxa" w:w="28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severidad</w:t>
            </w:r>
          </w:p>
        </w:tc>
        <w:tc>
          <w:tcPr>
            <w:tcW w:type="dxa" w:w="18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INTEGER</w:t>
            </w:r>
          </w:p>
        </w:tc>
        <w:tc>
          <w:tcPr>
            <w:tcW w:type="dxa" w:w="44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Escala 1 (menor) a 5 (crítico)</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estado</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STRING</w:t>
            </w:r>
          </w:p>
        </w:tc>
        <w:tc>
          <w:tcPr>
            <w:tcW w:type="dxa" w:w="4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abierto, en_proceso, resuelto, escalado</w:t>
            </w:r>
          </w:p>
        </w:tc>
      </w:tr>
      <w:tr>
        <w:tc>
          <w:tcPr>
            <w:tcW w:type="dxa" w:w="28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tiempo_resolucion_hrs</w:t>
            </w:r>
          </w:p>
        </w:tc>
        <w:tc>
          <w:tcPr>
            <w:tcW w:type="dxa" w:w="18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FLOAT (nullable)</w:t>
            </w:r>
          </w:p>
        </w:tc>
        <w:tc>
          <w:tcPr>
            <w:tcW w:type="dxa" w:w="44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Solo para estado = 'resuelto'</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satisfaccion_post_cierre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INTEGER (nullable)</w:t>
            </w:r>
          </w:p>
        </w:tc>
        <w:tc>
          <w:tcPr>
            <w:tcW w:type="dxa" w:w="44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Score 1-5. Solo ~60% de resueltos responden encuesta</w:t>
            </w:r>
          </w:p>
        </w:tc>
      </w:tr>
    </w:tbl>
    <w:p>
      <w:pPr>
        <w:spacing w:before="200"/>
      </w:pPr>
      <w:r>
        <w:t xml:space="preserve"/>
      </w:r>
    </w:p>
    <w:p>
      <w:pPr>
        <w:pStyle w:val="Heading3"/>
        <w:spacing w:after="100" w:before="240"/>
      </w:pPr>
      <w:r>
        <w:rPr>
          <w:rFonts w:ascii="Arial" w:cs="Arial" w:eastAsia="Arial" w:hAnsi="Arial"/>
          <w:b/>
          <w:bCs/>
          <w:color w:val="3D2B7E"/>
          <w:sz w:val="22"/>
          <w:szCs w:val="22"/>
        </w:rPr>
        <w:t xml:space="preserve">Distribución de categorías</w:t>
      </w:r>
    </w:p>
    <w:p>
      <w:pPr>
        <w:spacing w:after="100" w:before="0"/>
      </w:pPr>
      <w:r>
        <w:rPr>
          <w:rFonts w:ascii="Arial" w:cs="Arial" w:eastAsia="Arial" w:hAnsi="Arial"/>
          <w:sz w:val="22"/>
          <w:szCs w:val="22"/>
        </w:rPr>
        <w:t xml:space="preserve">Los pesos reflejan patrones reales de soporte en plataformas de pagos QR: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226"/>
      </w:tblGrid>
      <w:tr>
        <w:trPr>
          <w:tblHeader/>
        </w:trPr>
        <w:tc>
          <w:tcPr>
            <w:tcW w:type="dxa" w:w="2800"/>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Categoría</w:t>
            </w:r>
          </w:p>
        </w:tc>
        <w:tc>
          <w:tcPr>
            <w:tcW w:type="dxa" w:w="1000"/>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Peso</w:t>
            </w:r>
          </w:p>
        </w:tc>
        <w:tc>
          <w:tcPr>
            <w:tcW w:type="dxa" w:w="5226"/>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Descripción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pago_rechazado</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25%</w:t>
            </w:r>
          </w:p>
        </w:tc>
        <w:tc>
          <w:tcPr>
            <w:tcW w:type="dxa" w:w="5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Saldo insuficiente, error técnico en la transacción</w:t>
            </w:r>
          </w:p>
        </w:tc>
      </w:tr>
      <w:tr>
        <w:tc>
          <w:tcPr>
            <w:tcW w:type="dxa" w:w="28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liquidacion_demora</w:t>
            </w:r>
          </w:p>
        </w:tc>
        <w:tc>
          <w:tcPr>
            <w:tcW w:type="dxa" w:w="10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18%</w:t>
            </w:r>
          </w:p>
        </w:tc>
        <w:tc>
          <w:tcPr>
            <w:tcW w:type="dxa" w:w="52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"No veo el dinero en mi cuenta" — crítico para flujo de caja</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app_congelada</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15%</w:t>
            </w:r>
          </w:p>
        </w:tc>
        <w:tc>
          <w:tcPr>
            <w:tcW w:type="dxa" w:w="5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Crashes, timeouts, problemas de conectividad</w:t>
            </w:r>
          </w:p>
        </w:tc>
      </w:tr>
      <w:tr>
        <w:tc>
          <w:tcPr>
            <w:tcW w:type="dxa" w:w="28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configuracion_qr</w:t>
            </w:r>
          </w:p>
        </w:tc>
        <w:tc>
          <w:tcPr>
            <w:tcW w:type="dxa" w:w="10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10%</w:t>
            </w:r>
          </w:p>
        </w:tc>
        <w:tc>
          <w:tcPr>
            <w:tcW w:type="dxa" w:w="52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Problemas de setup inicial o reconfiguración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cierre_caja</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8%</w:t>
            </w:r>
          </w:p>
        </w:tc>
        <w:tc>
          <w:tcPr>
            <w:tcW w:type="dxa" w:w="5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Problemas con reportería diaria de ventas</w:t>
            </w:r>
          </w:p>
        </w:tc>
      </w:tr>
      <w:tr>
        <w:tc>
          <w:tcPr>
            <w:tcW w:type="dxa" w:w="28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facturacion_comisiones</w:t>
            </w:r>
          </w:p>
        </w:tc>
        <w:tc>
          <w:tcPr>
            <w:tcW w:type="dxa" w:w="10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7%</w:t>
            </w:r>
          </w:p>
        </w:tc>
        <w:tc>
          <w:tcPr>
            <w:tcW w:type="dxa" w:w="52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Disputas sobre cobros o comisiones aplicadas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consulta_general</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7%</w:t>
            </w:r>
          </w:p>
        </w:tc>
        <w:tc>
          <w:tcPr>
            <w:tcW w:type="dxa" w:w="5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Preguntas de uso, funcionalidades</w:t>
            </w:r>
          </w:p>
        </w:tc>
      </w:tr>
      <w:tr>
        <w:tc>
          <w:tcPr>
            <w:tcW w:type="dxa" w:w="28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problema_qr_fisico</w:t>
            </w:r>
          </w:p>
        </w:tc>
        <w:tc>
          <w:tcPr>
            <w:tcW w:type="dxa" w:w="10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5%</w:t>
            </w:r>
          </w:p>
        </w:tc>
        <w:tc>
          <w:tcPr>
            <w:tcW w:type="dxa" w:w="52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QR impreso dañado, necesita reimpresión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roles_vendedor</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5%</w:t>
            </w:r>
          </w:p>
        </w:tc>
        <w:tc>
          <w:tcPr>
            <w:tcW w:type="dxa" w:w="5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Problemas con perfiles de vendedores</w:t>
            </w:r>
          </w:p>
        </w:tc>
      </w:tr>
    </w:tbl>
    <w:p>
      <w:pPr>
        <w:pStyle w:val="Heading1"/>
        <w:pageBreakBefore/>
        <w:spacing w:after="180" w:before="360"/>
      </w:pPr>
      <w:r>
        <w:rPr>
          <w:rFonts w:ascii="Arial" w:cs="Arial" w:eastAsia="Arial" w:hAnsi="Arial"/>
          <w:b/>
          <w:bCs/>
          <w:color w:val="2D1B5E"/>
          <w:sz w:val="32"/>
          <w:szCs w:val="32"/>
        </w:rPr>
        <w:t xml:space="preserve">5. Detalle de los scripts Python</w:t>
      </w:r>
    </w:p>
    <w:p>
      <w:pPr>
        <w:pStyle w:val="Heading2"/>
        <w:spacing w:after="140" w:before="300"/>
      </w:pPr>
      <w:r>
        <w:rPr>
          <w:rFonts w:ascii="Arial" w:cs="Arial" w:eastAsia="Arial" w:hAnsi="Arial"/>
          <w:b/>
          <w:bCs/>
          <w:color w:val="2D1B5E"/>
          <w:sz w:val="26"/>
          <w:szCs w:val="26"/>
        </w:rPr>
        <w:t xml:space="preserve">5.1 generar_dim_merchants.py</w:t>
      </w:r>
    </w:p>
    <w:p>
      <w:pPr>
        <w:spacing w:after="100" w:before="0"/>
      </w:pPr>
      <w:r>
        <w:rPr>
          <w:rFonts w:ascii="Arial" w:cs="Arial" w:eastAsia="Arial" w:hAnsi="Arial"/>
          <w:b/>
          <w:bCs/>
          <w:sz w:val="22"/>
          <w:szCs w:val="22"/>
        </w:rPr>
        <w:t xml:space="preserve">Entrada: ninguna (genera desde cero).</w:t>
      </w:r>
    </w:p>
    <w:p>
      <w:pPr>
        <w:spacing w:after="160" w:before="0"/>
      </w:pPr>
      <w:r>
        <w:rPr>
          <w:rFonts w:ascii="Arial" w:cs="Arial" w:eastAsia="Arial" w:hAnsi="Arial"/>
          <w:b/>
          <w:bCs/>
          <w:sz w:val="22"/>
          <w:szCs w:val="22"/>
        </w:rPr>
        <w:t xml:space="preserve">Salida: dim_merchants.csv + dim_merchants.parquet</w:t>
      </w:r>
    </w:p>
    <w:p>
      <w:pPr>
        <w:pStyle w:val="Heading3"/>
        <w:spacing w:after="100" w:before="240"/>
      </w:pPr>
      <w:r>
        <w:rPr>
          <w:rFonts w:ascii="Arial" w:cs="Arial" w:eastAsia="Arial" w:hAnsi="Arial"/>
          <w:b/>
          <w:bCs/>
          <w:color w:val="3D2B7E"/>
          <w:sz w:val="22"/>
          <w:szCs w:val="22"/>
        </w:rPr>
        <w:t xml:space="preserve">Lógica principal</w:t>
      </w:r>
    </w:p>
    <w:p>
      <w:pPr>
        <w:pStyle w:val="ListParagraph"/>
        <w:numPr>
          <w:ilvl w:val="0"/>
          <w:numId w:val="2"/>
        </w:numPr>
        <w:spacing w:after="60"/>
      </w:pPr>
      <w:r>
        <w:rPr>
          <w:rFonts w:ascii="Arial" w:cs="Arial" w:eastAsia="Arial" w:hAnsi="Arial"/>
          <w:b/>
          <w:bCs/>
          <w:sz w:val="22"/>
          <w:szCs w:val="22"/>
        </w:rPr>
        <w:t xml:space="preserve">Semilla: </w:t>
      </w:r>
      <w:r>
        <w:rPr>
          <w:rFonts w:ascii="Arial" w:cs="Arial" w:eastAsia="Arial" w:hAnsi="Arial"/>
          <w:sz w:val="22"/>
          <w:szCs w:val="22"/>
        </w:rPr>
        <w:t xml:space="preserve">Fija la semilla aleatoria (SEED=42) para reproducibilidad total.</w:t>
      </w:r>
    </w:p>
    <w:p>
      <w:pPr>
        <w:pStyle w:val="ListParagraph"/>
        <w:numPr>
          <w:ilvl w:val="0"/>
          <w:numId w:val="2"/>
        </w:numPr>
        <w:spacing w:after="60"/>
      </w:pPr>
      <w:r>
        <w:rPr>
          <w:rFonts w:ascii="Arial" w:cs="Arial" w:eastAsia="Arial" w:hAnsi="Arial"/>
          <w:b/>
          <w:bCs/>
          <w:sz w:val="22"/>
          <w:szCs w:val="22"/>
        </w:rPr>
        <w:t xml:space="preserve">Catálogos: </w:t>
      </w:r>
      <w:r>
        <w:rPr>
          <w:rFonts w:ascii="Arial" w:cs="Arial" w:eastAsia="Arial" w:hAnsi="Arial"/>
          <w:sz w:val="22"/>
          <w:szCs w:val="22"/>
        </w:rPr>
        <w:t xml:space="preserve">Declara catálogos de regiones, tipos CIIU, segmentos y ejecutivos con pesos calibrados.</w:t>
      </w:r>
    </w:p>
    <w:p>
      <w:pPr>
        <w:pStyle w:val="ListParagraph"/>
        <w:numPr>
          <w:ilvl w:val="0"/>
          <w:numId w:val="2"/>
        </w:numPr>
        <w:spacing w:after="60"/>
      </w:pPr>
      <w:r>
        <w:rPr>
          <w:rFonts w:ascii="Arial" w:cs="Arial" w:eastAsia="Arial" w:hAnsi="Arial"/>
          <w:b/>
          <w:bCs/>
          <w:sz w:val="22"/>
          <w:szCs w:val="22"/>
        </w:rPr>
        <w:t xml:space="preserve">Síntesis: </w:t>
      </w:r>
      <w:r>
        <w:rPr>
          <w:rFonts w:ascii="Arial" w:cs="Arial" w:eastAsia="Arial" w:hAnsi="Arial"/>
          <w:sz w:val="22"/>
          <w:szCs w:val="22"/>
        </w:rPr>
        <w:t xml:space="preserve">Para cada comercio muestrea región → segmento (condicionado a región) → CIIU → coordenadas con ruido → fecha_onboarding (sesgada a años recientes) → ejecutivo.</w:t>
      </w:r>
    </w:p>
    <w:p>
      <w:pPr>
        <w:pStyle w:val="ListParagraph"/>
        <w:numPr>
          <w:ilvl w:val="0"/>
          <w:numId w:val="2"/>
        </w:numPr>
        <w:spacing w:after="60"/>
      </w:pPr>
      <w:r>
        <w:rPr>
          <w:rFonts w:ascii="Arial" w:cs="Arial" w:eastAsia="Arial" w:hAnsi="Arial"/>
          <w:b/>
          <w:bCs/>
          <w:sz w:val="22"/>
          <w:szCs w:val="22"/>
        </w:rPr>
        <w:t xml:space="preserve">Nombres: </w:t>
      </w:r>
      <w:r>
        <w:rPr>
          <w:rFonts w:ascii="Arial" w:cs="Arial" w:eastAsia="Arial" w:hAnsi="Arial"/>
          <w:sz w:val="22"/>
          <w:szCs w:val="22"/>
        </w:rPr>
        <w:t xml:space="preserve">Aplica funciones específicas para nombres de comercio (sabor local: 'Don', 'Doña', 'Tía', etc.).</w:t>
      </w:r>
    </w:p>
    <w:p>
      <w:pPr>
        <w:pStyle w:val="ListParagraph"/>
        <w:numPr>
          <w:ilvl w:val="0"/>
          <w:numId w:val="2"/>
        </w:numPr>
        <w:spacing w:after="60"/>
      </w:pPr>
      <w:r>
        <w:rPr>
          <w:rFonts w:ascii="Arial" w:cs="Arial" w:eastAsia="Arial" w:hAnsi="Arial"/>
          <w:b/>
          <w:bCs/>
          <w:sz w:val="22"/>
          <w:szCs w:val="22"/>
        </w:rPr>
        <w:t xml:space="preserve">Correlaciones: </w:t>
      </w:r>
      <w:r>
        <w:rPr>
          <w:rFonts w:ascii="Arial" w:cs="Arial" w:eastAsia="Arial" w:hAnsi="Arial"/>
          <w:sz w:val="22"/>
          <w:szCs w:val="22"/>
        </w:rPr>
        <w:t xml:space="preserve">Correlación entre segmento y región: Pichincha/Guayas tienen más comercios medianos/grandes; provincias amazónicas son casi 100% Micro.</w:t>
      </w:r>
    </w:p>
    <w:p>
      <w:pPr>
        <w:pStyle w:val="Heading3"/>
        <w:spacing w:after="100" w:before="240"/>
      </w:pPr>
      <w:r>
        <w:rPr>
          <w:rFonts w:ascii="Arial" w:cs="Arial" w:eastAsia="Arial" w:hAnsi="Arial"/>
          <w:b/>
          <w:bCs/>
          <w:color w:val="3D2B7E"/>
          <w:sz w:val="22"/>
          <w:szCs w:val="22"/>
        </w:rPr>
        <w:t xml:space="preserve">Funciones clave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00D4A6" w:sz="12"/>
              <w:bottom w:val="single" w:color="CCCCCC" w:sz="4"/>
              <w:right w:val="single" w:color="CCCCCC" w:sz="4"/>
            </w:tcBorders>
            <w:shd w:fill="F4F4F4" w:color="auto" w:val="clear"/>
            <w:tcMar>
              <w:top w:type="dxa" w:w="120"/>
              <w:left w:type="dxa" w:w="180"/>
              <w:bottom w:type="dxa" w:w="120"/>
              <w:right w:type="dxa" w:w="180"/>
            </w:tcMar>
          </w:tcPr>
          <w:p>
            <w:pPr>
              <w:spacing w:after="0"/>
            </w:pPr>
            <w:r>
              <w:rPr>
                <w:rFonts w:ascii="Courier New" w:cs="Courier New" w:eastAsia="Courier New" w:hAnsi="Courier New"/>
                <w:color w:val="333333"/>
                <w:sz w:val="18"/>
                <w:szCs w:val="18"/>
              </w:rPr>
              <w:t xml:space="preserve">generar_merchant_id(i)             # Hash determinístico → DEU-XXXXXXXX</w:t>
            </w:r>
          </w:p>
          <w:p>
            <w:pPr>
              <w:spacing w:after="0"/>
            </w:pPr>
            <w:r>
              <w:rPr>
                <w:rFonts w:ascii="Courier New" w:cs="Courier New" w:eastAsia="Courier New" w:hAnsi="Courier New"/>
                <w:color w:val="333333"/>
                <w:sz w:val="18"/>
                <w:szCs w:val="18"/>
              </w:rPr>
              <w:t xml:space="preserve">generar_nombre_comercio(tipo, i)   # Nombre plausible local</w:t>
            </w:r>
          </w:p>
          <w:p>
            <w:pPr>
              <w:spacing w:after="0"/>
            </w:pPr>
            <w:r>
              <w:rPr>
                <w:rFonts w:ascii="Courier New" w:cs="Courier New" w:eastAsia="Courier New" w:hAnsi="Courier New"/>
                <w:color w:val="333333"/>
                <w:sz w:val="18"/>
                <w:szCs w:val="18"/>
              </w:rPr>
              <w:t xml:space="preserve">asignar_segmento_con_correlacion(region)</w:t>
            </w:r>
          </w:p>
          <w:p>
            <w:pPr>
              <w:spacing w:after="0"/>
            </w:pPr>
            <w:r>
              <w:rPr>
                <w:rFonts w:ascii="Courier New" w:cs="Courier New" w:eastAsia="Courier New" w:hAnsi="Courier New"/>
                <w:color w:val="333333"/>
                <w:sz w:val="18"/>
                <w:szCs w:val="18"/>
              </w:rPr>
              <w:t xml:space="preserve">asignar_fecha_onboarding()          # Sesgada a 2023-2024</w:t>
            </w:r>
          </w:p>
          <w:p>
            <w:pPr>
              <w:spacing w:after="0"/>
            </w:pPr>
            <w:r>
              <w:rPr>
                <w:rFonts w:ascii="Courier New" w:cs="Courier New" w:eastAsia="Courier New" w:hAnsi="Courier New"/>
                <w:color w:val="333333"/>
                <w:sz w:val="18"/>
                <w:szCs w:val="18"/>
              </w:rPr>
              <w:t xml:space="preserve">ruido_geografico(lat, lon, segmento)</w:t>
            </w:r>
          </w:p>
          <w:p>
            <w:pPr>
              <w:spacing w:after="0"/>
            </w:pPr>
            <w:r>
              <w:rPr>
                <w:rFonts w:ascii="Courier New" w:cs="Courier New" w:eastAsia="Courier New" w:hAnsi="Courier New"/>
                <w:color w:val="333333"/>
                <w:sz w:val="18"/>
                <w:szCs w:val="18"/>
              </w:rPr>
              <w:t xml:space="preserve">generar_dim_merchants(n=2000)       # Orquesta todo</w:t>
            </w:r>
          </w:p>
          <w:p>
            <w:pPr>
              <w:spacing w:after="0"/>
            </w:pPr>
            <w:r>
              <w:rPr>
                <w:rFonts w:ascii="Courier New" w:cs="Courier New" w:eastAsia="Courier New" w:hAnsi="Courier New"/>
                <w:color w:val="333333"/>
                <w:sz w:val="18"/>
                <w:szCs w:val="18"/>
              </w:rPr>
              <w:t xml:space="preserve">validar_dataset(df)                 # Reporte de sanidad</w:t>
            </w:r>
          </w:p>
        </w:tc>
      </w:tr>
    </w:tbl>
    <w:p>
      <w:pPr>
        <w:pStyle w:val="Heading2"/>
        <w:spacing w:after="140" w:before="300"/>
      </w:pPr>
      <w:r>
        <w:rPr>
          <w:rFonts w:ascii="Arial" w:cs="Arial" w:eastAsia="Arial" w:hAnsi="Arial"/>
          <w:b/>
          <w:bCs/>
          <w:color w:val="2D1B5E"/>
          <w:sz w:val="26"/>
          <w:szCs w:val="26"/>
        </w:rPr>
        <w:t xml:space="preserve">5.2 generar_fact_performance.py</w:t>
      </w:r>
    </w:p>
    <w:p>
      <w:pPr>
        <w:spacing w:after="100" w:before="0"/>
      </w:pPr>
      <w:r>
        <w:rPr>
          <w:rFonts w:ascii="Arial" w:cs="Arial" w:eastAsia="Arial" w:hAnsi="Arial"/>
          <w:b/>
          <w:bCs/>
          <w:sz w:val="22"/>
          <w:szCs w:val="22"/>
        </w:rPr>
        <w:t xml:space="preserve">Entrada: dim_merchants.csv (Tabla 1).</w:t>
      </w:r>
    </w:p>
    <w:p>
      <w:pPr>
        <w:spacing w:after="160" w:before="0"/>
      </w:pPr>
      <w:r>
        <w:rPr>
          <w:rFonts w:ascii="Arial" w:cs="Arial" w:eastAsia="Arial" w:hAnsi="Arial"/>
          <w:b/>
          <w:bCs/>
          <w:sz w:val="22"/>
          <w:szCs w:val="22"/>
        </w:rPr>
        <w:t xml:space="preserve">Salida: fact_performance_monthly.csv + dim_merchants_con_abandono.csv (actualizada con etiqueta).</w:t>
      </w:r>
    </w:p>
    <w:p>
      <w:pPr>
        <w:pStyle w:val="Heading3"/>
        <w:spacing w:after="100" w:before="240"/>
      </w:pPr>
      <w:r>
        <w:rPr>
          <w:rFonts w:ascii="Arial" w:cs="Arial" w:eastAsia="Arial" w:hAnsi="Arial"/>
          <w:b/>
          <w:bCs/>
          <w:color w:val="3D2B7E"/>
          <w:sz w:val="22"/>
          <w:szCs w:val="22"/>
        </w:rPr>
        <w:t xml:space="preserve">Lógica principal</w:t>
      </w:r>
    </w:p>
    <w:p>
      <w:pPr>
        <w:pStyle w:val="ListParagraph"/>
        <w:numPr>
          <w:ilvl w:val="0"/>
          <w:numId w:val="2"/>
        </w:numPr>
        <w:spacing w:after="60"/>
      </w:pPr>
      <w:r>
        <w:rPr>
          <w:rFonts w:ascii="Arial" w:cs="Arial" w:eastAsia="Arial" w:hAnsi="Arial"/>
          <w:b/>
          <w:bCs/>
          <w:sz w:val="22"/>
          <w:szCs w:val="22"/>
        </w:rPr>
        <w:t xml:space="preserve">Salud latente: </w:t>
      </w:r>
      <w:r>
        <w:rPr>
          <w:rFonts w:ascii="Arial" w:cs="Arial" w:eastAsia="Arial" w:hAnsi="Arial"/>
          <w:sz w:val="22"/>
          <w:szCs w:val="22"/>
        </w:rPr>
        <w:t xml:space="preserve">Calcula la variable oculta _salud_latente para cada comercio usando tenure, región, segmento y tipo de negocio.</w:t>
      </w:r>
    </w:p>
    <w:p>
      <w:pPr>
        <w:pStyle w:val="ListParagraph"/>
        <w:numPr>
          <w:ilvl w:val="0"/>
          <w:numId w:val="2"/>
        </w:numPr>
        <w:spacing w:after="60"/>
      </w:pPr>
      <w:r>
        <w:rPr>
          <w:rFonts w:ascii="Arial" w:cs="Arial" w:eastAsia="Arial" w:hAnsi="Arial"/>
          <w:b/>
          <w:bCs/>
          <w:sz w:val="22"/>
          <w:szCs w:val="22"/>
        </w:rPr>
        <w:t xml:space="preserve">Ground truth: </w:t>
      </w:r>
      <w:r>
        <w:rPr>
          <w:rFonts w:ascii="Arial" w:cs="Arial" w:eastAsia="Arial" w:hAnsi="Arial"/>
          <w:sz w:val="22"/>
          <w:szCs w:val="22"/>
        </w:rPr>
        <w:t xml:space="preserve">Selecciona el 13% de los comercios con menor salud como churners (tasa objetivo del reto).</w:t>
      </w:r>
    </w:p>
    <w:p>
      <w:pPr>
        <w:pStyle w:val="ListParagraph"/>
        <w:numPr>
          <w:ilvl w:val="0"/>
          <w:numId w:val="2"/>
        </w:numPr>
        <w:spacing w:after="60"/>
      </w:pPr>
      <w:r>
        <w:rPr>
          <w:rFonts w:ascii="Arial" w:cs="Arial" w:eastAsia="Arial" w:hAnsi="Arial"/>
          <w:b/>
          <w:bCs/>
          <w:sz w:val="22"/>
          <w:szCs w:val="22"/>
        </w:rPr>
        <w:t xml:space="preserve">Series temporales: </w:t>
      </w:r>
      <w:r>
        <w:rPr>
          <w:rFonts w:ascii="Arial" w:cs="Arial" w:eastAsia="Arial" w:hAnsi="Arial"/>
          <w:sz w:val="22"/>
          <w:szCs w:val="22"/>
        </w:rPr>
        <w:t xml:space="preserve">Para cada comercio, genera 12 meses de historia aplicando distinta lógica según sea churner o sano.</w:t>
      </w:r>
    </w:p>
    <w:p>
      <w:pPr>
        <w:pStyle w:val="Heading3"/>
        <w:spacing w:after="100" w:before="240"/>
      </w:pPr>
      <w:r>
        <w:rPr>
          <w:rFonts w:ascii="Arial" w:cs="Arial" w:eastAsia="Arial" w:hAnsi="Arial"/>
          <w:b/>
          <w:bCs/>
          <w:color w:val="3D2B7E"/>
          <w:sz w:val="22"/>
          <w:szCs w:val="22"/>
        </w:rPr>
        <w:t xml:space="preserve">Lógica de trayectorias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00D4A6" w:sz="16"/>
              <w:bottom w:val="single" w:color="BFBFBF" w:sz="4"/>
              <w:right w:val="single" w:color="BFBFBF" w:sz="4"/>
            </w:tcBorders>
            <w:shd w:fill="E8F5E9" w:color="auto" w:val="clear"/>
            <w:tcMar>
              <w:top w:type="dxa" w:w="160"/>
              <w:left w:type="dxa" w:w="200"/>
              <w:bottom w:type="dxa" w:w="160"/>
              <w:right w:type="dxa" w:w="200"/>
            </w:tcMar>
          </w:tcPr>
          <w:p>
            <w:pPr>
              <w:spacing w:after="100"/>
            </w:pPr>
            <w:r>
              <w:rPr>
                <w:rFonts w:ascii="Arial" w:cs="Arial" w:eastAsia="Arial" w:hAnsi="Arial"/>
                <w:b/>
                <w:bCs/>
                <w:color w:val="2D1B5E"/>
                <w:sz w:val="22"/>
                <w:szCs w:val="22"/>
              </w:rPr>
              <w:t xml:space="preserve">Comercio sano (87% del dataset)</w:t>
            </w:r>
          </w:p>
          <w:p>
            <w:pPr>
              <w:spacing w:after="60"/>
            </w:pPr>
            <w:r>
              <w:rPr>
                <w:rFonts w:ascii="Arial" w:cs="Arial" w:eastAsia="Arial" w:hAnsi="Arial"/>
                <w:sz w:val="20"/>
                <w:szCs w:val="20"/>
              </w:rPr>
              <w:t xml:space="preserve">Línea base por segmento: Micro ~180 trx/mes, Pequeña ~650, Mediana ~2.500, Grande ~8.000.</w:t>
            </w:r>
          </w:p>
          <w:p>
            <w:pPr>
              <w:spacing w:after="60"/>
            </w:pPr>
            <w:r>
              <w:rPr>
                <w:rFonts w:ascii="Arial" w:cs="Arial" w:eastAsia="Arial" w:hAnsi="Arial"/>
                <w:sz w:val="20"/>
                <w:szCs w:val="20"/>
              </w:rPr>
              <w:t xml:space="preserve">Multiplicador estacional aplicado mes a mes (diciembre +43%, enero -20%, etc.).</w:t>
            </w:r>
          </w:p>
          <w:p>
            <w:pPr>
              <w:spacing w:after="60"/>
            </w:pPr>
            <w:r>
              <w:rPr>
                <w:rFonts w:ascii="Arial" w:cs="Arial" w:eastAsia="Arial" w:hAnsi="Arial"/>
                <w:sz w:val="20"/>
                <w:szCs w:val="20"/>
              </w:rPr>
              <w:t xml:space="preserve">Tendencia ligera de crecimiento (1-10% mensual) dependiendo del tenure del comercio.</w:t>
            </w:r>
          </w:p>
          <w:p>
            <w:pPr>
              <w:spacing w:after="60"/>
            </w:pPr>
            <w:r>
              <w:rPr>
                <w:rFonts w:ascii="Arial" w:cs="Arial" w:eastAsia="Arial" w:hAnsi="Arial"/>
                <w:sz w:val="20"/>
                <w:szCs w:val="20"/>
              </w:rPr>
              <w:t xml:space="preserve">Ruido multiplicativo lognormal (sigma ~0.18) para variación natural.</w:t>
            </w:r>
          </w:p>
          <w:p>
            <w:pPr>
              <w:spacing w:after="60"/>
            </w:pPr>
            <w:r>
              <w:rPr>
                <w:rFonts w:ascii="Arial" w:cs="Arial" w:eastAsia="Arial" w:hAnsi="Arial"/>
                <w:sz w:val="20"/>
                <w:szCs w:val="20"/>
              </w:rPr>
              <w:t xml:space="preserve">Tasa de rechazo baja (beta(2,50), media ~4%). Tickets de soporte raros (Poisson λ=0.2).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E74C3C" w:sz="16"/>
              <w:bottom w:val="single" w:color="BFBFBF" w:sz="4"/>
              <w:right w:val="single" w:color="BFBFBF" w:sz="4"/>
            </w:tcBorders>
            <w:shd w:fill="FDEBEB" w:color="auto" w:val="clear"/>
            <w:tcMar>
              <w:top w:type="dxa" w:w="160"/>
              <w:left w:type="dxa" w:w="200"/>
              <w:bottom w:type="dxa" w:w="160"/>
              <w:right w:type="dxa" w:w="200"/>
            </w:tcMar>
          </w:tcPr>
          <w:p>
            <w:pPr>
              <w:spacing w:after="100"/>
            </w:pPr>
            <w:r>
              <w:rPr>
                <w:rFonts w:ascii="Arial" w:cs="Arial" w:eastAsia="Arial" w:hAnsi="Arial"/>
                <w:b/>
                <w:bCs/>
                <w:color w:val="2D1B5E"/>
                <w:sz w:val="22"/>
                <w:szCs w:val="22"/>
              </w:rPr>
              <w:t xml:space="preserve">Comercio churner (13% del dataset)</w:t>
            </w:r>
          </w:p>
          <w:p>
            <w:pPr>
              <w:spacing w:after="60"/>
            </w:pPr>
            <w:r>
              <w:rPr>
                <w:rFonts w:ascii="Arial" w:cs="Arial" w:eastAsia="Arial" w:hAnsi="Arial"/>
                <w:sz w:val="20"/>
                <w:szCs w:val="20"/>
              </w:rPr>
              <w:t xml:space="preserve">Fase 1 (meses 1 a N-5): comportamiento similar al sano, estacionalidad normal.</w:t>
            </w:r>
          </w:p>
          <w:p>
            <w:pPr>
              <w:spacing w:after="60"/>
            </w:pPr>
            <w:r>
              <w:rPr>
                <w:rFonts w:ascii="Arial" w:cs="Arial" w:eastAsia="Arial" w:hAnsi="Arial"/>
                <w:sz w:val="20"/>
                <w:szCs w:val="20"/>
              </w:rPr>
              <w:t xml:space="preserve">Fase 2 (últimos 3-5 meses): decaimiento exponencial del count_trx con factor 0.4-0.7 mensual.</w:t>
            </w:r>
          </w:p>
          <w:p>
            <w:pPr>
              <w:spacing w:after="60"/>
            </w:pPr>
            <w:r>
              <w:rPr>
                <w:rFonts w:ascii="Arial" w:cs="Arial" w:eastAsia="Arial" w:hAnsi="Arial"/>
                <w:sz w:val="20"/>
                <w:szCs w:val="20"/>
              </w:rPr>
              <w:t xml:space="preserve">Tasa de rechazo sube progresivamente hasta 20-25%.</w:t>
            </w:r>
          </w:p>
          <w:p>
            <w:pPr>
              <w:spacing w:after="60"/>
            </w:pPr>
            <w:r>
              <w:rPr>
                <w:rFonts w:ascii="Arial" w:cs="Arial" w:eastAsia="Arial" w:hAnsi="Arial"/>
                <w:sz w:val="20"/>
                <w:szCs w:val="20"/>
              </w:rPr>
              <w:t xml:space="preserve">Picos de tickets de soporte (Poisson λ=3-5) seguidos de silencio final (ya se resignan).</w:t>
            </w:r>
          </w:p>
          <w:p>
            <w:pPr>
              <w:spacing w:after="60"/>
            </w:pPr>
            <w:r>
              <w:rPr>
                <w:rFonts w:ascii="Arial" w:cs="Arial" w:eastAsia="Arial" w:hAnsi="Arial"/>
                <w:sz w:val="20"/>
                <w:szCs w:val="20"/>
              </w:rPr>
              <w:t xml:space="preserve">Los tickets finales tienen severidad mayor y tiempos de resolución más largos.</w:t>
            </w:r>
          </w:p>
          <w:p>
            <w:pPr>
              <w:spacing w:after="60"/>
            </w:pPr>
            <w:r>
              <w:rPr>
                <w:rFonts w:ascii="Arial" w:cs="Arial" w:eastAsia="Arial" w:hAnsi="Arial"/>
                <w:sz w:val="20"/>
                <w:szCs w:val="20"/>
              </w:rPr>
              <w:t xml:space="preserve">Esto replica el patrón de 'latencia de abandono' del documento de arquitectura.</w:t>
            </w:r>
          </w:p>
        </w:tc>
      </w:tr>
    </w:tbl>
    <w:p>
      <w:pPr>
        <w:pStyle w:val="Heading3"/>
        <w:spacing w:after="100" w:before="240"/>
      </w:pPr>
      <w:r>
        <w:rPr>
          <w:rFonts w:ascii="Arial" w:cs="Arial" w:eastAsia="Arial" w:hAnsi="Arial"/>
          <w:b/>
          <w:bCs/>
          <w:color w:val="3D2B7E"/>
          <w:sz w:val="22"/>
          <w:szCs w:val="22"/>
        </w:rPr>
        <w:t xml:space="preserve">Parámetros de estacionalidad</w:t>
      </w:r>
    </w:p>
    <w:p>
      <w:pPr>
        <w:spacing w:after="100" w:before="0"/>
      </w:pPr>
      <w:r>
        <w:rPr>
          <w:rFonts w:ascii="Arial" w:cs="Arial" w:eastAsia="Arial" w:hAnsi="Arial"/>
          <w:sz w:val="22"/>
          <w:szCs w:val="22"/>
        </w:rPr>
        <w:t xml:space="preserve">Los multiplicadores por mes están hardcodeados en el diccionario ESTACIONALIDAD al inicio del script, calibrados con datos del SRI (ver Sección 2.4).</w:t>
      </w:r>
    </w:p>
    <w:p>
      <w:pPr>
        <w:pStyle w:val="Heading2"/>
        <w:spacing w:after="140" w:before="300"/>
      </w:pPr>
      <w:r>
        <w:rPr>
          <w:rFonts w:ascii="Arial" w:cs="Arial" w:eastAsia="Arial" w:hAnsi="Arial"/>
          <w:b/>
          <w:bCs/>
          <w:color w:val="2D1B5E"/>
          <w:sz w:val="26"/>
          <w:szCs w:val="26"/>
        </w:rPr>
        <w:t xml:space="preserve">5.3 generar_fact_support_tickets.py</w:t>
      </w:r>
    </w:p>
    <w:p>
      <w:pPr>
        <w:spacing w:after="100" w:before="0"/>
      </w:pPr>
      <w:r>
        <w:rPr>
          <w:rFonts w:ascii="Arial" w:cs="Arial" w:eastAsia="Arial" w:hAnsi="Arial"/>
          <w:b/>
          <w:bCs/>
          <w:sz w:val="22"/>
          <w:szCs w:val="22"/>
        </w:rPr>
        <w:t xml:space="preserve">Entrada: dim_merchants_con_abandono.csv + fact_performance_monthly.csv.</w:t>
      </w:r>
    </w:p>
    <w:p>
      <w:pPr>
        <w:spacing w:after="160" w:before="0"/>
      </w:pPr>
      <w:r>
        <w:rPr>
          <w:rFonts w:ascii="Arial" w:cs="Arial" w:eastAsia="Arial" w:hAnsi="Arial"/>
          <w:b/>
          <w:bCs/>
          <w:sz w:val="22"/>
          <w:szCs w:val="22"/>
        </w:rPr>
        <w:t xml:space="preserve">Salida: fact_support_tickets.csv + fact_support_tickets.parquet.</w:t>
      </w:r>
    </w:p>
    <w:p>
      <w:pPr>
        <w:pStyle w:val="Heading3"/>
        <w:spacing w:after="100" w:before="240"/>
      </w:pPr>
      <w:r>
        <w:rPr>
          <w:rFonts w:ascii="Arial" w:cs="Arial" w:eastAsia="Arial" w:hAnsi="Arial"/>
          <w:b/>
          <w:bCs/>
          <w:color w:val="3D2B7E"/>
          <w:sz w:val="22"/>
          <w:szCs w:val="22"/>
        </w:rPr>
        <w:t xml:space="preserve">Lógica principal</w:t>
      </w:r>
    </w:p>
    <w:p>
      <w:pPr>
        <w:pStyle w:val="ListParagraph"/>
        <w:numPr>
          <w:ilvl w:val="0"/>
          <w:numId w:val="2"/>
        </w:numPr>
        <w:spacing w:after="60"/>
      </w:pPr>
      <w:r>
        <w:rPr>
          <w:rFonts w:ascii="Arial" w:cs="Arial" w:eastAsia="Arial" w:hAnsi="Arial"/>
          <w:b/>
          <w:bCs/>
          <w:sz w:val="22"/>
          <w:szCs w:val="22"/>
        </w:rPr>
        <w:t xml:space="preserve">Enfoque derivativo: </w:t>
      </w:r>
      <w:r>
        <w:rPr>
          <w:rFonts w:ascii="Arial" w:cs="Arial" w:eastAsia="Arial" w:hAnsi="Arial"/>
          <w:sz w:val="22"/>
          <w:szCs w:val="22"/>
        </w:rPr>
        <w:t xml:space="preserve">A diferencia de los scripts anteriores, este no genera datos 'desde cero': deriva los tickets individuales a partir de los agregados ya existentes en Tabla 2.</w:t>
      </w:r>
    </w:p>
    <w:p>
      <w:pPr>
        <w:pStyle w:val="ListParagraph"/>
        <w:numPr>
          <w:ilvl w:val="0"/>
          <w:numId w:val="2"/>
        </w:numPr>
        <w:spacing w:after="60"/>
      </w:pPr>
      <w:r>
        <w:rPr>
          <w:rFonts w:ascii="Arial" w:cs="Arial" w:eastAsia="Arial" w:hAnsi="Arial"/>
          <w:b/>
          <w:bCs/>
          <w:sz w:val="22"/>
          <w:szCs w:val="22"/>
        </w:rPr>
        <w:t xml:space="preserve">Consistencia: </w:t>
      </w:r>
      <w:r>
        <w:rPr>
          <w:rFonts w:ascii="Arial" w:cs="Arial" w:eastAsia="Arial" w:hAnsi="Arial"/>
          <w:sz w:val="22"/>
          <w:szCs w:val="22"/>
        </w:rPr>
        <w:t xml:space="preserve">Para cada fila (merchant × mes) con tickets_soporte_abiertos &gt; 0, genera exactamente ese número de filas en Tabla 4.</w:t>
      </w:r>
    </w:p>
    <w:p>
      <w:pPr>
        <w:pStyle w:val="ListParagraph"/>
        <w:numPr>
          <w:ilvl w:val="0"/>
          <w:numId w:val="2"/>
        </w:numPr>
        <w:spacing w:after="60"/>
      </w:pPr>
      <w:r>
        <w:rPr>
          <w:rFonts w:ascii="Arial" w:cs="Arial" w:eastAsia="Arial" w:hAnsi="Arial"/>
          <w:b/>
          <w:bCs/>
          <w:sz w:val="22"/>
          <w:szCs w:val="22"/>
        </w:rPr>
        <w:t xml:space="preserve">Categorías contextuales: </w:t>
      </w:r>
      <w:r>
        <w:rPr>
          <w:rFonts w:ascii="Arial" w:cs="Arial" w:eastAsia="Arial" w:hAnsi="Arial"/>
          <w:sz w:val="22"/>
          <w:szCs w:val="22"/>
        </w:rPr>
        <w:t xml:space="preserve">Categorías asignadas con pesos ajustables según: (a) si el comercio es churner en fase de decay, (b) tipo de negocio (restaurantes tienen más app_congelada, transporte más problema_qr_fisico).</w:t>
      </w:r>
    </w:p>
    <w:p>
      <w:pPr>
        <w:pStyle w:val="ListParagraph"/>
        <w:numPr>
          <w:ilvl w:val="0"/>
          <w:numId w:val="2"/>
        </w:numPr>
        <w:spacing w:after="60"/>
      </w:pPr>
      <w:r>
        <w:rPr>
          <w:rFonts w:ascii="Arial" w:cs="Arial" w:eastAsia="Arial" w:hAnsi="Arial"/>
          <w:b/>
          <w:bCs/>
          <w:sz w:val="22"/>
          <w:szCs w:val="22"/>
        </w:rPr>
        <w:t xml:space="preserve">Ajuste a promedios: </w:t>
      </w:r>
      <w:r>
        <w:rPr>
          <w:rFonts w:ascii="Arial" w:cs="Arial" w:eastAsia="Arial" w:hAnsi="Arial"/>
          <w:sz w:val="22"/>
          <w:szCs w:val="22"/>
        </w:rPr>
        <w:t xml:space="preserve">Severidades enteras generadas con ajuste aritmético para que promedien lo que dice Tabla 2.</w:t>
      </w:r>
    </w:p>
    <w:p>
      <w:pPr>
        <w:pStyle w:val="ListParagraph"/>
        <w:numPr>
          <w:ilvl w:val="0"/>
          <w:numId w:val="2"/>
        </w:numPr>
        <w:spacing w:after="60"/>
      </w:pPr>
      <w:r>
        <w:rPr>
          <w:rFonts w:ascii="Arial" w:cs="Arial" w:eastAsia="Arial" w:hAnsi="Arial"/>
          <w:b/>
          <w:bCs/>
          <w:sz w:val="22"/>
          <w:szCs w:val="22"/>
        </w:rPr>
        <w:t xml:space="preserve">SLAs coherentes: </w:t>
      </w:r>
      <w:r>
        <w:rPr>
          <w:rFonts w:ascii="Arial" w:cs="Arial" w:eastAsia="Arial" w:hAnsi="Arial"/>
          <w:sz w:val="22"/>
          <w:szCs w:val="22"/>
        </w:rPr>
        <w:t xml:space="preserve">Tiempos de resolución lognormal, escalados para que su media coincida con tiempo_resolucion_prom_hrs de Tabla 2.</w:t>
      </w:r>
    </w:p>
    <w:p>
      <w:pPr>
        <w:pStyle w:val="ListParagraph"/>
        <w:numPr>
          <w:ilvl w:val="0"/>
          <w:numId w:val="2"/>
        </w:numPr>
        <w:spacing w:after="60"/>
      </w:pPr>
      <w:r>
        <w:rPr>
          <w:rFonts w:ascii="Arial" w:cs="Arial" w:eastAsia="Arial" w:hAnsi="Arial"/>
          <w:b/>
          <w:bCs/>
          <w:sz w:val="22"/>
          <w:szCs w:val="22"/>
        </w:rPr>
        <w:t xml:space="preserve">Satisfacción: </w:t>
      </w:r>
      <w:r>
        <w:rPr>
          <w:rFonts w:ascii="Arial" w:cs="Arial" w:eastAsia="Arial" w:hAnsi="Arial"/>
          <w:sz w:val="22"/>
          <w:szCs w:val="22"/>
        </w:rPr>
        <w:t xml:space="preserve">Satisfacción post-cierre solo en 60% de tickets resueltos, con penalizaciones por severidad alta y SLA largo.</w:t>
      </w:r>
    </w:p>
    <w:p>
      <w:pPr>
        <w:pStyle w:val="Heading3"/>
        <w:spacing w:after="100" w:before="240"/>
      </w:pPr>
      <w:r>
        <w:rPr>
          <w:rFonts w:ascii="Arial" w:cs="Arial" w:eastAsia="Arial" w:hAnsi="Arial"/>
          <w:b/>
          <w:bCs/>
          <w:color w:val="3D2B7E"/>
          <w:sz w:val="22"/>
          <w:szCs w:val="22"/>
        </w:rPr>
        <w:t xml:space="preserve">Validación de consistencia cruzada</w:t>
      </w:r>
    </w:p>
    <w:p>
      <w:pPr>
        <w:spacing w:after="100" w:before="0"/>
      </w:pPr>
      <w:r>
        <w:rPr>
          <w:rFonts w:ascii="Arial" w:cs="Arial" w:eastAsia="Arial" w:hAnsi="Arial"/>
          <w:sz w:val="22"/>
          <w:szCs w:val="22"/>
        </w:rPr>
        <w:t xml:space="preserve">Al final del script, se hace un merge entre los agregados derivados de Tabla 4 y los campos originales de Tabla 2. La desviación en conteos debe ser exactamente 0. La desviación en severidad promedio es típicamente &lt; 1.0 (explicada por el redondeo de severidad a entero).</w:t>
      </w:r>
    </w:p>
    <w:p>
      <w:pPr>
        <w:pStyle w:val="Heading1"/>
        <w:pageBreakBefore/>
        <w:spacing w:after="180" w:before="360"/>
      </w:pPr>
      <w:r>
        <w:rPr>
          <w:rFonts w:ascii="Arial" w:cs="Arial" w:eastAsia="Arial" w:hAnsi="Arial"/>
          <w:b/>
          <w:bCs/>
          <w:color w:val="2D1B5E"/>
          <w:sz w:val="32"/>
          <w:szCs w:val="32"/>
        </w:rPr>
        <w:t xml:space="preserve">6. Pipeline de ejecución</w:t>
      </w:r>
    </w:p>
    <w:p>
      <w:pPr>
        <w:spacing w:after="100" w:before="0"/>
      </w:pPr>
      <w:r>
        <w:rPr>
          <w:rFonts w:ascii="Arial" w:cs="Arial" w:eastAsia="Arial" w:hAnsi="Arial"/>
          <w:sz w:val="22"/>
          <w:szCs w:val="22"/>
        </w:rPr>
        <w:t xml:space="preserve">Los scripts deben ejecutarse en orden estricto porque cada uno depende del anterior. Toda la generación es reproducible gracias a la semilla fija (SEED=42). Si necesitas regenerar desde cero, basta con ejecutar los tres scripts en secuencia.</w:t>
      </w:r>
    </w:p>
    <w:p>
      <w:pPr>
        <w:pStyle w:val="Heading2"/>
        <w:spacing w:after="140" w:before="300"/>
      </w:pPr>
      <w:r>
        <w:rPr>
          <w:rFonts w:ascii="Arial" w:cs="Arial" w:eastAsia="Arial" w:hAnsi="Arial"/>
          <w:b/>
          <w:bCs/>
          <w:color w:val="2D1B5E"/>
          <w:sz w:val="26"/>
          <w:szCs w:val="26"/>
        </w:rPr>
        <w:t xml:space="preserve">6.1 Requisitos previos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00D4A6" w:sz="12"/>
              <w:bottom w:val="single" w:color="CCCCCC" w:sz="4"/>
              <w:right w:val="single" w:color="CCCCCC" w:sz="4"/>
            </w:tcBorders>
            <w:shd w:fill="F4F4F4" w:color="auto" w:val="clear"/>
            <w:tcMar>
              <w:top w:type="dxa" w:w="120"/>
              <w:left w:type="dxa" w:w="180"/>
              <w:bottom w:type="dxa" w:w="120"/>
              <w:right w:type="dxa" w:w="180"/>
            </w:tcMar>
          </w:tcPr>
          <w:p>
            <w:pPr>
              <w:spacing w:after="0"/>
            </w:pPr>
            <w:r>
              <w:rPr>
                <w:rFonts w:ascii="Courier New" w:cs="Courier New" w:eastAsia="Courier New" w:hAnsi="Courier New"/>
                <w:color w:val="333333"/>
                <w:sz w:val="18"/>
                <w:szCs w:val="18"/>
              </w:rPr>
              <w:t xml:space="preserve"># Python 3.8 o superior</w:t>
            </w:r>
          </w:p>
          <w:p>
            <w:pPr>
              <w:spacing w:after="0"/>
            </w:pPr>
            <w:r>
              <w:rPr>
                <w:rFonts w:ascii="Courier New" w:cs="Courier New" w:eastAsia="Courier New" w:hAnsi="Courier New"/>
                <w:color w:val="333333"/>
                <w:sz w:val="18"/>
                <w:szCs w:val="18"/>
              </w:rPr>
              <w:t xml:space="preserve">pip install numpy pandas python-dateutil pyarrow</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 Colocar los 3 scripts en el mismo directorio</w:t>
            </w:r>
          </w:p>
          <w:p>
            <w:pPr>
              <w:spacing w:after="0"/>
            </w:pPr>
            <w:r>
              <w:rPr>
                <w:rFonts w:ascii="Courier New" w:cs="Courier New" w:eastAsia="Courier New" w:hAnsi="Courier New"/>
                <w:color w:val="333333"/>
                <w:sz w:val="18"/>
                <w:szCs w:val="18"/>
              </w:rPr>
              <w:t xml:space="preserve"># Todos los CSV se generarán en el directorio de trabajo</w:t>
            </w:r>
          </w:p>
        </w:tc>
      </w:tr>
    </w:tbl>
    <w:p>
      <w:pPr>
        <w:pStyle w:val="Heading2"/>
        <w:spacing w:after="140" w:before="300"/>
      </w:pPr>
      <w:r>
        <w:rPr>
          <w:rFonts w:ascii="Arial" w:cs="Arial" w:eastAsia="Arial" w:hAnsi="Arial"/>
          <w:b/>
          <w:bCs/>
          <w:color w:val="2D1B5E"/>
          <w:sz w:val="26"/>
          <w:szCs w:val="26"/>
        </w:rPr>
        <w:t xml:space="preserve">6.2 Ejecución secuencial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00D4A6" w:sz="12"/>
              <w:bottom w:val="single" w:color="CCCCCC" w:sz="4"/>
              <w:right w:val="single" w:color="CCCCCC" w:sz="4"/>
            </w:tcBorders>
            <w:shd w:fill="F4F4F4" w:color="auto" w:val="clear"/>
            <w:tcMar>
              <w:top w:type="dxa" w:w="120"/>
              <w:left w:type="dxa" w:w="180"/>
              <w:bottom w:type="dxa" w:w="120"/>
              <w:right w:type="dxa" w:w="180"/>
            </w:tcMar>
          </w:tcPr>
          <w:p>
            <w:pPr>
              <w:spacing w:after="0"/>
            </w:pPr>
            <w:r>
              <w:rPr>
                <w:rFonts w:ascii="Courier New" w:cs="Courier New" w:eastAsia="Courier New" w:hAnsi="Courier New"/>
                <w:color w:val="333333"/>
                <w:sz w:val="18"/>
                <w:szCs w:val="18"/>
              </w:rPr>
              <w:t xml:space="preserve"># Paso 1: Generar Tabla 1 (perfiles de comercios)</w:t>
            </w:r>
          </w:p>
          <w:p>
            <w:pPr>
              <w:spacing w:after="0"/>
            </w:pPr>
            <w:r>
              <w:rPr>
                <w:rFonts w:ascii="Courier New" w:cs="Courier New" w:eastAsia="Courier New" w:hAnsi="Courier New"/>
                <w:color w:val="333333"/>
                <w:sz w:val="18"/>
                <w:szCs w:val="18"/>
              </w:rPr>
              <w:t xml:space="preserve">python3 generar_dim_merchants.py</w:t>
            </w:r>
          </w:p>
          <w:p>
            <w:pPr>
              <w:spacing w:after="0"/>
            </w:pPr>
            <w:r>
              <w:rPr>
                <w:rFonts w:ascii="Courier New" w:cs="Courier New" w:eastAsia="Courier New" w:hAnsi="Courier New"/>
                <w:color w:val="333333"/>
                <w:sz w:val="18"/>
                <w:szCs w:val="18"/>
              </w:rPr>
              <w:t xml:space="preserve"># Output: dim_merchants.csv, dim_merchants.parquet</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 Paso 2: Generar Tabla 2 (series temporales) + etiqueta ground truth</w:t>
            </w:r>
          </w:p>
          <w:p>
            <w:pPr>
              <w:spacing w:after="0"/>
            </w:pPr>
            <w:r>
              <w:rPr>
                <w:rFonts w:ascii="Courier New" w:cs="Courier New" w:eastAsia="Courier New" w:hAnsi="Courier New"/>
                <w:color w:val="333333"/>
                <w:sz w:val="18"/>
                <w:szCs w:val="18"/>
              </w:rPr>
              <w:t xml:space="preserve">python3 generar_fact_performance.py</w:t>
            </w:r>
          </w:p>
          <w:p>
            <w:pPr>
              <w:spacing w:after="0"/>
            </w:pPr>
            <w:r>
              <w:rPr>
                <w:rFonts w:ascii="Courier New" w:cs="Courier New" w:eastAsia="Courier New" w:hAnsi="Courier New"/>
                <w:color w:val="333333"/>
                <w:sz w:val="18"/>
                <w:szCs w:val="18"/>
              </w:rPr>
              <w:t xml:space="preserve"># Output: fact_performance_monthly.csv (+parquet)</w:t>
            </w:r>
          </w:p>
          <w:p>
            <w:pPr>
              <w:spacing w:after="0"/>
            </w:pPr>
            <w:r>
              <w:rPr>
                <w:rFonts w:ascii="Courier New" w:cs="Courier New" w:eastAsia="Courier New" w:hAnsi="Courier New"/>
                <w:color w:val="333333"/>
                <w:sz w:val="18"/>
                <w:szCs w:val="18"/>
              </w:rPr>
              <w:t xml:space="preserve">#         dim_merchants_con_abandono.csv (tabla 1 actualizada)</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 Paso 3: Generar Tabla 4 (detalle de tickets)</w:t>
            </w:r>
          </w:p>
          <w:p>
            <w:pPr>
              <w:spacing w:after="0"/>
            </w:pPr>
            <w:r>
              <w:rPr>
                <w:rFonts w:ascii="Courier New" w:cs="Courier New" w:eastAsia="Courier New" w:hAnsi="Courier New"/>
                <w:color w:val="333333"/>
                <w:sz w:val="18"/>
                <w:szCs w:val="18"/>
              </w:rPr>
              <w:t xml:space="preserve">python3 generar_fact_support_tickets.py</w:t>
            </w:r>
          </w:p>
          <w:p>
            <w:pPr>
              <w:spacing w:after="0"/>
            </w:pPr>
            <w:r>
              <w:rPr>
                <w:rFonts w:ascii="Courier New" w:cs="Courier New" w:eastAsia="Courier New" w:hAnsi="Courier New"/>
                <w:color w:val="333333"/>
                <w:sz w:val="18"/>
                <w:szCs w:val="18"/>
              </w:rPr>
              <w:t xml:space="preserve"># Output: fact_support_tickets.csv (+parquet)</w:t>
            </w:r>
          </w:p>
        </w:tc>
      </w:tr>
    </w:tbl>
    <w:p>
      <w:pPr>
        <w:pStyle w:val="Heading2"/>
        <w:spacing w:after="140" w:before="300"/>
      </w:pPr>
      <w:r>
        <w:rPr>
          <w:rFonts w:ascii="Arial" w:cs="Arial" w:eastAsia="Arial" w:hAnsi="Arial"/>
          <w:b/>
          <w:bCs/>
          <w:color w:val="2D1B5E"/>
          <w:sz w:val="26"/>
          <w:szCs w:val="26"/>
        </w:rPr>
        <w:t xml:space="preserve">6.3 Orden de dependencias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00D4A6" w:sz="12"/>
              <w:bottom w:val="single" w:color="CCCCCC" w:sz="4"/>
              <w:right w:val="single" w:color="CCCCCC" w:sz="4"/>
            </w:tcBorders>
            <w:shd w:fill="F4F4F4" w:color="auto" w:val="clear"/>
            <w:tcMar>
              <w:top w:type="dxa" w:w="120"/>
              <w:left w:type="dxa" w:w="180"/>
              <w:bottom w:type="dxa" w:w="120"/>
              <w:right w:type="dxa" w:w="180"/>
            </w:tcMar>
          </w:tcPr>
          <w:p>
            <w:pPr>
              <w:spacing w:after="0"/>
            </w:pPr>
            <w:r>
              <w:rPr>
                <w:rFonts w:ascii="Courier New" w:cs="Courier New" w:eastAsia="Courier New" w:hAnsi="Courier New"/>
                <w:color w:val="333333"/>
                <w:sz w:val="18"/>
                <w:szCs w:val="18"/>
              </w:rPr>
              <w:t xml:space="preserve">generar_dim_merchants.py</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        ├─► dim_merchants.csv</w:t>
            </w:r>
          </w:p>
          <w:p>
            <w:pPr>
              <w:spacing w:after="0"/>
            </w:pPr>
            <w:r>
              <w:rPr>
                <w:rFonts w:ascii="Courier New" w:cs="Courier New" w:eastAsia="Courier New" w:hAnsi="Courier New"/>
                <w:color w:val="333333"/>
                <w:sz w:val="18"/>
                <w:szCs w:val="18"/>
              </w:rPr>
              <w:t xml:space="preserve">        │         │</w:t>
            </w:r>
          </w:p>
          <w:p>
            <w:pPr>
              <w:spacing w:after="0"/>
            </w:pPr>
            <w:r>
              <w:rPr>
                <w:rFonts w:ascii="Courier New" w:cs="Courier New" w:eastAsia="Courier New" w:hAnsi="Courier New"/>
                <w:color w:val="333333"/>
                <w:sz w:val="18"/>
                <w:szCs w:val="18"/>
              </w:rPr>
              <w:t xml:space="preserve">        ▼         ▼</w:t>
            </w:r>
          </w:p>
          <w:p>
            <w:pPr>
              <w:spacing w:after="0"/>
            </w:pPr>
            <w:r>
              <w:rPr>
                <w:rFonts w:ascii="Courier New" w:cs="Courier New" w:eastAsia="Courier New" w:hAnsi="Courier New"/>
                <w:color w:val="333333"/>
                <w:sz w:val="18"/>
                <w:szCs w:val="18"/>
              </w:rPr>
              <w:t xml:space="preserve">generar_fact_performance.py</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        ├─► dim_merchants_con_abandono.csv  (tabla 1 + abandono_30d)</w:t>
            </w:r>
          </w:p>
          <w:p>
            <w:pPr>
              <w:spacing w:after="0"/>
            </w:pPr>
            <w:r>
              <w:rPr>
                <w:rFonts w:ascii="Courier New" w:cs="Courier New" w:eastAsia="Courier New" w:hAnsi="Courier New"/>
                <w:color w:val="333333"/>
                <w:sz w:val="18"/>
                <w:szCs w:val="18"/>
              </w:rPr>
              <w:t xml:space="preserve">        │         │</w:t>
            </w:r>
          </w:p>
          <w:p>
            <w:pPr>
              <w:spacing w:after="0"/>
            </w:pPr>
            <w:r>
              <w:rPr>
                <w:rFonts w:ascii="Courier New" w:cs="Courier New" w:eastAsia="Courier New" w:hAnsi="Courier New"/>
                <w:color w:val="333333"/>
                <w:sz w:val="18"/>
                <w:szCs w:val="18"/>
              </w:rPr>
              <w:t xml:space="preserve">        ├─► fact_performance_monthly.csv</w:t>
            </w:r>
          </w:p>
          <w:p>
            <w:pPr>
              <w:spacing w:after="0"/>
            </w:pPr>
            <w:r>
              <w:rPr>
                <w:rFonts w:ascii="Courier New" w:cs="Courier New" w:eastAsia="Courier New" w:hAnsi="Courier New"/>
                <w:color w:val="333333"/>
                <w:sz w:val="18"/>
                <w:szCs w:val="18"/>
              </w:rPr>
              <w:t xml:space="preserve">        │         │</w:t>
            </w:r>
          </w:p>
          <w:p>
            <w:pPr>
              <w:spacing w:after="0"/>
            </w:pPr>
            <w:r>
              <w:rPr>
                <w:rFonts w:ascii="Courier New" w:cs="Courier New" w:eastAsia="Courier New" w:hAnsi="Courier New"/>
                <w:color w:val="333333"/>
                <w:sz w:val="18"/>
                <w:szCs w:val="18"/>
              </w:rPr>
              <w:t xml:space="preserve">        ▼         ▼</w:t>
            </w:r>
          </w:p>
          <w:p>
            <w:pPr>
              <w:spacing w:after="0"/>
            </w:pPr>
            <w:r>
              <w:rPr>
                <w:rFonts w:ascii="Courier New" w:cs="Courier New" w:eastAsia="Courier New" w:hAnsi="Courier New"/>
                <w:color w:val="333333"/>
                <w:sz w:val="18"/>
                <w:szCs w:val="18"/>
              </w:rPr>
              <w:t xml:space="preserve">generar_fact_support_tickets.py</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        └─► fact_support_tickets.csv</w:t>
            </w:r>
          </w:p>
        </w:tc>
      </w:tr>
    </w:tbl>
    <w:p>
      <w:pPr>
        <w:pStyle w:val="Heading2"/>
        <w:spacing w:after="140" w:before="300"/>
      </w:pPr>
      <w:r>
        <w:rPr>
          <w:rFonts w:ascii="Arial" w:cs="Arial" w:eastAsia="Arial" w:hAnsi="Arial"/>
          <w:b/>
          <w:bCs/>
          <w:color w:val="2D1B5E"/>
          <w:sz w:val="26"/>
          <w:szCs w:val="26"/>
        </w:rPr>
        <w:t xml:space="preserve">6.4 Tiempo de ejecución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rPr>
          <w:tblHeader/>
        </w:trPr>
        <w:tc>
          <w:tcPr>
            <w:tcW w:type="dxa" w:w="3500"/>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Etapa</w:t>
            </w:r>
          </w:p>
        </w:tc>
        <w:tc>
          <w:tcPr>
            <w:tcW w:type="dxa" w:w="2000"/>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Tiempo</w:t>
            </w:r>
          </w:p>
        </w:tc>
        <w:tc>
          <w:tcPr>
            <w:tcW w:type="dxa" w:w="3526"/>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Razón</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bCs/>
                <w:sz w:val="20"/>
                <w:szCs w:val="20"/>
              </w:rPr>
              <w:t xml:space="preserve">Paso 1 — dim_merchants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~2 segundos</w:t>
            </w:r>
          </w:p>
        </w:tc>
        <w:tc>
          <w:tcPr>
            <w:tcW w:type="dxa" w:w="35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Bajo — pura generación aleatoria ponderada</w:t>
            </w:r>
          </w:p>
        </w:tc>
      </w:tr>
      <w:tr>
        <w:tc>
          <w:tcPr>
            <w:tcW w:type="dxa" w:w="35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b/>
                <w:bCs/>
                <w:sz w:val="20"/>
                <w:szCs w:val="20"/>
              </w:rPr>
              <w:t xml:space="preserve">Paso 2 — fact_performance</w:t>
            </w:r>
          </w:p>
        </w:tc>
        <w:tc>
          <w:tcPr>
            <w:tcW w:type="dxa" w:w="20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~10 segundos</w:t>
            </w:r>
          </w:p>
        </w:tc>
        <w:tc>
          <w:tcPr>
            <w:tcW w:type="dxa" w:w="35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Medio — itera 2.000 comercios × 12 meses</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bCs/>
                <w:sz w:val="20"/>
                <w:szCs w:val="20"/>
              </w:rPr>
              <w:t xml:space="preserve">Paso 3 — fact_support_tickets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~15 segundos</w:t>
            </w:r>
          </w:p>
        </w:tc>
        <w:tc>
          <w:tcPr>
            <w:tcW w:type="dxa" w:w="35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Medio-alto — desagrega ~10.000 tickets</w:t>
            </w:r>
          </w:p>
        </w:tc>
      </w:tr>
      <w:tr>
        <w:tc>
          <w:tcPr>
            <w:tcW w:type="dxa" w:w="35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b/>
                <w:bCs/>
                <w:sz w:val="20"/>
                <w:szCs w:val="20"/>
              </w:rPr>
              <w:t xml:space="preserve">Pipeline completo</w:t>
            </w:r>
          </w:p>
        </w:tc>
        <w:tc>
          <w:tcPr>
            <w:tcW w:type="dxa" w:w="20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~30 segundos</w:t>
            </w:r>
          </w:p>
        </w:tc>
        <w:tc>
          <w:tcPr>
            <w:tcW w:type="dxa" w:w="35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En una máquina de desarrollo estándar</w:t>
            </w:r>
          </w:p>
        </w:tc>
      </w:tr>
    </w:tbl>
    <w:p>
      <w:pPr>
        <w:pStyle w:val="Heading1"/>
        <w:pageBreakBefore/>
        <w:spacing w:after="180" w:before="360"/>
      </w:pPr>
      <w:r>
        <w:rPr>
          <w:rFonts w:ascii="Arial" w:cs="Arial" w:eastAsia="Arial" w:hAnsi="Arial"/>
          <w:b/>
          <w:bCs/>
          <w:color w:val="2D1B5E"/>
          <w:sz w:val="32"/>
          <w:szCs w:val="32"/>
        </w:rPr>
        <w:t xml:space="preserve">7. Unificación de tablas para el modelo</w:t>
      </w:r>
    </w:p>
    <w:p>
      <w:pPr>
        <w:spacing w:after="100" w:before="0"/>
      </w:pPr>
      <w:r>
        <w:rPr>
          <w:rFonts w:ascii="Arial" w:cs="Arial" w:eastAsia="Arial" w:hAnsi="Arial"/>
          <w:sz w:val="22"/>
          <w:szCs w:val="22"/>
        </w:rPr>
        <w:t xml:space="preserve">Para entrenar el modelo de churn, las tres tablas deben unificarse en un dataset único donde cada fila sea un comercio con todas sus features construidas. A continuación se describe la estrategia recomendada.</w:t>
      </w:r>
    </w:p>
    <w:p>
      <w:pPr>
        <w:pStyle w:val="Heading2"/>
        <w:spacing w:after="140" w:before="300"/>
      </w:pPr>
      <w:r>
        <w:rPr>
          <w:rFonts w:ascii="Arial" w:cs="Arial" w:eastAsia="Arial" w:hAnsi="Arial"/>
          <w:b/>
          <w:bCs/>
          <w:color w:val="2D1B5E"/>
          <w:sz w:val="26"/>
          <w:szCs w:val="26"/>
        </w:rPr>
        <w:t xml:space="preserve">7.1 Esquema del dataset final de training</w:t>
      </w:r>
    </w:p>
    <w:p>
      <w:pPr>
        <w:spacing w:after="100" w:before="0"/>
      </w:pPr>
      <w:r>
        <w:rPr>
          <w:rFonts w:ascii="Arial" w:cs="Arial" w:eastAsia="Arial" w:hAnsi="Arial"/>
          <w:sz w:val="22"/>
          <w:szCs w:val="22"/>
        </w:rPr>
        <w:t xml:space="preserve">Granularidad: una fila por comercio. Cada fila contiene el perfil estático + agregaciones temporales sobre distintas ventanas + la etiqueta binaria.</w:t>
      </w:r>
    </w:p>
    <w:p>
      <w:pPr>
        <w:pStyle w:val="Heading2"/>
        <w:spacing w:after="140" w:before="300"/>
      </w:pPr>
      <w:r>
        <w:rPr>
          <w:rFonts w:ascii="Arial" w:cs="Arial" w:eastAsia="Arial" w:hAnsi="Arial"/>
          <w:b/>
          <w:bCs/>
          <w:color w:val="2D1B5E"/>
          <w:sz w:val="26"/>
          <w:szCs w:val="26"/>
        </w:rPr>
        <w:t xml:space="preserve">7.2 Estrategia de feature engineering</w:t>
      </w:r>
    </w:p>
    <w:p>
      <w:pPr>
        <w:pStyle w:val="Heading3"/>
        <w:spacing w:after="100" w:before="240"/>
      </w:pPr>
      <w:r>
        <w:rPr>
          <w:rFonts w:ascii="Arial" w:cs="Arial" w:eastAsia="Arial" w:hAnsi="Arial"/>
          <w:b/>
          <w:bCs/>
          <w:color w:val="3D2B7E"/>
          <w:sz w:val="22"/>
          <w:szCs w:val="22"/>
        </w:rPr>
        <w:t xml:space="preserve">Features estáticas (desde dim_merchants)</w:t>
      </w:r>
    </w:p>
    <w:p>
      <w:pPr>
        <w:pStyle w:val="ListParagraph"/>
        <w:numPr>
          <w:ilvl w:val="0"/>
          <w:numId w:val="2"/>
        </w:numPr>
        <w:spacing w:after="60"/>
      </w:pPr>
      <w:r>
        <w:rPr>
          <w:rFonts w:ascii="Arial" w:cs="Arial" w:eastAsia="Arial" w:hAnsi="Arial"/>
          <w:sz w:val="22"/>
          <w:szCs w:val="22"/>
        </w:rPr>
        <w:t xml:space="preserve">tenure_meses — meses desde fecha_onboarding a fecha de corte.</w:t>
      </w:r>
    </w:p>
    <w:p>
      <w:pPr>
        <w:pStyle w:val="ListParagraph"/>
        <w:numPr>
          <w:ilvl w:val="0"/>
          <w:numId w:val="2"/>
        </w:numPr>
        <w:spacing w:after="60"/>
      </w:pPr>
      <w:r>
        <w:rPr>
          <w:rFonts w:ascii="Arial" w:cs="Arial" w:eastAsia="Arial" w:hAnsi="Arial"/>
          <w:sz w:val="22"/>
          <w:szCs w:val="22"/>
        </w:rPr>
        <w:t xml:space="preserve">segmento_comercial, tipo_negocio_ciiu, region — codificadas (one-hot o target encoding).</w:t>
      </w:r>
    </w:p>
    <w:p>
      <w:pPr>
        <w:pStyle w:val="ListParagraph"/>
        <w:numPr>
          <w:ilvl w:val="0"/>
          <w:numId w:val="2"/>
        </w:numPr>
        <w:spacing w:after="60"/>
      </w:pPr>
      <w:r>
        <w:rPr>
          <w:rFonts w:ascii="Arial" w:cs="Arial" w:eastAsia="Arial" w:hAnsi="Arial"/>
          <w:sz w:val="22"/>
          <w:szCs w:val="22"/>
        </w:rPr>
        <w:t xml:space="preserve">es_onboarding_reciente — flag binario (tenure &lt; 3 meses).</w:t>
      </w:r>
    </w:p>
    <w:p>
      <w:pPr>
        <w:pStyle w:val="ListParagraph"/>
        <w:numPr>
          <w:ilvl w:val="0"/>
          <w:numId w:val="2"/>
        </w:numPr>
        <w:spacing w:after="60"/>
      </w:pPr>
      <w:r>
        <w:rPr>
          <w:rFonts w:ascii="Arial" w:cs="Arial" w:eastAsia="Arial" w:hAnsi="Arial"/>
          <w:sz w:val="22"/>
          <w:szCs w:val="22"/>
        </w:rPr>
        <w:t xml:space="preserve">tiene_ejecutivo — 1 si ejecutivo_cuenta ≠ 'Auto-gestionado'.</w:t>
      </w:r>
    </w:p>
    <w:p>
      <w:pPr>
        <w:pStyle w:val="Heading3"/>
        <w:spacing w:after="100" w:before="240"/>
      </w:pPr>
      <w:r>
        <w:rPr>
          <w:rFonts w:ascii="Arial" w:cs="Arial" w:eastAsia="Arial" w:hAnsi="Arial"/>
          <w:b/>
          <w:bCs/>
          <w:color w:val="3D2B7E"/>
          <w:sz w:val="22"/>
          <w:szCs w:val="22"/>
        </w:rPr>
        <w:t xml:space="preserve">Features temporales (desde fact_performance_monthly)</w:t>
      </w:r>
    </w:p>
    <w:p>
      <w:pPr>
        <w:pStyle w:val="ListParagraph"/>
        <w:numPr>
          <w:ilvl w:val="0"/>
          <w:numId w:val="2"/>
        </w:numPr>
        <w:spacing w:after="60"/>
      </w:pPr>
      <w:r>
        <w:rPr>
          <w:rFonts w:ascii="Arial" w:cs="Arial" w:eastAsia="Arial" w:hAnsi="Arial"/>
          <w:sz w:val="22"/>
          <w:szCs w:val="22"/>
        </w:rPr>
        <w:t xml:space="preserve">recencia_dias — días desde fecha_ultima_transaccion al corte.</w:t>
      </w:r>
    </w:p>
    <w:p>
      <w:pPr>
        <w:pStyle w:val="ListParagraph"/>
        <w:numPr>
          <w:ilvl w:val="0"/>
          <w:numId w:val="2"/>
        </w:numPr>
        <w:spacing w:after="60"/>
      </w:pPr>
      <w:r>
        <w:rPr>
          <w:rFonts w:ascii="Arial" w:cs="Arial" w:eastAsia="Arial" w:hAnsi="Arial"/>
          <w:sz w:val="22"/>
          <w:szCs w:val="22"/>
        </w:rPr>
        <w:t xml:space="preserve">tpv_30d, tpv_60d, tpv_90d — sumas en ventanas móviles.</w:t>
      </w:r>
    </w:p>
    <w:p>
      <w:pPr>
        <w:pStyle w:val="ListParagraph"/>
        <w:numPr>
          <w:ilvl w:val="0"/>
          <w:numId w:val="2"/>
        </w:numPr>
        <w:spacing w:after="60"/>
      </w:pPr>
      <w:r>
        <w:rPr>
          <w:rFonts w:ascii="Arial" w:cs="Arial" w:eastAsia="Arial" w:hAnsi="Arial"/>
          <w:sz w:val="22"/>
          <w:szCs w:val="22"/>
        </w:rPr>
        <w:t xml:space="preserve">count_trx_30d, count_trx_60d, count_trx_90d — idem.</w:t>
      </w:r>
    </w:p>
    <w:p>
      <w:pPr>
        <w:pStyle w:val="ListParagraph"/>
        <w:numPr>
          <w:ilvl w:val="0"/>
          <w:numId w:val="2"/>
        </w:numPr>
        <w:spacing w:after="60"/>
      </w:pPr>
      <w:r>
        <w:rPr>
          <w:rFonts w:ascii="Arial" w:cs="Arial" w:eastAsia="Arial" w:hAnsi="Arial"/>
          <w:sz w:val="22"/>
          <w:szCs w:val="22"/>
        </w:rPr>
        <w:t xml:space="preserve">pendiente_tpv_3m — pendiente de regresión lineal de los últimos 3 meses.</w:t>
      </w:r>
    </w:p>
    <w:p>
      <w:pPr>
        <w:pStyle w:val="ListParagraph"/>
        <w:numPr>
          <w:ilvl w:val="0"/>
          <w:numId w:val="2"/>
        </w:numPr>
        <w:spacing w:after="60"/>
      </w:pPr>
      <w:r>
        <w:rPr>
          <w:rFonts w:ascii="Arial" w:cs="Arial" w:eastAsia="Arial" w:hAnsi="Arial"/>
          <w:sz w:val="22"/>
          <w:szCs w:val="22"/>
        </w:rPr>
        <w:t xml:space="preserve">ratio_tpv_3m_vs_12m — señal crítica: valores &lt; 0.5 indican caída severa.</w:t>
      </w:r>
    </w:p>
    <w:p>
      <w:pPr>
        <w:pStyle w:val="ListParagraph"/>
        <w:numPr>
          <w:ilvl w:val="0"/>
          <w:numId w:val="2"/>
        </w:numPr>
        <w:spacing w:after="60"/>
      </w:pPr>
      <w:r>
        <w:rPr>
          <w:rFonts w:ascii="Arial" w:cs="Arial" w:eastAsia="Arial" w:hAnsi="Arial"/>
          <w:sz w:val="22"/>
          <w:szCs w:val="22"/>
        </w:rPr>
        <w:t xml:space="preserve">tasa_rechazo_promedio_90d, tasa_rechazo_max_90d.</w:t>
      </w:r>
    </w:p>
    <w:p>
      <w:pPr>
        <w:pStyle w:val="ListParagraph"/>
        <w:numPr>
          <w:ilvl w:val="0"/>
          <w:numId w:val="2"/>
        </w:numPr>
        <w:spacing w:after="60"/>
      </w:pPr>
      <w:r>
        <w:rPr>
          <w:rFonts w:ascii="Arial" w:cs="Arial" w:eastAsia="Arial" w:hAnsi="Arial"/>
          <w:sz w:val="22"/>
          <w:szCs w:val="22"/>
        </w:rPr>
        <w:t xml:space="preserve">dias_sin_trx_max_historico.</w:t>
      </w:r>
    </w:p>
    <w:p>
      <w:pPr>
        <w:pStyle w:val="Heading3"/>
        <w:spacing w:after="100" w:before="240"/>
      </w:pPr>
      <w:r>
        <w:rPr>
          <w:rFonts w:ascii="Arial" w:cs="Arial" w:eastAsia="Arial" w:hAnsi="Arial"/>
          <w:b/>
          <w:bCs/>
          <w:color w:val="3D2B7E"/>
          <w:sz w:val="22"/>
          <w:szCs w:val="22"/>
        </w:rPr>
        <w:t xml:space="preserve">Features de soporte (desde fact_support_tickets)</w:t>
      </w:r>
    </w:p>
    <w:p>
      <w:pPr>
        <w:pStyle w:val="ListParagraph"/>
        <w:numPr>
          <w:ilvl w:val="0"/>
          <w:numId w:val="2"/>
        </w:numPr>
        <w:spacing w:after="60"/>
      </w:pPr>
      <w:r>
        <w:rPr>
          <w:rFonts w:ascii="Arial" w:cs="Arial" w:eastAsia="Arial" w:hAnsi="Arial"/>
          <w:sz w:val="22"/>
          <w:szCs w:val="22"/>
        </w:rPr>
        <w:t xml:space="preserve">tickets_total_90d — conteo de tickets en últimos 90 días.</w:t>
      </w:r>
    </w:p>
    <w:p>
      <w:pPr>
        <w:pStyle w:val="ListParagraph"/>
        <w:numPr>
          <w:ilvl w:val="0"/>
          <w:numId w:val="2"/>
        </w:numPr>
        <w:spacing w:after="60"/>
      </w:pPr>
      <w:r>
        <w:rPr>
          <w:rFonts w:ascii="Arial" w:cs="Arial" w:eastAsia="Arial" w:hAnsi="Arial"/>
          <w:sz w:val="22"/>
          <w:szCs w:val="22"/>
        </w:rPr>
        <w:t xml:space="preserve">tickets_no_resueltos_actuales — estado = 'abierto' o 'en_proceso'.</w:t>
      </w:r>
    </w:p>
    <w:p>
      <w:pPr>
        <w:pStyle w:val="ListParagraph"/>
        <w:numPr>
          <w:ilvl w:val="0"/>
          <w:numId w:val="2"/>
        </w:numPr>
        <w:spacing w:after="60"/>
      </w:pPr>
      <w:r>
        <w:rPr>
          <w:rFonts w:ascii="Arial" w:cs="Arial" w:eastAsia="Arial" w:hAnsi="Arial"/>
          <w:sz w:val="22"/>
          <w:szCs w:val="22"/>
        </w:rPr>
        <w:t xml:space="preserve">severidad_max_30d — severidad más alta reciente.</w:t>
      </w:r>
    </w:p>
    <w:p>
      <w:pPr>
        <w:pStyle w:val="ListParagraph"/>
        <w:numPr>
          <w:ilvl w:val="0"/>
          <w:numId w:val="2"/>
        </w:numPr>
        <w:spacing w:after="60"/>
      </w:pPr>
      <w:r>
        <w:rPr>
          <w:rFonts w:ascii="Arial" w:cs="Arial" w:eastAsia="Arial" w:hAnsi="Arial"/>
          <w:sz w:val="22"/>
          <w:szCs w:val="22"/>
        </w:rPr>
        <w:t xml:space="preserve">tiempo_resolucion_prom_90d — SLA en el último trimestre.</w:t>
      </w:r>
    </w:p>
    <w:p>
      <w:pPr>
        <w:pStyle w:val="ListParagraph"/>
        <w:numPr>
          <w:ilvl w:val="0"/>
          <w:numId w:val="2"/>
        </w:numPr>
        <w:spacing w:after="60"/>
      </w:pPr>
      <w:r>
        <w:rPr>
          <w:rFonts w:ascii="Arial" w:cs="Arial" w:eastAsia="Arial" w:hAnsi="Arial"/>
          <w:sz w:val="22"/>
          <w:szCs w:val="22"/>
        </w:rPr>
        <w:t xml:space="preserve">ratio_liquidacion_demora — % de tickets de esta categoría (muy predictiva).</w:t>
      </w:r>
    </w:p>
    <w:p>
      <w:pPr>
        <w:pStyle w:val="ListParagraph"/>
        <w:numPr>
          <w:ilvl w:val="0"/>
          <w:numId w:val="2"/>
        </w:numPr>
        <w:spacing w:after="60"/>
      </w:pPr>
      <w:r>
        <w:rPr>
          <w:rFonts w:ascii="Arial" w:cs="Arial" w:eastAsia="Arial" w:hAnsi="Arial"/>
          <w:sz w:val="22"/>
          <w:szCs w:val="22"/>
        </w:rPr>
        <w:t xml:space="preserve">satisfaccion_prom_90d — cuando haya respuestas.</w:t>
      </w:r>
    </w:p>
    <w:p>
      <w:pPr>
        <w:pStyle w:val="Heading2"/>
        <w:spacing w:after="140" w:before="300"/>
      </w:pPr>
      <w:r>
        <w:rPr>
          <w:rFonts w:ascii="Arial" w:cs="Arial" w:eastAsia="Arial" w:hAnsi="Arial"/>
          <w:b/>
          <w:bCs/>
          <w:color w:val="2D1B5E"/>
          <w:sz w:val="26"/>
          <w:szCs w:val="26"/>
        </w:rPr>
        <w:t xml:space="preserve">7.3 Ejemplo de código de unificación (pseudocódigo)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00D4A6" w:sz="12"/>
              <w:bottom w:val="single" w:color="CCCCCC" w:sz="4"/>
              <w:right w:val="single" w:color="CCCCCC" w:sz="4"/>
            </w:tcBorders>
            <w:shd w:fill="F4F4F4" w:color="auto" w:val="clear"/>
            <w:tcMar>
              <w:top w:type="dxa" w:w="120"/>
              <w:left w:type="dxa" w:w="180"/>
              <w:bottom w:type="dxa" w:w="120"/>
              <w:right w:type="dxa" w:w="180"/>
            </w:tcMar>
          </w:tcPr>
          <w:p>
            <w:pPr>
              <w:spacing w:after="0"/>
            </w:pPr>
            <w:r>
              <w:rPr>
                <w:rFonts w:ascii="Courier New" w:cs="Courier New" w:eastAsia="Courier New" w:hAnsi="Courier New"/>
                <w:color w:val="333333"/>
                <w:sz w:val="18"/>
                <w:szCs w:val="18"/>
              </w:rPr>
              <w:t xml:space="preserve">import pandas as pd</w:t>
            </w:r>
          </w:p>
          <w:p>
            <w:pPr>
              <w:spacing w:after="0"/>
            </w:pPr>
            <w:r>
              <w:rPr>
                <w:rFonts w:ascii="Courier New" w:cs="Courier New" w:eastAsia="Courier New" w:hAnsi="Courier New"/>
                <w:color w:val="333333"/>
                <w:sz w:val="18"/>
                <w:szCs w:val="18"/>
              </w:rPr>
              <w:t xml:space="preserve">from datetime import datetime, timedelta</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 1. Cargar las tres tablas</w:t>
            </w:r>
          </w:p>
          <w:p>
            <w:pPr>
              <w:spacing w:after="0"/>
            </w:pPr>
            <w:r>
              <w:rPr>
                <w:rFonts w:ascii="Courier New" w:cs="Courier New" w:eastAsia="Courier New" w:hAnsi="Courier New"/>
                <w:color w:val="333333"/>
                <w:sz w:val="18"/>
                <w:szCs w:val="18"/>
              </w:rPr>
              <w:t xml:space="preserve">merchants = pd.read_csv("dim_merchants_con_abandono.csv")</w:t>
            </w:r>
          </w:p>
          <w:p>
            <w:pPr>
              <w:spacing w:after="0"/>
            </w:pPr>
            <w:r>
              <w:rPr>
                <w:rFonts w:ascii="Courier New" w:cs="Courier New" w:eastAsia="Courier New" w:hAnsi="Courier New"/>
                <w:color w:val="333333"/>
                <w:sz w:val="18"/>
                <w:szCs w:val="18"/>
              </w:rPr>
              <w:t xml:space="preserve">performance = pd.read_csv("fact_performance_monthly.csv")</w:t>
            </w:r>
          </w:p>
          <w:p>
            <w:pPr>
              <w:spacing w:after="0"/>
            </w:pPr>
            <w:r>
              <w:rPr>
                <w:rFonts w:ascii="Courier New" w:cs="Courier New" w:eastAsia="Courier New" w:hAnsi="Courier New"/>
                <w:color w:val="333333"/>
                <w:sz w:val="18"/>
                <w:szCs w:val="18"/>
              </w:rPr>
              <w:t xml:space="preserve">tickets = pd.read_csv("fact_support_tickets.csv")</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 2. Definir fecha de corte (IMPORTANTE: para evitar leakage temporal)</w:t>
            </w:r>
          </w:p>
          <w:p>
            <w:pPr>
              <w:spacing w:after="0"/>
            </w:pPr>
            <w:r>
              <w:rPr>
                <w:rFonts w:ascii="Courier New" w:cs="Courier New" w:eastAsia="Courier New" w:hAnsi="Courier New"/>
                <w:color w:val="333333"/>
                <w:sz w:val="18"/>
                <w:szCs w:val="18"/>
              </w:rPr>
              <w:t xml:space="preserve">#    Se predice churn en próximos 30 días, así que corte = FECHA_FIN - 30d</w:t>
            </w:r>
          </w:p>
          <w:p>
            <w:pPr>
              <w:spacing w:after="0"/>
            </w:pPr>
            <w:r>
              <w:rPr>
                <w:rFonts w:ascii="Courier New" w:cs="Courier New" w:eastAsia="Courier New" w:hAnsi="Courier New"/>
                <w:color w:val="333333"/>
                <w:sz w:val="18"/>
                <w:szCs w:val="18"/>
              </w:rPr>
              <w:t xml:space="preserve">FECHA_CORTE = datetime(2026, 2, 1)</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 3. Filtrar SOLO datos anteriores a la fecha de corte</w:t>
            </w:r>
          </w:p>
          <w:p>
            <w:pPr>
              <w:spacing w:after="0"/>
            </w:pPr>
            <w:r>
              <w:rPr>
                <w:rFonts w:ascii="Courier New" w:cs="Courier New" w:eastAsia="Courier New" w:hAnsi="Courier New"/>
                <w:color w:val="333333"/>
                <w:sz w:val="18"/>
                <w:szCs w:val="18"/>
              </w:rPr>
              <w:t xml:space="preserve">performance["mes_reporte"] = pd.to_datetime(performance["mes_reporte"])</w:t>
            </w:r>
          </w:p>
          <w:p>
            <w:pPr>
              <w:spacing w:after="0"/>
            </w:pPr>
            <w:r>
              <w:rPr>
                <w:rFonts w:ascii="Courier New" w:cs="Courier New" w:eastAsia="Courier New" w:hAnsi="Courier New"/>
                <w:color w:val="333333"/>
                <w:sz w:val="18"/>
                <w:szCs w:val="18"/>
              </w:rPr>
              <w:t xml:space="preserve">perf_filtrado = performance[performance["mes_reporte"] &lt; FECHA_CORTE]</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tickets["fecha_apertura"] = pd.to_datetime(tickets["fecha_apertura"])</w:t>
            </w:r>
          </w:p>
          <w:p>
            <w:pPr>
              <w:spacing w:after="0"/>
            </w:pPr>
            <w:r>
              <w:rPr>
                <w:rFonts w:ascii="Courier New" w:cs="Courier New" w:eastAsia="Courier New" w:hAnsi="Courier New"/>
                <w:color w:val="333333"/>
                <w:sz w:val="18"/>
                <w:szCs w:val="18"/>
              </w:rPr>
              <w:t xml:space="preserve">tickets_filtrado = tickets[tickets["fecha_apertura"] &lt; FECHA_CORTE]</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 4. Construir agregaciones por comercio (feature engineering)</w:t>
            </w:r>
          </w:p>
          <w:p>
            <w:pPr>
              <w:spacing w:after="0"/>
            </w:pPr>
            <w:r>
              <w:rPr>
                <w:rFonts w:ascii="Courier New" w:cs="Courier New" w:eastAsia="Courier New" w:hAnsi="Courier New"/>
                <w:color w:val="333333"/>
                <w:sz w:val="18"/>
                <w:szCs w:val="18"/>
              </w:rPr>
              <w:t xml:space="preserve">perf_features = construir_features_temporales(perf_filtrado)</w:t>
            </w:r>
          </w:p>
          <w:p>
            <w:pPr>
              <w:spacing w:after="0"/>
            </w:pPr>
            <w:r>
              <w:rPr>
                <w:rFonts w:ascii="Courier New" w:cs="Courier New" w:eastAsia="Courier New" w:hAnsi="Courier New"/>
                <w:color w:val="333333"/>
                <w:sz w:val="18"/>
                <w:szCs w:val="18"/>
              </w:rPr>
              <w:t xml:space="preserve">soporte_features = construir_features_soporte(tickets_filtrado)</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 5. Unificar: merge sobre merchant_id</w:t>
            </w:r>
          </w:p>
          <w:p>
            <w:pPr>
              <w:spacing w:after="0"/>
            </w:pPr>
            <w:r>
              <w:rPr>
                <w:rFonts w:ascii="Courier New" w:cs="Courier New" w:eastAsia="Courier New" w:hAnsi="Courier New"/>
                <w:color w:val="333333"/>
                <w:sz w:val="18"/>
                <w:szCs w:val="18"/>
              </w:rPr>
              <w:t xml:space="preserve">df_final = merchants.merge(perf_features, on="merchant_id", how="left")</w:t>
            </w:r>
          </w:p>
          <w:p>
            <w:pPr>
              <w:spacing w:after="0"/>
            </w:pPr>
            <w:r>
              <w:rPr>
                <w:rFonts w:ascii="Courier New" w:cs="Courier New" w:eastAsia="Courier New" w:hAnsi="Courier New"/>
                <w:color w:val="333333"/>
                <w:sz w:val="18"/>
                <w:szCs w:val="18"/>
              </w:rPr>
              <w:t xml:space="preserve">df_final = df_final.merge(soporte_features, on="merchant_id", how="left")</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 6. Imputar nulos (comercios sin tickets, por ejemplo)</w:t>
            </w:r>
          </w:p>
          <w:p>
            <w:pPr>
              <w:spacing w:after="0"/>
            </w:pPr>
            <w:r>
              <w:rPr>
                <w:rFonts w:ascii="Courier New" w:cs="Courier New" w:eastAsia="Courier New" w:hAnsi="Courier New"/>
                <w:color w:val="333333"/>
                <w:sz w:val="18"/>
                <w:szCs w:val="18"/>
              </w:rPr>
              <w:t xml:space="preserve">df_final = df_final.fillna(0)</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 7. Separar features y target</w:t>
            </w:r>
          </w:p>
          <w:p>
            <w:pPr>
              <w:spacing w:after="0"/>
            </w:pPr>
            <w:r>
              <w:rPr>
                <w:rFonts w:ascii="Courier New" w:cs="Courier New" w:eastAsia="Courier New" w:hAnsi="Courier New"/>
                <w:color w:val="333333"/>
                <w:sz w:val="18"/>
                <w:szCs w:val="18"/>
              </w:rPr>
              <w:t xml:space="preserve">X = df_final.drop(columns=["merchant_id", "nombre_comercio", "abandono_30d"])</w:t>
            </w:r>
          </w:p>
          <w:p>
            <w:pPr>
              <w:spacing w:after="0"/>
            </w:pPr>
            <w:r>
              <w:rPr>
                <w:rFonts w:ascii="Courier New" w:cs="Courier New" w:eastAsia="Courier New" w:hAnsi="Courier New"/>
                <w:color w:val="333333"/>
                <w:sz w:val="18"/>
                <w:szCs w:val="18"/>
              </w:rPr>
              <w:t xml:space="preserve">y = df_final["abandono_30d"]</w:t>
            </w:r>
          </w:p>
        </w:tc>
      </w:tr>
    </w:tbl>
    <w:p>
      <w:pPr>
        <w:pStyle w:val="Heading1"/>
        <w:pageBreakBefore/>
        <w:spacing w:after="180" w:before="360"/>
      </w:pPr>
      <w:r>
        <w:rPr>
          <w:rFonts w:ascii="Arial" w:cs="Arial" w:eastAsia="Arial" w:hAnsi="Arial"/>
          <w:b/>
          <w:bCs/>
          <w:color w:val="2D1B5E"/>
          <w:sz w:val="32"/>
          <w:szCs w:val="32"/>
        </w:rPr>
        <w:t xml:space="preserve">8. Consideraciones críticas</w:t>
      </w:r>
    </w:p>
    <w:p>
      <w:pPr>
        <w:pStyle w:val="Heading2"/>
        <w:spacing w:after="140" w:before="300"/>
      </w:pPr>
      <w:r>
        <w:rPr>
          <w:rFonts w:ascii="Arial" w:cs="Arial" w:eastAsia="Arial" w:hAnsi="Arial"/>
          <w:b/>
          <w:bCs/>
          <w:color w:val="2D1B5E"/>
          <w:sz w:val="26"/>
          <w:szCs w:val="26"/>
        </w:rPr>
        <w:t xml:space="preserve">8.1 Leakage temporal — el error más grave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E74C3C" w:sz="16"/>
              <w:bottom w:val="single" w:color="BFBFBF" w:sz="4"/>
              <w:right w:val="single" w:color="BFBFBF" w:sz="4"/>
            </w:tcBorders>
            <w:shd w:fill="FDEBEB" w:color="auto" w:val="clear"/>
            <w:tcMar>
              <w:top w:type="dxa" w:w="160"/>
              <w:left w:type="dxa" w:w="200"/>
              <w:bottom w:type="dxa" w:w="160"/>
              <w:right w:type="dxa" w:w="200"/>
            </w:tcMar>
          </w:tcPr>
          <w:p>
            <w:pPr>
              <w:spacing w:after="100"/>
            </w:pPr>
            <w:r>
              <w:rPr>
                <w:rFonts w:ascii="Arial" w:cs="Arial" w:eastAsia="Arial" w:hAnsi="Arial"/>
                <w:b/>
                <w:bCs/>
                <w:color w:val="2D1B5E"/>
                <w:sz w:val="22"/>
                <w:szCs w:val="22"/>
              </w:rPr>
              <w:t xml:space="preserve">⚠️ Atención del equipo de modelado</w:t>
            </w:r>
          </w:p>
          <w:p>
            <w:pPr>
              <w:spacing w:after="60"/>
            </w:pPr>
            <w:r>
              <w:rPr>
                <w:rFonts w:ascii="Arial" w:cs="Arial" w:eastAsia="Arial" w:hAnsi="Arial"/>
                <w:sz w:val="20"/>
                <w:szCs w:val="20"/>
              </w:rPr>
              <w:t xml:space="preserve">La etiqueta abandono_30d marca comercios que abandonan en los próximos 30 días contados desde la FECHA_FIN del dataset (marzo 2026).</w:t>
            </w:r>
          </w:p>
          <w:p>
            <w:pPr>
              <w:spacing w:after="60"/>
            </w:pPr>
            <w:r>
              <w:rPr>
                <w:rFonts w:ascii="Arial" w:cs="Arial" w:eastAsia="Arial" w:hAnsi="Arial"/>
                <w:sz w:val="20"/>
                <w:szCs w:val="20"/>
              </w:rPr>
              <w:t xml:space="preserve">Al entrenar, NO SE DEBEN USAR los datos del último mes como features, porque esos datos reflejan el evento mismo del abandono.</w:t>
            </w:r>
          </w:p>
          <w:p>
            <w:pPr>
              <w:spacing w:after="60"/>
            </w:pPr>
            <w:r>
              <w:rPr>
                <w:rFonts w:ascii="Arial" w:cs="Arial" w:eastAsia="Arial" w:hAnsi="Arial"/>
                <w:sz w:val="20"/>
                <w:szCs w:val="20"/>
              </w:rPr>
              <w:t xml:space="preserve">La fecha de corte correcta es FECHA_FIN - 30 días (aprox 1 de febrero 2026). Las features deben construirse usando únicamente datos anteriores a esa fecha.</w:t>
            </w:r>
          </w:p>
          <w:p>
            <w:pPr>
              <w:spacing w:after="60"/>
            </w:pPr>
            <w:r>
              <w:rPr>
                <w:rFonts w:ascii="Arial" w:cs="Arial" w:eastAsia="Arial" w:hAnsi="Arial"/>
                <w:sz w:val="20"/>
                <w:szCs w:val="20"/>
              </w:rPr>
              <w:t xml:space="preserve">Si el modelo alcanza AUC &gt; 0.95 con facilidad, casi seguro hay leakage temporal.</w:t>
            </w:r>
          </w:p>
        </w:tc>
      </w:tr>
    </w:tbl>
    <w:p>
      <w:pPr>
        <w:pStyle w:val="Heading2"/>
        <w:spacing w:after="140" w:before="300"/>
      </w:pPr>
      <w:r>
        <w:rPr>
          <w:rFonts w:ascii="Arial" w:cs="Arial" w:eastAsia="Arial" w:hAnsi="Arial"/>
          <w:b/>
          <w:bCs/>
          <w:color w:val="2D1B5E"/>
          <w:sz w:val="26"/>
          <w:szCs w:val="26"/>
        </w:rPr>
        <w:t xml:space="preserve">8.2 Variable oculta — protegerla</w:t>
      </w:r>
    </w:p>
    <w:p>
      <w:pPr>
        <w:spacing w:after="100" w:before="0"/>
      </w:pPr>
      <w:r>
        <w:rPr>
          <w:rFonts w:ascii="Arial" w:cs="Arial" w:eastAsia="Arial" w:hAnsi="Arial"/>
          <w:sz w:val="22"/>
          <w:szCs w:val="22"/>
        </w:rPr>
        <w:t xml:space="preserve">La variable _salud_latente se usa internamente durante la generación pero NUNCA se expone en los CSV. Si por alguna razón apareciera como feature (copiada desde un notebook intermedio), el modelo lograría AUC = 1.0 trivialmente y los resultados no serían válidos.</w:t>
      </w:r>
    </w:p>
    <w:p>
      <w:pPr>
        <w:pStyle w:val="Heading2"/>
        <w:spacing w:after="140" w:before="300"/>
      </w:pPr>
      <w:r>
        <w:rPr>
          <w:rFonts w:ascii="Arial" w:cs="Arial" w:eastAsia="Arial" w:hAnsi="Arial"/>
          <w:b/>
          <w:bCs/>
          <w:color w:val="2D1B5E"/>
          <w:sz w:val="26"/>
          <w:szCs w:val="26"/>
        </w:rPr>
        <w:t xml:space="preserve">8.3 Desbalance de clase</w:t>
      </w:r>
    </w:p>
    <w:p>
      <w:pPr>
        <w:spacing w:after="100" w:before="0"/>
      </w:pPr>
      <w:r>
        <w:rPr>
          <w:rFonts w:ascii="Arial" w:cs="Arial" w:eastAsia="Arial" w:hAnsi="Arial"/>
          <w:sz w:val="22"/>
          <w:szCs w:val="22"/>
        </w:rPr>
        <w:t xml:space="preserve">La tasa de abandono es del 13%, lo que implica un desbalance moderado. Técnicas recomendadas:</w:t>
      </w:r>
    </w:p>
    <w:p>
      <w:pPr>
        <w:pStyle w:val="ListParagraph"/>
        <w:numPr>
          <w:ilvl w:val="0"/>
          <w:numId w:val="2"/>
        </w:numPr>
        <w:spacing w:after="60"/>
      </w:pPr>
      <w:r>
        <w:rPr>
          <w:rFonts w:ascii="Arial" w:cs="Arial" w:eastAsia="Arial" w:hAnsi="Arial"/>
          <w:b/>
          <w:bCs/>
          <w:sz w:val="22"/>
          <w:szCs w:val="22"/>
        </w:rPr>
        <w:t xml:space="preserve">XGBoost: </w:t>
      </w:r>
      <w:r>
        <w:rPr>
          <w:rFonts w:ascii="Arial" w:cs="Arial" w:eastAsia="Arial" w:hAnsi="Arial"/>
          <w:sz w:val="22"/>
          <w:szCs w:val="22"/>
        </w:rPr>
        <w:t xml:space="preserve">usar scale_pos_weight = (n_negativos / n_positivos) ≈ 6.7 en XGBoost.</w:t>
      </w:r>
    </w:p>
    <w:p>
      <w:pPr>
        <w:pStyle w:val="ListParagraph"/>
        <w:numPr>
          <w:ilvl w:val="0"/>
          <w:numId w:val="2"/>
        </w:numPr>
        <w:spacing w:after="60"/>
      </w:pPr>
      <w:r>
        <w:rPr>
          <w:rFonts w:ascii="Arial" w:cs="Arial" w:eastAsia="Arial" w:hAnsi="Arial"/>
          <w:b/>
          <w:bCs/>
          <w:sz w:val="22"/>
          <w:szCs w:val="22"/>
        </w:rPr>
        <w:t xml:space="preserve">Random Forest / LogReg: </w:t>
      </w:r>
      <w:r>
        <w:rPr>
          <w:rFonts w:ascii="Arial" w:cs="Arial" w:eastAsia="Arial" w:hAnsi="Arial"/>
          <w:sz w:val="22"/>
          <w:szCs w:val="22"/>
        </w:rPr>
        <w:t xml:space="preserve">class_weight='balanced' en sklearn.</w:t>
      </w:r>
    </w:p>
    <w:p>
      <w:pPr>
        <w:pStyle w:val="ListParagraph"/>
        <w:numPr>
          <w:ilvl w:val="0"/>
          <w:numId w:val="2"/>
        </w:numPr>
        <w:spacing w:after="60"/>
      </w:pPr>
      <w:r>
        <w:rPr>
          <w:rFonts w:ascii="Arial" w:cs="Arial" w:eastAsia="Arial" w:hAnsi="Arial"/>
          <w:b/>
          <w:bCs/>
          <w:sz w:val="22"/>
          <w:szCs w:val="22"/>
        </w:rPr>
        <w:t xml:space="preserve">SMOTE: </w:t>
      </w:r>
      <w:r>
        <w:rPr>
          <w:rFonts w:ascii="Arial" w:cs="Arial" w:eastAsia="Arial" w:hAnsi="Arial"/>
          <w:sz w:val="22"/>
          <w:szCs w:val="22"/>
        </w:rPr>
        <w:t xml:space="preserve">solo sobre el set de training, nunca sobre validación o test.</w:t>
      </w:r>
    </w:p>
    <w:p>
      <w:pPr>
        <w:pStyle w:val="ListParagraph"/>
        <w:numPr>
          <w:ilvl w:val="0"/>
          <w:numId w:val="2"/>
        </w:numPr>
        <w:spacing w:after="60"/>
      </w:pPr>
      <w:r>
        <w:rPr>
          <w:rFonts w:ascii="Arial" w:cs="Arial" w:eastAsia="Arial" w:hAnsi="Arial"/>
          <w:b/>
          <w:bCs/>
          <w:sz w:val="22"/>
          <w:szCs w:val="22"/>
        </w:rPr>
        <w:t xml:space="preserve">Cross-validation: </w:t>
      </w:r>
      <w:r>
        <w:rPr>
          <w:rFonts w:ascii="Arial" w:cs="Arial" w:eastAsia="Arial" w:hAnsi="Arial"/>
          <w:sz w:val="22"/>
          <w:szCs w:val="22"/>
        </w:rPr>
        <w:t xml:space="preserve">conservar estratificación por abandono_30d en todos los splits.</w:t>
      </w:r>
    </w:p>
    <w:p>
      <w:pPr>
        <w:pStyle w:val="Heading2"/>
        <w:spacing w:after="140" w:before="300"/>
      </w:pPr>
      <w:r>
        <w:rPr>
          <w:rFonts w:ascii="Arial" w:cs="Arial" w:eastAsia="Arial" w:hAnsi="Arial"/>
          <w:b/>
          <w:bCs/>
          <w:color w:val="2D1B5E"/>
          <w:sz w:val="26"/>
          <w:szCs w:val="26"/>
        </w:rPr>
        <w:t xml:space="preserve">8.4 Reproducibilidad</w:t>
      </w:r>
    </w:p>
    <w:p>
      <w:pPr>
        <w:spacing w:after="100" w:before="0"/>
      </w:pPr>
      <w:r>
        <w:rPr>
          <w:rFonts w:ascii="Arial" w:cs="Arial" w:eastAsia="Arial" w:hAnsi="Arial"/>
          <w:sz w:val="22"/>
          <w:szCs w:val="22"/>
        </w:rPr>
        <w:t xml:space="preserve">Todos los scripts usan SEED=42. Si el equipo necesita regenerar los datos para pruebas, los resultados serán idénticos. Si se modifican los parámetros (por ejemplo TASA_CHURN_OBJETIVO), es buena práctica documentar el cambio y versionar.</w:t>
      </w:r>
    </w:p>
    <w:p>
      <w:pPr>
        <w:pStyle w:val="Heading2"/>
        <w:spacing w:after="140" w:before="300"/>
      </w:pPr>
      <w:r>
        <w:rPr>
          <w:rFonts w:ascii="Arial" w:cs="Arial" w:eastAsia="Arial" w:hAnsi="Arial"/>
          <w:b/>
          <w:bCs/>
          <w:color w:val="2D1B5E"/>
          <w:sz w:val="26"/>
          <w:szCs w:val="26"/>
        </w:rPr>
        <w:t xml:space="preserve">8.5 Orden de las tablas al modelar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3D2B7E" w:sz="16"/>
              <w:bottom w:val="single" w:color="BFBFBF" w:sz="4"/>
              <w:right w:val="single" w:color="BFBFBF" w:sz="4"/>
            </w:tcBorders>
            <w:shd w:fill="E8F4FD" w:color="auto" w:val="clear"/>
            <w:tcMar>
              <w:top w:type="dxa" w:w="160"/>
              <w:left w:type="dxa" w:w="200"/>
              <w:bottom w:type="dxa" w:w="160"/>
              <w:right w:type="dxa" w:w="200"/>
            </w:tcMar>
          </w:tcPr>
          <w:p>
            <w:pPr>
              <w:spacing w:after="100"/>
            </w:pPr>
            <w:r>
              <w:rPr>
                <w:rFonts w:ascii="Arial" w:cs="Arial" w:eastAsia="Arial" w:hAnsi="Arial"/>
                <w:b/>
                <w:bCs/>
                <w:color w:val="2D1B5E"/>
                <w:sz w:val="22"/>
                <w:szCs w:val="22"/>
              </w:rPr>
              <w:t xml:space="preserve">Flujo recomendado para el notebook del modelo</w:t>
            </w:r>
          </w:p>
          <w:p>
            <w:pPr>
              <w:spacing w:after="60"/>
            </w:pPr>
            <w:r>
              <w:rPr>
                <w:rFonts w:ascii="Arial" w:cs="Arial" w:eastAsia="Arial" w:hAnsi="Arial"/>
                <w:sz w:val="20"/>
                <w:szCs w:val="20"/>
              </w:rPr>
              <w:t xml:space="preserve">1. Leer las 3 tablas (dim_merchants_con_abandono, fact_performance_monthly, fact_support_tickets).</w:t>
            </w:r>
          </w:p>
          <w:p>
            <w:pPr>
              <w:spacing w:after="60"/>
            </w:pPr>
            <w:r>
              <w:rPr>
                <w:rFonts w:ascii="Arial" w:cs="Arial" w:eastAsia="Arial" w:hAnsi="Arial"/>
                <w:sz w:val="20"/>
                <w:szCs w:val="20"/>
              </w:rPr>
              <w:t xml:space="preserve">2. Definir fecha_corte y filtrar datos anteriores a ella.</w:t>
            </w:r>
          </w:p>
          <w:p>
            <w:pPr>
              <w:spacing w:after="60"/>
            </w:pPr>
            <w:r>
              <w:rPr>
                <w:rFonts w:ascii="Arial" w:cs="Arial" w:eastAsia="Arial" w:hAnsi="Arial"/>
                <w:sz w:val="20"/>
                <w:szCs w:val="20"/>
              </w:rPr>
              <w:t xml:space="preserve">3. Construir features agregadas por comercio en distintas ventanas (30d, 60d, 90d, all-time).</w:t>
            </w:r>
          </w:p>
          <w:p>
            <w:pPr>
              <w:spacing w:after="60"/>
            </w:pPr>
            <w:r>
              <w:rPr>
                <w:rFonts w:ascii="Arial" w:cs="Arial" w:eastAsia="Arial" w:hAnsi="Arial"/>
                <w:sz w:val="20"/>
                <w:szCs w:val="20"/>
              </w:rPr>
              <w:t xml:space="preserve">4. Merge final sobre merchant_id. El dataset de training tendrá exactamente 2.000 filas.</w:t>
            </w:r>
          </w:p>
          <w:p>
            <w:pPr>
              <w:spacing w:after="60"/>
            </w:pPr>
            <w:r>
              <w:rPr>
                <w:rFonts w:ascii="Arial" w:cs="Arial" w:eastAsia="Arial" w:hAnsi="Arial"/>
                <w:sz w:val="20"/>
                <w:szCs w:val="20"/>
              </w:rPr>
              <w:t xml:space="preserve">5. Split train/test estratificado (80/20) respetando proporción de churners.</w:t>
            </w:r>
          </w:p>
          <w:p>
            <w:pPr>
              <w:spacing w:after="60"/>
            </w:pPr>
            <w:r>
              <w:rPr>
                <w:rFonts w:ascii="Arial" w:cs="Arial" w:eastAsia="Arial" w:hAnsi="Arial"/>
                <w:sz w:val="20"/>
                <w:szCs w:val="20"/>
              </w:rPr>
              <w:t xml:space="preserve">6. Entrenar con XGBoost + scale_pos_weight, evaluar AUC, precision/recall.</w:t>
            </w:r>
          </w:p>
          <w:p>
            <w:pPr>
              <w:spacing w:after="60"/>
            </w:pPr>
            <w:r>
              <w:rPr>
                <w:rFonts w:ascii="Arial" w:cs="Arial" w:eastAsia="Arial" w:hAnsi="Arial"/>
                <w:sz w:val="20"/>
                <w:szCs w:val="20"/>
              </w:rPr>
              <w:t xml:space="preserve">7. Aplicar SHAP sobre el test set para obtener top-3 drivers por comercio.</w:t>
            </w:r>
          </w:p>
          <w:p>
            <w:pPr>
              <w:spacing w:after="60"/>
            </w:pPr>
            <w:r>
              <w:rPr>
                <w:rFonts w:ascii="Arial" w:cs="Arial" w:eastAsia="Arial" w:hAnsi="Arial"/>
                <w:sz w:val="20"/>
                <w:szCs w:val="20"/>
              </w:rPr>
              <w:t xml:space="preserve">8. Generar fact_churn_predictions.csv con los outputs.</w:t>
            </w:r>
          </w:p>
        </w:tc>
      </w:tr>
    </w:tbl>
    <w:p>
      <w:pPr>
        <w:pStyle w:val="Heading1"/>
        <w:pageBreakBefore/>
        <w:spacing w:after="180" w:before="360"/>
      </w:pPr>
      <w:r>
        <w:rPr>
          <w:rFonts w:ascii="Arial" w:cs="Arial" w:eastAsia="Arial" w:hAnsi="Arial"/>
          <w:b/>
          <w:bCs/>
          <w:color w:val="2D1B5E"/>
          <w:sz w:val="32"/>
          <w:szCs w:val="32"/>
        </w:rPr>
        <w:t xml:space="preserve">9. Roadmap — qué falta</w:t>
      </w:r>
    </w:p>
    <w:p>
      <w:pPr>
        <w:pStyle w:val="Heading2"/>
        <w:spacing w:after="140" w:before="300"/>
      </w:pPr>
      <w:r>
        <w:rPr>
          <w:rFonts w:ascii="Arial" w:cs="Arial" w:eastAsia="Arial" w:hAnsi="Arial"/>
          <w:b/>
          <w:bCs/>
          <w:color w:val="2D1B5E"/>
          <w:sz w:val="26"/>
          <w:szCs w:val="26"/>
        </w:rPr>
        <w:t xml:space="preserve">9.1 Componentes pendientes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626"/>
      </w:tblGrid>
      <w:tr>
        <w:trPr>
          <w:tblHeader/>
        </w:trPr>
        <w:tc>
          <w:tcPr>
            <w:tcW w:type="dxa" w:w="3200"/>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Entregable</w:t>
            </w:r>
          </w:p>
        </w:tc>
        <w:tc>
          <w:tcPr>
            <w:tcW w:type="dxa" w:w="1200"/>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Prioridad</w:t>
            </w:r>
          </w:p>
        </w:tc>
        <w:tc>
          <w:tcPr>
            <w:tcW w:type="dxa" w:w="4626"/>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Descripción</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bCs/>
                <w:sz w:val="20"/>
                <w:szCs w:val="20"/>
              </w:rPr>
              <w:t xml:space="preserve">Notebook del modelo</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Alta</w:t>
            </w:r>
          </w:p>
        </w:tc>
        <w:tc>
          <w:tcPr>
            <w:tcW w:type="dxa" w:w="4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Feature engineering + entrenamiento + SHAP</w:t>
            </w:r>
          </w:p>
        </w:tc>
      </w:tr>
      <w:tr>
        <w:tc>
          <w:tcPr>
            <w:tcW w:type="dxa" w:w="32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b/>
                <w:bCs/>
                <w:sz w:val="20"/>
                <w:szCs w:val="20"/>
              </w:rPr>
              <w:t xml:space="preserve">fact_churn_predictions.csv</w:t>
            </w:r>
          </w:p>
        </w:tc>
        <w:tc>
          <w:tcPr>
            <w:tcW w:type="dxa" w:w="12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Alta</w:t>
            </w:r>
          </w:p>
        </w:tc>
        <w:tc>
          <w:tcPr>
            <w:tcW w:type="dxa" w:w="46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Salida del modelo con scores, drivers y NBA</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bCs/>
                <w:sz w:val="20"/>
                <w:szCs w:val="20"/>
              </w:rPr>
              <w:t xml:space="preserve">Dashboard</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Alta</w:t>
            </w:r>
          </w:p>
        </w:tc>
        <w:tc>
          <w:tcPr>
            <w:tcW w:type="dxa" w:w="4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Visualización interactiva por nivel de riesgo</w:t>
            </w:r>
          </w:p>
        </w:tc>
      </w:tr>
      <w:tr>
        <w:tc>
          <w:tcPr>
            <w:tcW w:type="dxa" w:w="32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b/>
                <w:bCs/>
                <w:sz w:val="20"/>
                <w:szCs w:val="20"/>
              </w:rPr>
              <w:t xml:space="preserve">Plan de acción</w:t>
            </w:r>
          </w:p>
        </w:tc>
        <w:tc>
          <w:tcPr>
            <w:tcW w:type="dxa" w:w="12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Media</w:t>
            </w:r>
          </w:p>
        </w:tc>
        <w:tc>
          <w:tcPr>
            <w:tcW w:type="dxa" w:w="46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Documento con acciones por nivel de riesgo</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bCs/>
                <w:sz w:val="20"/>
                <w:szCs w:val="20"/>
              </w:rPr>
              <w:t xml:space="preserve">Pitch deck (5 min)</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Media</w:t>
            </w:r>
          </w:p>
        </w:tc>
        <w:tc>
          <w:tcPr>
            <w:tcW w:type="dxa" w:w="46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Presentación final para el jurado</w:t>
            </w:r>
          </w:p>
        </w:tc>
      </w:tr>
      <w:tr>
        <w:tc>
          <w:tcPr>
            <w:tcW w:type="dxa" w:w="32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b/>
                <w:bCs/>
                <w:sz w:val="20"/>
                <w:szCs w:val="20"/>
              </w:rPr>
              <w:t xml:space="preserve">Resumen ejecutivo (1 pág)</w:t>
            </w:r>
          </w:p>
        </w:tc>
        <w:tc>
          <w:tcPr>
            <w:tcW w:type="dxa" w:w="12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Baja</w:t>
            </w:r>
          </w:p>
        </w:tc>
        <w:tc>
          <w:tcPr>
            <w:tcW w:type="dxa" w:w="46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Documento síntesis para el jurado</w:t>
            </w:r>
          </w:p>
        </w:tc>
      </w:tr>
    </w:tbl>
    <w:p>
      <w:pPr>
        <w:pStyle w:val="Heading2"/>
        <w:spacing w:after="140" w:before="300"/>
      </w:pPr>
      <w:r>
        <w:rPr>
          <w:rFonts w:ascii="Arial" w:cs="Arial" w:eastAsia="Arial" w:hAnsi="Arial"/>
          <w:b/>
          <w:bCs/>
          <w:color w:val="2D1B5E"/>
          <w:sz w:val="26"/>
          <w:szCs w:val="26"/>
        </w:rPr>
        <w:t xml:space="preserve">9.2 Estructura sugerida de fact_churn_predictions</w:t>
      </w:r>
    </w:p>
    <w:p>
      <w:pPr>
        <w:spacing w:after="100" w:before="0"/>
      </w:pPr>
      <w:r>
        <w:rPr>
          <w:rFonts w:ascii="Arial" w:cs="Arial" w:eastAsia="Arial" w:hAnsi="Arial"/>
          <w:sz w:val="22"/>
          <w:szCs w:val="22"/>
        </w:rPr>
        <w:t xml:space="preserve">Una vez entrenado el modelo, cada fila de predicción debe contener: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rPr>
          <w:tblHeader/>
        </w:trPr>
        <w:tc>
          <w:tcPr>
            <w:tcW w:type="dxa" w:w="3000"/>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Campo</w:t>
            </w:r>
          </w:p>
        </w:tc>
        <w:tc>
          <w:tcPr>
            <w:tcW w:type="dxa" w:w="1800"/>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Tipo</w:t>
            </w:r>
          </w:p>
        </w:tc>
        <w:tc>
          <w:tcPr>
            <w:tcW w:type="dxa" w:w="4226"/>
            <w:tcBorders>
              <w:top w:val="single" w:color="BFBFBF" w:sz="4"/>
              <w:left w:val="single" w:color="BFBFBF" w:sz="4"/>
              <w:bottom w:val="single" w:color="BFBFBF" w:sz="4"/>
              <w:right w:val="single" w:color="BFBFBF" w:sz="4"/>
            </w:tcBorders>
            <w:shd w:fill="2D1B5E"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Descripción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merchant_id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STRING (FK/PK)</w:t>
            </w:r>
          </w:p>
        </w:tc>
        <w:tc>
          <w:tcPr>
            <w:tcW w:type="dxa" w:w="4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Comercio</w:t>
            </w:r>
          </w:p>
        </w:tc>
      </w:tr>
      <w:tr>
        <w:tc>
          <w:tcPr>
            <w:tcW w:type="dxa" w:w="30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fecha_snapshot</w:t>
            </w:r>
          </w:p>
        </w:tc>
        <w:tc>
          <w:tcPr>
            <w:tcW w:type="dxa" w:w="18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DATE (PK)</w:t>
            </w:r>
          </w:p>
        </w:tc>
        <w:tc>
          <w:tcPr>
            <w:tcW w:type="dxa" w:w="42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Cuándo se ejecutó el modelo</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modelo_version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STRING</w:t>
            </w:r>
          </w:p>
        </w:tc>
        <w:tc>
          <w:tcPr>
            <w:tcW w:type="dxa" w:w="4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Identificador del modelo (ej: xgb_v1.0)</w:t>
            </w:r>
          </w:p>
        </w:tc>
      </w:tr>
      <w:tr>
        <w:tc>
          <w:tcPr>
            <w:tcW w:type="dxa" w:w="30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probabilidad_churn</w:t>
            </w:r>
          </w:p>
        </w:tc>
        <w:tc>
          <w:tcPr>
            <w:tcW w:type="dxa" w:w="18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FLOAT</w:t>
            </w:r>
          </w:p>
        </w:tc>
        <w:tc>
          <w:tcPr>
            <w:tcW w:type="dxa" w:w="42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Score 0.00-1.00</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nivel_riesgo</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STRING</w:t>
            </w:r>
          </w:p>
        </w:tc>
        <w:tc>
          <w:tcPr>
            <w:tcW w:type="dxa" w:w="4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Crítico / Alto / Medio / Bajo</w:t>
            </w:r>
          </w:p>
        </w:tc>
      </w:tr>
      <w:tr>
        <w:tc>
          <w:tcPr>
            <w:tcW w:type="dxa" w:w="30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driver_1_nombre</w:t>
            </w:r>
          </w:p>
        </w:tc>
        <w:tc>
          <w:tcPr>
            <w:tcW w:type="dxa" w:w="18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STRING</w:t>
            </w:r>
          </w:p>
        </w:tc>
        <w:tc>
          <w:tcPr>
            <w:tcW w:type="dxa" w:w="42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Nombre del feature con mayor SHAP</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driver_1_shap</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FLOAT</w:t>
            </w:r>
          </w:p>
        </w:tc>
        <w:tc>
          <w:tcPr>
            <w:tcW w:type="dxa" w:w="4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Valor SHAP</w:t>
            </w:r>
          </w:p>
        </w:tc>
      </w:tr>
      <w:tr>
        <w:tc>
          <w:tcPr>
            <w:tcW w:type="dxa" w:w="30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driver_2_nombre</w:t>
            </w:r>
          </w:p>
        </w:tc>
        <w:tc>
          <w:tcPr>
            <w:tcW w:type="dxa" w:w="18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STRING</w:t>
            </w:r>
          </w:p>
        </w:tc>
        <w:tc>
          <w:tcPr>
            <w:tcW w:type="dxa" w:w="42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Segundo driver</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driver_2_shap</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FLOAT</w:t>
            </w:r>
          </w:p>
        </w:tc>
        <w:tc>
          <w:tcPr>
            <w:tcW w:type="dxa" w:w="4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Valor SHAP</w:t>
            </w:r>
          </w:p>
        </w:tc>
      </w:tr>
      <w:tr>
        <w:tc>
          <w:tcPr>
            <w:tcW w:type="dxa" w:w="30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driver_3_nombre</w:t>
            </w:r>
          </w:p>
        </w:tc>
        <w:tc>
          <w:tcPr>
            <w:tcW w:type="dxa" w:w="18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STRING</w:t>
            </w:r>
          </w:p>
        </w:tc>
        <w:tc>
          <w:tcPr>
            <w:tcW w:type="dxa" w:w="42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Tercer driver</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driver_3_shap</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FLOAT</w:t>
            </w:r>
          </w:p>
        </w:tc>
        <w:tc>
          <w:tcPr>
            <w:tcW w:type="dxa" w:w="4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Valor SHAP</w:t>
            </w:r>
          </w:p>
        </w:tc>
      </w:tr>
      <w:tr>
        <w:tc>
          <w:tcPr>
            <w:tcW w:type="dxa" w:w="30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clv_proyectado</w:t>
            </w:r>
          </w:p>
        </w:tc>
        <w:tc>
          <w:tcPr>
            <w:tcW w:type="dxa" w:w="18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FLOAT</w:t>
            </w:r>
          </w:p>
        </w:tc>
        <w:tc>
          <w:tcPr>
            <w:tcW w:type="dxa" w:w="42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Valor de vida útil estimado</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nba_sugerida</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STRING</w:t>
            </w:r>
          </w:p>
        </w:tc>
        <w:tc>
          <w:tcPr>
            <w:tcW w:type="dxa" w:w="422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sz w:val="20"/>
                <w:szCs w:val="20"/>
              </w:rPr>
              <w:t xml:space="preserve">Next Best Action (derivada de drivers)</w:t>
            </w:r>
          </w:p>
        </w:tc>
      </w:tr>
      <w:tr>
        <w:tc>
          <w:tcPr>
            <w:tcW w:type="dxa" w:w="30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Courier New" w:cs="Courier New" w:eastAsia="Courier New" w:hAnsi="Courier New"/>
                <w:b/>
                <w:bCs/>
                <w:sz w:val="20"/>
                <w:szCs w:val="20"/>
              </w:rPr>
              <w:t xml:space="preserve">score_salud</w:t>
            </w:r>
          </w:p>
        </w:tc>
        <w:tc>
          <w:tcPr>
            <w:tcW w:type="dxa" w:w="1800"/>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FLOAT</w:t>
            </w:r>
          </w:p>
        </w:tc>
        <w:tc>
          <w:tcPr>
            <w:tcW w:type="dxa" w:w="4226"/>
            <w:tcBorders>
              <w:top w:val="single" w:color="BFBFBF" w:sz="4"/>
              <w:left w:val="single" w:color="BFBFBF" w:sz="4"/>
              <w:bottom w:val="single" w:color="BFBFBF" w:sz="4"/>
              <w:right w:val="single" w:color="BFBFBF" w:sz="4"/>
            </w:tcBorders>
            <w:shd w:fill="F7F5FB" w:color="auto" w:val="clear"/>
            <w:tcMar>
              <w:top w:type="dxa" w:w="100"/>
              <w:left w:type="dxa" w:w="140"/>
              <w:bottom w:type="dxa" w:w="100"/>
              <w:right w:type="dxa" w:w="140"/>
            </w:tcMar>
          </w:tcPr>
          <w:p>
            <w:pPr>
              <w:spacing w:after="0"/>
            </w:pPr>
            <w:r>
              <w:rPr>
                <w:rFonts w:ascii="Arial" w:cs="Arial" w:eastAsia="Arial" w:hAnsi="Arial"/>
                <w:sz w:val="20"/>
                <w:szCs w:val="20"/>
              </w:rPr>
              <w:t xml:space="preserve">Índice 0-100 inverso al riesgo</w:t>
            </w:r>
          </w:p>
        </w:tc>
      </w:tr>
    </w:tbl>
    <w:p>
      <w:pPr>
        <w:spacing w:before="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00D4A6" w:sz="16"/>
              <w:bottom w:val="single" w:color="BFBFBF" w:sz="4"/>
              <w:right w:val="single" w:color="BFBFBF" w:sz="4"/>
            </w:tcBorders>
            <w:shd w:fill="E8F5E9" w:color="auto" w:val="clear"/>
            <w:tcMar>
              <w:top w:type="dxa" w:w="160"/>
              <w:left w:type="dxa" w:w="200"/>
              <w:bottom w:type="dxa" w:w="160"/>
              <w:right w:type="dxa" w:w="200"/>
            </w:tcMar>
          </w:tcPr>
          <w:p>
            <w:pPr>
              <w:spacing w:after="100"/>
            </w:pPr>
            <w:r>
              <w:rPr>
                <w:rFonts w:ascii="Arial" w:cs="Arial" w:eastAsia="Arial" w:hAnsi="Arial"/>
                <w:b/>
                <w:bCs/>
                <w:color w:val="2D1B5E"/>
                <w:sz w:val="22"/>
                <w:szCs w:val="22"/>
              </w:rPr>
              <w:t xml:space="preserve">Próximos pasos inmediatos</w:t>
            </w:r>
          </w:p>
          <w:p>
            <w:pPr>
              <w:spacing w:after="60"/>
            </w:pPr>
            <w:r>
              <w:rPr>
                <w:rFonts w:ascii="Arial" w:cs="Arial" w:eastAsia="Arial" w:hAnsi="Arial"/>
                <w:sz w:val="20"/>
                <w:szCs w:val="20"/>
              </w:rPr>
              <w:t xml:space="preserve">1. Armar el notebook del modelo: feature engineering + XGBoost + SHAP.</w:t>
            </w:r>
          </w:p>
          <w:p>
            <w:pPr>
              <w:spacing w:after="60"/>
            </w:pPr>
            <w:r>
              <w:rPr>
                <w:rFonts w:ascii="Arial" w:cs="Arial" w:eastAsia="Arial" w:hAnsi="Arial"/>
                <w:sz w:val="20"/>
                <w:szCs w:val="20"/>
              </w:rPr>
              <w:t xml:space="preserve">2. Evaluar métricas con AUC &gt; 0.75 (umbral orientativo del reto).</w:t>
            </w:r>
          </w:p>
          <w:p>
            <w:pPr>
              <w:spacing w:after="60"/>
            </w:pPr>
            <w:r>
              <w:rPr>
                <w:rFonts w:ascii="Arial" w:cs="Arial" w:eastAsia="Arial" w:hAnsi="Arial"/>
                <w:sz w:val="20"/>
                <w:szCs w:val="20"/>
              </w:rPr>
              <w:t xml:space="preserve">3. Generar fact_churn_predictions.csv con los outputs del modelo.</w:t>
            </w:r>
          </w:p>
          <w:p>
            <w:pPr>
              <w:spacing w:after="60"/>
            </w:pPr>
            <w:r>
              <w:rPr>
                <w:rFonts w:ascii="Arial" w:cs="Arial" w:eastAsia="Arial" w:hAnsi="Arial"/>
                <w:sz w:val="20"/>
                <w:szCs w:val="20"/>
              </w:rPr>
              <w:t xml:space="preserve">4. Construir el dashboard interactivo usando las 4 tablas finales.</w:t>
            </w:r>
          </w:p>
          <w:p>
            <w:pPr>
              <w:spacing w:after="60"/>
            </w:pPr>
            <w:r>
              <w:rPr>
                <w:rFonts w:ascii="Arial" w:cs="Arial" w:eastAsia="Arial" w:hAnsi="Arial"/>
                <w:sz w:val="20"/>
                <w:szCs w:val="20"/>
              </w:rPr>
              <w:t xml:space="preserve">5. Documentar el plan de acción por nivel de riesgo.</w:t>
            </w:r>
          </w:p>
          <w:p>
            <w:pPr>
              <w:spacing w:after="60"/>
            </w:pPr>
            <w:r>
              <w:rPr>
                <w:rFonts w:ascii="Arial" w:cs="Arial" w:eastAsia="Arial" w:hAnsi="Arial"/>
                <w:sz w:val="20"/>
                <w:szCs w:val="20"/>
              </w:rPr>
              <w:t xml:space="preserve">6. Preparar el pitch final de 5 minutos.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Guía del Dataset Sintético — Reto Deuna · Interact2Hack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D1B5E"/>
      <w:sz w:val="32"/>
      <w:szCs w:val="32"/>
    </w:rPr>
  </w:style>
  <w:style w:type="paragraph" w:styleId="Heading2">
    <w:name w:val="Heading 2"/>
    <w:basedOn w:val="Normal"/>
    <w:next w:val="Normal"/>
    <w:qFormat/>
    <w:pPr>
      <w:spacing w:after="140" w:before="300"/>
      <w:outlineLvl w:val="1"/>
    </w:pPr>
    <w:rPr>
      <w:rFonts w:ascii="Arial" w:cs="Arial" w:eastAsia="Arial" w:hAnsi="Arial"/>
      <w:b/>
      <w:bCs/>
      <w:color w:val="2D1B5E"/>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3D2B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del Dataset Sintético - Reto Deuna</dc:title>
  <dc:creator>Equipo Interact2Hack 2026</dc:creator>
  <cp:lastModifiedBy>Un-named</cp:lastModifiedBy>
  <cp:revision>1</cp:revision>
  <dcterms:created xsi:type="dcterms:W3CDTF">2026-04-18T19:23:20.379Z</dcterms:created>
  <dcterms:modified xsi:type="dcterms:W3CDTF">2026-04-18T19:23:20.380Z</dcterms:modified>
</cp:coreProperties>
</file>

<file path=docProps/custom.xml><?xml version="1.0" encoding="utf-8"?>
<Properties xmlns="http://schemas.openxmlformats.org/officeDocument/2006/custom-properties" xmlns:vt="http://schemas.openxmlformats.org/officeDocument/2006/docPropsVTypes"/>
</file>