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Cronograma de mejoras técnicas de WESApp</w:t>
      </w:r>
    </w:p>
    <w:p>
      <w:pPr>
        <w:jc w:val="left"/>
      </w:pPr>
      <w:r>
        <w:rPr>
          <w:b/>
          <w:sz w:val="24"/>
        </w:rPr>
        <w:t>Rendimiento de carga, responsive, mantenibilidad y estabilización</w:t>
      </w:r>
    </w:p>
    <w:p>
      <w:r>
        <w:t>Versión basada en la auditoría del estado actual al 8 de septiembre de 2026</w:t>
      </w:r>
    </w:p>
    <w:p>
      <w:pPr>
        <w:pStyle w:val="Heading1"/>
      </w:pPr>
      <w:r>
        <w:t>Objetivo</w:t>
      </w:r>
    </w:p>
    <w:p>
      <w:r>
        <w:t>Este cronograma organiza los cambios necesarios para estabilizar el trabajo actual, reducir el tiempo de carga de tablas y datos secundarios, mejorar la experiencia responsive y dejar una base entendible para futuras actualizaciones. La ejecución debe preservar las reglas de negocio existentes y mantener comentarios únicamente cuando expliquen decisiones que el código no puede expresar por sí solo.</w:t>
      </w:r>
    </w:p>
    <w:p>
      <w:pPr>
        <w:pStyle w:val="Heading1"/>
      </w:pPr>
      <w:r>
        <w:t>Estado de partida</w:t>
      </w:r>
    </w:p>
    <w:p>
      <w:pPr>
        <w:pStyle w:val="ListBullet"/>
        <w:spacing w:after="60"/>
      </w:pPr>
      <w:r>
        <w:t>Lint de backend y frontend aprobado.</w:t>
      </w:r>
    </w:p>
    <w:p>
      <w:pPr>
        <w:pStyle w:val="ListBullet"/>
        <w:spacing w:after="60"/>
      </w:pPr>
      <w:r>
        <w:t>Formato de backend aprobado; formato de frontend pendiente en 10 archivos modificados.</w:t>
      </w:r>
    </w:p>
    <w:p>
      <w:pPr>
        <w:pStyle w:val="ListBullet"/>
        <w:spacing w:after="60"/>
      </w:pPr>
      <w:r>
        <w:t>Pruebas frontend: 511 aprobadas y 14 fallidas en 4 suites.</w:t>
      </w:r>
    </w:p>
    <w:p>
      <w:pPr>
        <w:pStyle w:val="ListBullet"/>
        <w:spacing w:after="60"/>
      </w:pPr>
      <w:r>
        <w:t>Cambios locales: 29 archivos modificados y 5 nuevos, con 412 líneas añadidas y 928 eliminadas.</w:t>
      </w:r>
    </w:p>
    <w:p>
      <w:pPr>
        <w:pStyle w:val="ListBullet"/>
        <w:spacing w:after="60"/>
      </w:pPr>
      <w:r>
        <w:t>El esquema base registra versiones hasta la 28, mientras las migraciones llegan hasta la 43.</w:t>
      </w:r>
    </w:p>
    <w:p>
      <w:pPr>
        <w:pStyle w:val="Heading1"/>
      </w:pPr>
      <w:r>
        <w:t>Criterios de trabajo</w:t>
      </w:r>
    </w:p>
    <w:p>
      <w:pPr>
        <w:pStyle w:val="ListBullet"/>
        <w:spacing w:after="60"/>
      </w:pPr>
      <w:r>
        <w:t>No iniciar una fase dependiente mientras la fase anterior tenga pruebas o formato pendientes.</w:t>
      </w:r>
    </w:p>
    <w:p>
      <w:pPr>
        <w:pStyle w:val="ListBullet"/>
        <w:spacing w:after="60"/>
      </w:pPr>
      <w:r>
        <w:t>Medir tiempos antes y después de optimizar; un loading mejora la percepción, pero no sustituye la reducción de consultas.</w:t>
      </w:r>
    </w:p>
    <w:p>
      <w:pPr>
        <w:pStyle w:val="ListBullet"/>
        <w:spacing w:after="60"/>
      </w:pPr>
      <w:r>
        <w:t>Cargar primero lo visible y solicitar datos secundarios solo cuando el usuario los necesite.</w:t>
      </w:r>
    </w:p>
    <w:p>
      <w:pPr>
        <w:pStyle w:val="ListBullet"/>
        <w:spacing w:after="60"/>
      </w:pPr>
      <w:r>
        <w:t>Conservar las filas durante filtros, paginación y recargas silenciosas.</w:t>
      </w:r>
    </w:p>
    <w:p>
      <w:pPr>
        <w:pStyle w:val="ListBullet"/>
        <w:spacing w:after="60"/>
      </w:pPr>
      <w:r>
        <w:t>Agregar comentarios solo para reglas de negocio, seguridad, concurrencia, compatibilidad o decisiones no evidentes.</w:t>
      </w:r>
    </w:p>
    <w:p>
      <w:pPr>
        <w:pStyle w:val="Heading1"/>
      </w:pPr>
      <w:r>
        <w:t>Cronograma propuesto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  <w:cantSplit/>
        </w:trPr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Duración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Entregables</w:t>
            </w:r>
          </w:p>
        </w:tc>
        <w:tc>
          <w:tcPr>
            <w:tcW w:type="dxa" w:w="21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Criterio de cierre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1 Estabilización</w:t>
            </w:r>
          </w:p>
        </w:tc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1 semana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Cerrar los cambios actuales sin regresiones.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Alinear Registro, Visitas, filtros, tipos configurables y Personal. Corregir formato y las 14 pruebas.</w:t>
            </w:r>
          </w:p>
        </w:tc>
        <w:tc>
          <w:tcPr>
            <w:tcW w:type="dxa" w:w="21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Lint, formato, unitarias, integración y build en verde.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2 Integridad de datos</w:t>
            </w:r>
          </w:p>
        </w:tc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1 semana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Asegurar instalaciones y actualizaciones de base de datos.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Actualizar schema.sql. Probar migraciones 41 a 43 desde cero y desde versión 40. Verificar datos históricos y rollback.</w:t>
            </w:r>
          </w:p>
        </w:tc>
        <w:tc>
          <w:tcPr>
            <w:tcW w:type="dxa" w:w="21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Esquema fresco equivalente al migrado y pruebas de migración aprobadas.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3 Limpieza técnica</w:t>
            </w:r>
          </w:p>
        </w:tc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3 a 5 días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Eliminar código sin consumidores y fijar límites de calidad.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Retirar endpoints, servicios, exports y pruebas obsoletos de Manzanas y Villas. Añadir detección de código muerto y script verify.</w:t>
            </w:r>
          </w:p>
        </w:tc>
        <w:tc>
          <w:tcPr>
            <w:tcW w:type="dxa" w:w="21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Sin referencias huérfanas; verificación completa desde la raíz.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4 Medición</w:t>
            </w:r>
          </w:p>
        </w:tc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3 a 5 días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Crear una línea base de rendimiento.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Medir tiempos API y SQL, filas procesadas y p50 y p95. Identificar las cinco consultas más lentas.</w:t>
            </w:r>
          </w:p>
        </w:tc>
        <w:tc>
          <w:tcPr>
            <w:tcW w:type="dxa" w:w="21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Informe reproducible con objetivos por operación.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5 Carga bajo demanda</w:t>
            </w:r>
          </w:p>
        </w:tc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1 a 2 semanas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Reducir solicitudes iniciales y tiempo hasta la primera tabla útil.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Cargar solo la pestaña activa en Inventario, Cuentas, Configuración, Bitácoras y Personal. Precargar datos probables en segundo plano.</w:t>
            </w:r>
          </w:p>
        </w:tc>
        <w:tc>
          <w:tcPr>
            <w:tcW w:type="dxa" w:w="21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Pestañas ocultas no bloquean la vista inicial y no duplican solicitudes.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6 Caché y estados de carga</w:t>
            </w:r>
          </w:p>
        </w:tc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1 a 2 semanas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Unificar consultas y comportamiento visual.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Incorporar caché, cancelación, debounce y revalidación. Crear RouteLoading, TableSkeleton, InlineRefreshing, ButtonLoading y SelectLoading.</w:t>
            </w:r>
          </w:p>
        </w:tc>
        <w:tc>
          <w:tcPr>
            <w:tcW w:type="dxa" w:w="21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Las tablas conservan filas durante recargas; no hay respuestas antiguas ni loaders duplicados.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7 Optimización de consultas</w:t>
            </w:r>
          </w:p>
        </w:tc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1 a 2 semanas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Reducir la latencia demostrada por medición.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Optimizar COUNT, agregaciones y búsquedas ILIKE. Añadir índices pg_trgm o compuestos solo con evidencia de EXPLAIN ANALYZE.</w:t>
            </w:r>
          </w:p>
        </w:tc>
        <w:tc>
          <w:tcPr>
            <w:tcW w:type="dxa" w:w="21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API común menor a 300 ms p95 y filtros o paginación menores a 500 ms p95 en el entorno acordado.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8 Responsive funcional</w:t>
            </w:r>
          </w:p>
        </w:tc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1 a 2 semanas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Mejorar uso real en móvil y tablet.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Unificar tablas y tarjetas, filtros colapsables y modales móviles. Reducir anchos fijos, overflow oculto e important.</w:t>
            </w:r>
          </w:p>
        </w:tc>
        <w:tc>
          <w:tcPr>
            <w:tcW w:type="dxa" w:w="21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Sin contenido inaccesible y con acciones táctiles de al menos 44 por 44 px.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9 Arquitectura</w:t>
            </w:r>
          </w:p>
        </w:tc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2 a 4 semanas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Reducir el riesgo de futuras actualizaciones.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Dividir controladores y páginas grandes. Extraer casos de uso, repositorios de comandos y hooks por flujo.</w:t>
            </w:r>
          </w:p>
        </w:tc>
        <w:tc>
          <w:tcPr>
            <w:tcW w:type="dxa" w:w="21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Controladores sin SQL y páginas centradas en orquestación.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10 Cierre</w:t>
            </w:r>
          </w:p>
        </w:tc>
        <w:tc>
          <w:tcPr>
            <w:tcW w:type="dxa" w:w="112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1 semana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Validar funcionalidad, rendimiento y responsive.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Ejecutar CI completo, E2E, visual responsive, accesibilidad básica y comparación de métricas.</w:t>
            </w:r>
          </w:p>
        </w:tc>
        <w:tc>
          <w:tcPr>
            <w:tcW w:type="dxa" w:w="21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Criterios técnicos aprobados y documentación actualizada.</w:t>
            </w:r>
          </w:p>
        </w:tc>
      </w:tr>
    </w:tbl>
    <w:p>
      <w:pPr>
        <w:pStyle w:val="Heading1"/>
      </w:pPr>
      <w:r>
        <w:t>Detalle de las primeras fases</w:t>
      </w:r>
    </w:p>
    <w:p>
      <w:pPr>
        <w:pStyle w:val="Heading2"/>
      </w:pPr>
      <w:r>
        <w:t>Fase 1 Estabilización</w:t>
      </w:r>
    </w:p>
    <w:p>
      <w:pPr>
        <w:pStyle w:val="ListBullet"/>
        <w:spacing w:after="60"/>
      </w:pPr>
      <w:r>
        <w:t>Confirmar que Registro ya no utiliza Manzana ni Villa y actualizar su contrato completo.</w:t>
      </w:r>
    </w:p>
    <w:p>
      <w:pPr>
        <w:pStyle w:val="ListBullet"/>
        <w:spacing w:after="60"/>
      </w:pPr>
      <w:r>
        <w:t>Alinear el nuevo modal de filtros con las pruebas de exportación.</w:t>
      </w:r>
    </w:p>
    <w:p>
      <w:pPr>
        <w:pStyle w:val="ListBullet"/>
        <w:spacing w:after="60"/>
      </w:pPr>
      <w:r>
        <w:t>Confirmar la eliminación del tipo Cédula del formulario configurable.</w:t>
      </w:r>
    </w:p>
    <w:p>
      <w:pPr>
        <w:pStyle w:val="ListBullet"/>
        <w:spacing w:after="60"/>
      </w:pPr>
      <w:r>
        <w:t>Completar y probar el flujo de salida de colaboradores.</w:t>
      </w:r>
    </w:p>
    <w:p>
      <w:pPr>
        <w:pStyle w:val="ListBullet"/>
        <w:spacing w:after="60"/>
      </w:pPr>
      <w:r>
        <w:t>Aplicar formato a los 10 archivos frontend pendientes.</w:t>
      </w:r>
    </w:p>
    <w:p>
      <w:pPr>
        <w:pStyle w:val="Heading2"/>
      </w:pPr>
      <w:r>
        <w:t>Fase 2 Integridad de datos</w:t>
      </w:r>
    </w:p>
    <w:p>
      <w:pPr>
        <w:pStyle w:val="ListBullet"/>
        <w:spacing w:after="60"/>
      </w:pPr>
      <w:r>
        <w:t>Incorporar al esquema fresco todos los cambios de las migraciones 29 a 43.</w:t>
      </w:r>
    </w:p>
    <w:p>
      <w:pPr>
        <w:pStyle w:val="ListBullet"/>
        <w:spacing w:after="60"/>
      </w:pPr>
      <w:r>
        <w:t>Probar dirección manual, respuestas con foto, placa opcional y datos de salida.</w:t>
      </w:r>
    </w:p>
    <w:p>
      <w:pPr>
        <w:pStyle w:val="ListBullet"/>
        <w:spacing w:after="60"/>
      </w:pPr>
      <w:r>
        <w:t>Verificar que las restricciones acepten los datos históricos válidos y rechacen estados incoherentes.</w:t>
      </w:r>
    </w:p>
    <w:p>
      <w:pPr>
        <w:pStyle w:val="Heading2"/>
      </w:pPr>
      <w:r>
        <w:t>Fase 3 Limpieza técnica</w:t>
      </w:r>
    </w:p>
    <w:p>
      <w:pPr>
        <w:pStyle w:val="ListBullet"/>
        <w:spacing w:after="60"/>
      </w:pPr>
      <w:r>
        <w:t>Eliminar métodos de Manzanas y Villas que quedaron sin rutas ni consumidores.</w:t>
      </w:r>
    </w:p>
    <w:p>
      <w:pPr>
        <w:pStyle w:val="ListBullet"/>
        <w:spacing w:after="60"/>
      </w:pPr>
      <w:r>
        <w:t>Incorporar una herramienta de código muerto y dependencias sin uso.</w:t>
      </w:r>
    </w:p>
    <w:p>
      <w:pPr>
        <w:pStyle w:val="ListBullet"/>
        <w:spacing w:after="60"/>
      </w:pPr>
      <w:r>
        <w:t>Crear un comando raíz que ejecute lint, formato, pruebas, build y validación de migraciones.</w:t>
      </w:r>
    </w:p>
    <w:p>
      <w:pPr>
        <w:pStyle w:val="Heading1"/>
      </w:pPr>
      <w:r>
        <w:t>Modelo de carga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76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Comportamiento esperado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Entrada al módulo</w:t>
            </w:r>
          </w:p>
        </w:tc>
        <w:tc>
          <w:tcPr>
            <w:tcW w:type="dxa" w:w="76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Mostrar el armazón de la ruta y solicitar únicamente la pestaña visible.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Primera carga de tabla</w:t>
            </w:r>
          </w:p>
        </w:tc>
        <w:tc>
          <w:tcPr>
            <w:tcW w:type="dxa" w:w="76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Mostrar filas skeleton con dimensiones similares al contenido final.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Filtro o paginación</w:t>
            </w:r>
          </w:p>
        </w:tc>
        <w:tc>
          <w:tcPr>
            <w:tcW w:type="dxa" w:w="76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Conservar los resultados actuales y mostrar un indicador pequeño de actualización.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Acción de formulario</w:t>
            </w:r>
          </w:p>
        </w:tc>
        <w:tc>
          <w:tcPr>
            <w:tcW w:type="dxa" w:w="76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Bloquear únicamente el botón o control afectado.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Datos secundarios</w:t>
            </w:r>
          </w:p>
        </w:tc>
        <w:tc>
          <w:tcPr>
            <w:tcW w:type="dxa" w:w="76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Cargar al abrir la pestaña, modal o selector que los necesita.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Error parcial</w:t>
            </w:r>
          </w:p>
        </w:tc>
        <w:tc>
          <w:tcPr>
            <w:tcW w:type="dxa" w:w="76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7"/>
              </w:rPr>
              <w:t>Mostrar el error dentro del bloque afectado y permitir reintento.</w:t>
            </w:r>
          </w:p>
        </w:tc>
      </w:tr>
    </w:tbl>
    <w:p>
      <w:pPr>
        <w:pStyle w:val="Heading1"/>
      </w:pPr>
      <w:r>
        <w:t>Validación responsive</w:t>
      </w:r>
    </w:p>
    <w:p>
      <w:pPr>
        <w:pStyle w:val="ListBullet"/>
        <w:spacing w:after="60"/>
      </w:pPr>
      <w:r>
        <w:t>Probar 375 por 667, 390 por 844, 768 por 1024, 1024 por 768 y 1440 por 900.</w:t>
      </w:r>
    </w:p>
    <w:p>
      <w:pPr>
        <w:pStyle w:val="ListBullet"/>
        <w:spacing w:after="60"/>
      </w:pPr>
      <w:r>
        <w:t>Verificar tablas, tarjetas, filtros, modales, foco, teclado, zoom al 200 por ciento y textos largos.</w:t>
      </w:r>
    </w:p>
    <w:p>
      <w:pPr>
        <w:pStyle w:val="ListBullet"/>
        <w:spacing w:after="60"/>
      </w:pPr>
      <w:r>
        <w:t>Confirmar que ninguna acción quede oculta por overflow y que los controles táctiles tengan tamaño suficiente.</w:t>
      </w:r>
    </w:p>
    <w:p>
      <w:pPr>
        <w:pStyle w:val="ListBullet"/>
        <w:spacing w:after="60"/>
      </w:pPr>
      <w:r>
        <w:t>Validar estados de carga, error y vacío en cada módulo y viewport.</w:t>
      </w:r>
    </w:p>
    <w:p>
      <w:pPr>
        <w:pStyle w:val="Heading1"/>
      </w:pPr>
      <w:r>
        <w:t>Política de comentarios</w:t>
      </w:r>
    </w:p>
    <w:p>
      <w:r>
        <w:t>Los comentarios deben explicar el motivo de una decisión que no resulte evidente al leer el código. Se permiten para reglas de negocio, condiciones de carrera, seguridad, compatibilidad y decisiones SQL complejas. Deben eliminarse los comentarios que solo repiten el nombre de una función o describen la instrucción siguiente.</w:t>
      </w:r>
    </w:p>
    <w:p>
      <w:pPr>
        <w:pStyle w:val="Heading1"/>
      </w:pPr>
      <w:r>
        <w:t>Orden de aprobación</w:t>
      </w:r>
    </w:p>
    <w:p>
      <w:r>
        <w:t>La aprobación recomendada ocurre en tres bloques. El primer bloque comprende las fases 1 a 3 y recupera una base estable. El segundo comprende las fases 4 a 7 y mejora el rendimiento medido y la experiencia de carga. El tercero comprende las fases 8 a 10 y consolida responsive, arquitectura y validación final.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WESApp  Cronograma de mejoras técnicas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