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406"/>
      </w:tblGrid>
      <w:tr>
        <w:tc>
          <w:tcPr>
            <w:tcW w:type="dxa" w:w="9406"/>
            <w:shd w:val="clear" w:color="auto" w:fill="1A355E"/>
            <w:tcBorders>
              <w:bottom w:val="single" w:sz="12" w:space="0" w:color="007A87"/>
            </w:tcBorders>
          </w:tcPr>
          <w:p>
            <w:pPr>
              <w:spacing w:before="360" w:after="40"/>
              <w:jc w:val="left"/>
            </w:pPr>
            <w:r>
              <w:rPr>
                <w:b/>
                <w:color w:val="FFFFFF"/>
                <w:sz w:val="40"/>
              </w:rPr>
              <w:t>Credit Limit Optimisation System</w:t>
            </w:r>
          </w:p>
          <w:p>
            <w:pPr>
              <w:spacing w:after="80"/>
              <w:jc w:val="left"/>
            </w:pPr>
            <w:r>
              <w:rPr>
                <w:color w:val="B0C8E0"/>
                <w:sz w:val="24"/>
              </w:rPr>
              <w:t>Approach, Methodology &amp; Results</w:t>
            </w:r>
          </w:p>
          <w:p>
            <w:pPr>
              <w:spacing w:after="360"/>
            </w:pPr>
            <w:r>
              <w:rPr>
                <w:i/>
                <w:color w:val="88A8C4"/>
                <w:sz w:val="19"/>
              </w:rPr>
              <w:t>For internal review — Credit Risk &amp; Analytics</w:t>
            </w:r>
          </w:p>
        </w:tc>
      </w:tr>
    </w:tbl>
    <w:p>
      <w:pPr>
        <w:spacing w:after="200"/>
      </w:pPr>
    </w:p>
    <w:p>
      <w:pPr>
        <w:spacing w:before="360" w:after="80"/>
        <w:pBdr>
          <w:bottom w:val="single" w:sz="6" w:space="1" w:color="1A355E"/>
        </w:pBdr>
      </w:pPr>
      <w:r>
        <w:rPr>
          <w:b/>
          <w:color w:val="1A355E"/>
          <w:sz w:val="28"/>
        </w:rPr>
        <w:t>1.  Executive Summary</w:t>
      </w:r>
    </w:p>
    <w:p>
      <w:pPr>
        <w:spacing w:after="120"/>
      </w:pPr>
      <w:r>
        <w:rPr>
          <w:color w:val="444455"/>
          <w:sz w:val="21"/>
        </w:rPr>
        <w:t>This document describes the Credit Limit Optimisation System — a data-driven framework that determines the best credit limit increase for each of 30,000 consumer lending customers. The system balances two competing objectives: maximising the incremental profit from limit increases while keeping portfolio default risk within regulatory and risk-appetite constraints.</w:t>
      </w:r>
    </w:p>
    <w:p>
      <w:pPr>
        <w:spacing w:after="120"/>
      </w:pPr>
      <w:r>
        <w:rPr>
          <w:color w:val="444455"/>
          <w:sz w:val="21"/>
        </w:rPr>
        <w:t>The pipeline combines five analytical components — customer risk scoring, credit state transition modelling, utilisation forecasting, profitability simulation, and constrained linear programming — to produce a per-customer recommendation that is jointly optimal across the entire portfolio.</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9406"/>
      </w:tblGrid>
      <w:tr>
        <w:tc>
          <w:tcPr>
            <w:tcW w:type="dxa" w:w="8352"/>
            <w:tcBorders>
              <w:left w:val="single" w:sz="18" w:space="0" w:color="D47E00"/>
            </w:tcBorders>
            <w:shd w:val="clear" w:color="auto" w:fill="FFF8EE"/>
          </w:tcPr>
          <w:p>
            <w:pPr>
              <w:spacing w:before="80" w:after="80"/>
            </w:pPr>
            <w:r>
              <w:rPr>
                <w:b/>
                <w:color w:val="D47E00"/>
                <w:sz w:val="20"/>
              </w:rPr>
              <w:t xml:space="preserve">Results at a glance  </w:t>
            </w:r>
            <w:r>
              <w:rPr>
                <w:color w:val="444455"/>
                <w:sz w:val="20"/>
              </w:rPr>
              <w:t>8,748 customers (29%) received a limit increase. Total incremental exposure: $417M. Expected incremental profit: $3.25M. Portfolio default risk held exactly at the 5% constraint. All 44 model correctness checks pass.</w:t>
            </w:r>
          </w:p>
        </w:tc>
      </w:tr>
    </w:tbl>
    <w:p>
      <w:pPr>
        <w:spacing w:after="80"/>
      </w:pPr>
    </w:p>
    <w:p>
      <w:pPr>
        <w:spacing w:before="360" w:after="80"/>
        <w:pBdr>
          <w:bottom w:val="single" w:sz="6" w:space="1" w:color="1A355E"/>
        </w:pBdr>
      </w:pPr>
      <w:r>
        <w:rPr>
          <w:b/>
          <w:color w:val="1A355E"/>
          <w:sz w:val="28"/>
        </w:rPr>
        <w:t>2.  The Business Problem</w:t>
      </w:r>
    </w:p>
    <w:p>
      <w:pPr>
        <w:spacing w:after="120"/>
      </w:pPr>
      <w:r>
        <w:rPr>
          <w:color w:val="444455"/>
          <w:sz w:val="21"/>
        </w:rPr>
        <w:t>The question is straightforward: which customers should receive a higher credit limit, and by how much? Done manually or with simple rules, this tends to either leave profit on the table (by being too conservative) or expose the portfolio to unacceptable risk (by being too generous). The challenge is making 30,000 decisions simultaneously, subject to constraints that operate at the portfolio level — not customer by customer.</w:t>
      </w:r>
    </w:p>
    <w:p>
      <w:pPr>
        <w:spacing w:before="240" w:after="60"/>
      </w:pPr>
      <w:r>
        <w:rPr>
          <w:b/>
          <w:color w:val="007A87"/>
          <w:sz w:val="22"/>
        </w:rPr>
        <w:t>Why a rule-based approach falls short</w:t>
      </w:r>
    </w:p>
    <w:p>
      <w:pPr>
        <w:spacing w:after="120"/>
      </w:pPr>
      <w:r>
        <w:rPr>
          <w:color w:val="444455"/>
          <w:sz w:val="21"/>
        </w:rPr>
        <w:t>A rule like "increase limits for anyone with on-time payments above 90%" treats each customer independently. It cannot account for the fact that approving too many borderline customers collectively pushes portfolio default risk above the allowed threshold, even if each individual decision looks acceptable in isolation. Portfolio constraints require a method that optimises all decisions jointly.</w:t>
      </w:r>
    </w:p>
    <w:p>
      <w:pPr>
        <w:spacing w:before="240" w:after="60"/>
      </w:pPr>
      <w:r>
        <w:rPr>
          <w:b/>
          <w:color w:val="007A87"/>
          <w:sz w:val="22"/>
        </w:rPr>
        <w:t>Constraints the system must respect</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355E"/>
          </w:tcPr>
          <w:p>
            <w:pPr>
              <w:spacing w:before="60" w:after="60"/>
            </w:pPr>
            <w:r>
              <w:rPr>
                <w:b/>
                <w:color w:val="FFFFFF"/>
                <w:sz w:val="19"/>
              </w:rPr>
              <w:t>Constraint</w:t>
            </w:r>
          </w:p>
        </w:tc>
        <w:tc>
          <w:tcPr>
            <w:tcW w:type="dxa" w:w="1872"/>
            <w:shd w:val="clear" w:color="auto" w:fill="1A355E"/>
          </w:tcPr>
          <w:p>
            <w:pPr>
              <w:spacing w:before="60" w:after="60"/>
            </w:pPr>
            <w:r>
              <w:rPr>
                <w:b/>
                <w:color w:val="FFFFFF"/>
                <w:sz w:val="19"/>
              </w:rPr>
              <w:t>Limit</w:t>
            </w:r>
          </w:p>
        </w:tc>
        <w:tc>
          <w:tcPr>
            <w:tcW w:type="dxa" w:w="3888"/>
            <w:shd w:val="clear" w:color="auto" w:fill="1A355E"/>
          </w:tcPr>
          <w:p>
            <w:pPr>
              <w:spacing w:before="60" w:after="60"/>
            </w:pPr>
            <w:r>
              <w:rPr>
                <w:b/>
                <w:color w:val="FFFFFF"/>
                <w:sz w:val="19"/>
              </w:rPr>
              <w:t>Why it matters</w:t>
            </w:r>
          </w:p>
        </w:tc>
      </w:tr>
      <w:tr>
        <w:tc>
          <w:tcPr>
            <w:tcW w:type="dxa" w:w="2880"/>
            <w:shd w:val="clear" w:color="auto" w:fill="FFFFFF"/>
          </w:tcPr>
          <w:p>
            <w:pPr>
              <w:spacing w:before="40" w:after="40"/>
            </w:pPr>
            <w:r>
              <w:rPr>
                <w:color w:val="444455"/>
                <w:sz w:val="19"/>
              </w:rPr>
              <w:t>Portfolio default risk</w:t>
            </w:r>
          </w:p>
        </w:tc>
        <w:tc>
          <w:tcPr>
            <w:tcW w:type="dxa" w:w="1872"/>
            <w:shd w:val="clear" w:color="auto" w:fill="FFFFFF"/>
          </w:tcPr>
          <w:p>
            <w:pPr>
              <w:spacing w:before="40" w:after="40"/>
            </w:pPr>
            <w:r>
              <w:rPr>
                <w:color w:val="444455"/>
                <w:sz w:val="19"/>
              </w:rPr>
              <w:t>≤ 5%</w:t>
            </w:r>
          </w:p>
        </w:tc>
        <w:tc>
          <w:tcPr>
            <w:tcW w:type="dxa" w:w="3888"/>
            <w:shd w:val="clear" w:color="auto" w:fill="FFFFFF"/>
          </w:tcPr>
          <w:p>
            <w:pPr>
              <w:spacing w:before="40" w:after="40"/>
            </w:pPr>
            <w:r>
              <w:rPr>
                <w:color w:val="444455"/>
                <w:sz w:val="19"/>
              </w:rPr>
              <w:t>Risk appetite / regulatory capital</w:t>
            </w:r>
          </w:p>
        </w:tc>
      </w:tr>
      <w:tr>
        <w:tc>
          <w:tcPr>
            <w:tcW w:type="dxa" w:w="2880"/>
            <w:shd w:val="clear" w:color="auto" w:fill="F2F5F9"/>
          </w:tcPr>
          <w:p>
            <w:pPr>
              <w:spacing w:before="40" w:after="40"/>
            </w:pPr>
            <w:r>
              <w:rPr>
                <w:color w:val="444455"/>
                <w:sz w:val="19"/>
              </w:rPr>
              <w:t>Total incremental exposure</w:t>
            </w:r>
          </w:p>
        </w:tc>
        <w:tc>
          <w:tcPr>
            <w:tcW w:type="dxa" w:w="1872"/>
            <w:shd w:val="clear" w:color="auto" w:fill="F2F5F9"/>
          </w:tcPr>
          <w:p>
            <w:pPr>
              <w:spacing w:before="40" w:after="40"/>
            </w:pPr>
            <w:r>
              <w:rPr>
                <w:color w:val="444455"/>
                <w:sz w:val="19"/>
              </w:rPr>
              <w:t>≤ $500M</w:t>
            </w:r>
          </w:p>
        </w:tc>
        <w:tc>
          <w:tcPr>
            <w:tcW w:type="dxa" w:w="3888"/>
            <w:shd w:val="clear" w:color="auto" w:fill="F2F5F9"/>
          </w:tcPr>
          <w:p>
            <w:pPr>
              <w:spacing w:before="40" w:after="40"/>
            </w:pPr>
            <w:r>
              <w:rPr>
                <w:color w:val="444455"/>
                <w:sz w:val="19"/>
              </w:rPr>
              <w:t>Liquidity and funding limits</w:t>
            </w:r>
          </w:p>
        </w:tc>
      </w:tr>
      <w:tr>
        <w:tc>
          <w:tcPr>
            <w:tcW w:type="dxa" w:w="2880"/>
            <w:shd w:val="clear" w:color="auto" w:fill="FFFFFF"/>
          </w:tcPr>
          <w:p>
            <w:pPr>
              <w:spacing w:before="40" w:after="40"/>
            </w:pPr>
            <w:r>
              <w:rPr>
                <w:color w:val="444455"/>
                <w:sz w:val="19"/>
              </w:rPr>
              <w:t>Per-customer limit cap</w:t>
            </w:r>
          </w:p>
        </w:tc>
        <w:tc>
          <w:tcPr>
            <w:tcW w:type="dxa" w:w="1872"/>
            <w:shd w:val="clear" w:color="auto" w:fill="FFFFFF"/>
          </w:tcPr>
          <w:p>
            <w:pPr>
              <w:spacing w:before="40" w:after="40"/>
            </w:pPr>
            <w:r>
              <w:rPr>
                <w:color w:val="444455"/>
                <w:sz w:val="19"/>
              </w:rPr>
              <w:t>≤ $50,000</w:t>
            </w:r>
          </w:p>
        </w:tc>
        <w:tc>
          <w:tcPr>
            <w:tcW w:type="dxa" w:w="3888"/>
            <w:shd w:val="clear" w:color="auto" w:fill="FFFFFF"/>
          </w:tcPr>
          <w:p>
            <w:pPr>
              <w:spacing w:before="40" w:after="40"/>
            </w:pPr>
            <w:r>
              <w:rPr>
                <w:color w:val="444455"/>
                <w:sz w:val="19"/>
              </w:rPr>
              <w:t>Individual concentration risk</w:t>
            </w:r>
          </w:p>
        </w:tc>
      </w:tr>
      <w:tr>
        <w:tc>
          <w:tcPr>
            <w:tcW w:type="dxa" w:w="2880"/>
            <w:shd w:val="clear" w:color="auto" w:fill="F2F5F9"/>
          </w:tcPr>
          <w:p>
            <w:pPr>
              <w:spacing w:before="40" w:after="40"/>
            </w:pPr>
            <w:r>
              <w:rPr>
                <w:color w:val="444455"/>
                <w:sz w:val="19"/>
              </w:rPr>
              <w:t>Minimum portfolio profit</w:t>
            </w:r>
          </w:p>
        </w:tc>
        <w:tc>
          <w:tcPr>
            <w:tcW w:type="dxa" w:w="1872"/>
            <w:shd w:val="clear" w:color="auto" w:fill="F2F5F9"/>
          </w:tcPr>
          <w:p>
            <w:pPr>
              <w:spacing w:before="40" w:after="40"/>
            </w:pPr>
            <w:r>
              <w:rPr>
                <w:color w:val="444455"/>
                <w:sz w:val="19"/>
              </w:rPr>
              <w:t>≥ $1M</w:t>
            </w:r>
          </w:p>
        </w:tc>
        <w:tc>
          <w:tcPr>
            <w:tcW w:type="dxa" w:w="3888"/>
            <w:shd w:val="clear" w:color="auto" w:fill="F2F5F9"/>
          </w:tcPr>
          <w:p>
            <w:pPr>
              <w:spacing w:before="40" w:after="40"/>
            </w:pPr>
            <w:r>
              <w:rPr>
                <w:color w:val="444455"/>
                <w:sz w:val="19"/>
              </w:rPr>
              <w:t>Commercial viability threshold</w:t>
            </w:r>
          </w:p>
        </w:tc>
      </w:tr>
      <w:tr>
        <w:tc>
          <w:tcPr>
            <w:tcW w:type="dxa" w:w="2880"/>
            <w:shd w:val="clear" w:color="auto" w:fill="FFFFFF"/>
          </w:tcPr>
          <w:p>
            <w:pPr>
              <w:spacing w:before="40" w:after="40"/>
            </w:pPr>
            <w:r>
              <w:rPr>
                <w:color w:val="444455"/>
                <w:sz w:val="19"/>
              </w:rPr>
              <w:t>All changes non-negative</w:t>
            </w:r>
          </w:p>
        </w:tc>
        <w:tc>
          <w:tcPr>
            <w:tcW w:type="dxa" w:w="1872"/>
            <w:shd w:val="clear" w:color="auto" w:fill="FFFFFF"/>
          </w:tcPr>
          <w:p>
            <w:pPr>
              <w:spacing w:before="40" w:after="40"/>
            </w:pPr>
            <w:r>
              <w:rPr>
                <w:color w:val="444455"/>
                <w:sz w:val="19"/>
              </w:rPr>
              <w:t>≥ $0</w:t>
            </w:r>
          </w:p>
        </w:tc>
        <w:tc>
          <w:tcPr>
            <w:tcW w:type="dxa" w:w="3888"/>
            <w:shd w:val="clear" w:color="auto" w:fill="FFFFFF"/>
          </w:tcPr>
          <w:p>
            <w:pPr>
              <w:spacing w:before="40" w:after="40"/>
            </w:pPr>
            <w:r>
              <w:rPr>
                <w:color w:val="444455"/>
                <w:sz w:val="19"/>
              </w:rPr>
              <w:t>No decreases — regulatory fairness</w:t>
            </w:r>
          </w:p>
        </w:tc>
      </w:tr>
    </w:tbl>
    <w:p>
      <w:pPr>
        <w:spacing w:after="40"/>
      </w:pPr>
    </w:p>
    <w:p>
      <w:pPr>
        <w:spacing w:before="360" w:after="80"/>
        <w:pBdr>
          <w:bottom w:val="single" w:sz="6" w:space="1" w:color="1A355E"/>
        </w:pBdr>
      </w:pPr>
      <w:r>
        <w:rPr>
          <w:b/>
          <w:color w:val="1A355E"/>
          <w:sz w:val="28"/>
        </w:rPr>
        <w:t>3.  The Data</w:t>
      </w:r>
    </w:p>
    <w:p>
      <w:pPr>
        <w:spacing w:after="120"/>
      </w:pPr>
      <w:r>
        <w:rPr>
          <w:color w:val="444455"/>
          <w:sz w:val="21"/>
        </w:rPr>
        <w:t>The input is a single snapshot CSV of 30,000 customers with five behavioural features per customer. No historical time series, no bureau data, and critically, no record of which customers have previously defaulted.</w:t>
      </w:r>
    </w:p>
    <w:tbl>
      <w:tblPr>
        <w:tblStyle w:val="TableGrid"/>
        <w:tblW w:type="auto" w:w="0"/>
        <w:jc w:val="left"/>
        <w:tblLook w:firstColumn="1" w:firstRow="1" w:lastColumn="0" w:lastRow="0" w:noHBand="0" w:noVBand="1" w:val="04A0"/>
      </w:tblPr>
      <w:tblGrid>
        <w:gridCol w:w="3135"/>
        <w:gridCol w:w="3135"/>
        <w:gridCol w:w="3135"/>
      </w:tblGrid>
      <w:tr>
        <w:tc>
          <w:tcPr>
            <w:tcW w:type="dxa" w:w="3312"/>
            <w:shd w:val="clear" w:color="auto" w:fill="1A355E"/>
          </w:tcPr>
          <w:p>
            <w:pPr>
              <w:spacing w:before="60" w:after="60"/>
            </w:pPr>
            <w:r>
              <w:rPr>
                <w:b/>
                <w:color w:val="FFFFFF"/>
                <w:sz w:val="19"/>
              </w:rPr>
              <w:t>Feature</w:t>
            </w:r>
          </w:p>
        </w:tc>
        <w:tc>
          <w:tcPr>
            <w:tcW w:type="dxa" w:w="1872"/>
            <w:shd w:val="clear" w:color="auto" w:fill="1A355E"/>
          </w:tcPr>
          <w:p>
            <w:pPr>
              <w:spacing w:before="60" w:after="60"/>
            </w:pPr>
            <w:r>
              <w:rPr>
                <w:b/>
                <w:color w:val="FFFFFF"/>
                <w:sz w:val="19"/>
              </w:rPr>
              <w:t>Range</w:t>
            </w:r>
          </w:p>
        </w:tc>
        <w:tc>
          <w:tcPr>
            <w:tcW w:type="dxa" w:w="3456"/>
            <w:shd w:val="clear" w:color="auto" w:fill="1A355E"/>
          </w:tcPr>
          <w:p>
            <w:pPr>
              <w:spacing w:before="60" w:after="60"/>
            </w:pPr>
            <w:r>
              <w:rPr>
                <w:b/>
                <w:color w:val="FFFFFF"/>
                <w:sz w:val="19"/>
              </w:rPr>
              <w:t>Risk direction</w:t>
            </w:r>
          </w:p>
        </w:tc>
      </w:tr>
      <w:tr>
        <w:tc>
          <w:tcPr>
            <w:tcW w:type="dxa" w:w="3312"/>
            <w:shd w:val="clear" w:color="auto" w:fill="FFFFFF"/>
          </w:tcPr>
          <w:p>
            <w:pPr>
              <w:spacing w:before="40" w:after="40"/>
            </w:pPr>
            <w:r>
              <w:rPr>
                <w:color w:val="444455"/>
                <w:sz w:val="19"/>
              </w:rPr>
              <w:t>On-time payment rate</w:t>
            </w:r>
          </w:p>
        </w:tc>
        <w:tc>
          <w:tcPr>
            <w:tcW w:type="dxa" w:w="1872"/>
            <w:shd w:val="clear" w:color="auto" w:fill="FFFFFF"/>
          </w:tcPr>
          <w:p>
            <w:pPr>
              <w:spacing w:before="40" w:after="40"/>
            </w:pPr>
            <w:r>
              <w:rPr>
                <w:color w:val="444455"/>
                <w:sz w:val="19"/>
              </w:rPr>
              <w:t>80% – 100%</w:t>
            </w:r>
          </w:p>
        </w:tc>
        <w:tc>
          <w:tcPr>
            <w:tcW w:type="dxa" w:w="3456"/>
            <w:shd w:val="clear" w:color="auto" w:fill="FFFFFF"/>
          </w:tcPr>
          <w:p>
            <w:pPr>
              <w:spacing w:before="40" w:after="40"/>
            </w:pPr>
            <w:r>
              <w:rPr>
                <w:color w:val="444455"/>
                <w:sz w:val="19"/>
              </w:rPr>
              <w:t>Higher → lower risk</w:t>
            </w:r>
          </w:p>
        </w:tc>
      </w:tr>
      <w:tr>
        <w:tc>
          <w:tcPr>
            <w:tcW w:type="dxa" w:w="3312"/>
            <w:shd w:val="clear" w:color="auto" w:fill="F2F5F9"/>
          </w:tcPr>
          <w:p>
            <w:pPr>
              <w:spacing w:before="40" w:after="40"/>
            </w:pPr>
            <w:r>
              <w:rPr>
                <w:color w:val="444455"/>
                <w:sz w:val="19"/>
              </w:rPr>
              <w:t>Credit limit increases in 2023</w:t>
            </w:r>
          </w:p>
        </w:tc>
        <w:tc>
          <w:tcPr>
            <w:tcW w:type="dxa" w:w="1872"/>
            <w:shd w:val="clear" w:color="auto" w:fill="F2F5F9"/>
          </w:tcPr>
          <w:p>
            <w:pPr>
              <w:spacing w:before="40" w:after="40"/>
            </w:pPr>
            <w:r>
              <w:rPr>
                <w:color w:val="444455"/>
                <w:sz w:val="19"/>
              </w:rPr>
              <w:t>0 – 5</w:t>
            </w:r>
          </w:p>
        </w:tc>
        <w:tc>
          <w:tcPr>
            <w:tcW w:type="dxa" w:w="3456"/>
            <w:shd w:val="clear" w:color="auto" w:fill="F2F5F9"/>
          </w:tcPr>
          <w:p>
            <w:pPr>
              <w:spacing w:before="40" w:after="40"/>
            </w:pPr>
            <w:r>
              <w:rPr>
                <w:color w:val="444455"/>
                <w:sz w:val="19"/>
              </w:rPr>
              <w:t>More → higher risk</w:t>
            </w:r>
          </w:p>
        </w:tc>
      </w:tr>
      <w:tr>
        <w:tc>
          <w:tcPr>
            <w:tcW w:type="dxa" w:w="3312"/>
            <w:shd w:val="clear" w:color="auto" w:fill="FFFFFF"/>
          </w:tcPr>
          <w:p>
            <w:pPr>
              <w:spacing w:before="40" w:after="40"/>
            </w:pPr>
            <w:r>
              <w:rPr>
                <w:color w:val="444455"/>
                <w:sz w:val="19"/>
              </w:rPr>
              <w:t>Days since last loan</w:t>
            </w:r>
          </w:p>
        </w:tc>
        <w:tc>
          <w:tcPr>
            <w:tcW w:type="dxa" w:w="1872"/>
            <w:shd w:val="clear" w:color="auto" w:fill="FFFFFF"/>
          </w:tcPr>
          <w:p>
            <w:pPr>
              <w:spacing w:before="40" w:after="40"/>
            </w:pPr>
            <w:r>
              <w:rPr>
                <w:color w:val="444455"/>
                <w:sz w:val="19"/>
              </w:rPr>
              <w:t>0 – 364</w:t>
            </w:r>
          </w:p>
        </w:tc>
        <w:tc>
          <w:tcPr>
            <w:tcW w:type="dxa" w:w="3456"/>
            <w:shd w:val="clear" w:color="auto" w:fill="FFFFFF"/>
          </w:tcPr>
          <w:p>
            <w:pPr>
              <w:spacing w:before="40" w:after="40"/>
            </w:pPr>
            <w:r>
              <w:rPr>
                <w:color w:val="444455"/>
                <w:sz w:val="19"/>
              </w:rPr>
              <w:t>More days → higher risk</w:t>
            </w:r>
          </w:p>
        </w:tc>
      </w:tr>
      <w:tr>
        <w:tc>
          <w:tcPr>
            <w:tcW w:type="dxa" w:w="3312"/>
            <w:shd w:val="clear" w:color="auto" w:fill="F2F5F9"/>
          </w:tcPr>
          <w:p>
            <w:pPr>
              <w:spacing w:before="40" w:after="40"/>
            </w:pPr>
            <w:r>
              <w:rPr>
                <w:color w:val="444455"/>
                <w:sz w:val="19"/>
              </w:rPr>
              <w:t>Total profit contribution ($)</w:t>
            </w:r>
          </w:p>
        </w:tc>
        <w:tc>
          <w:tcPr>
            <w:tcW w:type="dxa" w:w="1872"/>
            <w:shd w:val="clear" w:color="auto" w:fill="F2F5F9"/>
          </w:tcPr>
          <w:p>
            <w:pPr>
              <w:spacing w:before="40" w:after="40"/>
            </w:pPr>
            <w:r>
              <w:rPr>
                <w:color w:val="444455"/>
                <w:sz w:val="19"/>
              </w:rPr>
              <w:t>$0 – $120</w:t>
            </w:r>
          </w:p>
        </w:tc>
        <w:tc>
          <w:tcPr>
            <w:tcW w:type="dxa" w:w="3456"/>
            <w:shd w:val="clear" w:color="auto" w:fill="F2F5F9"/>
          </w:tcPr>
          <w:p>
            <w:pPr>
              <w:spacing w:before="40" w:after="40"/>
            </w:pPr>
            <w:r>
              <w:rPr>
                <w:color w:val="444455"/>
                <w:sz w:val="19"/>
              </w:rPr>
              <w:t>Higher → lower risk</w:t>
            </w:r>
          </w:p>
        </w:tc>
      </w:tr>
      <w:tr>
        <w:tc>
          <w:tcPr>
            <w:tcW w:type="dxa" w:w="3312"/>
            <w:shd w:val="clear" w:color="auto" w:fill="FFFFFF"/>
          </w:tcPr>
          <w:p>
            <w:pPr>
              <w:spacing w:before="40" w:after="40"/>
            </w:pPr>
            <w:r>
              <w:rPr>
                <w:color w:val="444455"/>
                <w:sz w:val="19"/>
              </w:rPr>
              <w:t>Current loan limit ($)</w:t>
            </w:r>
          </w:p>
        </w:tc>
        <w:tc>
          <w:tcPr>
            <w:tcW w:type="dxa" w:w="1872"/>
            <w:shd w:val="clear" w:color="auto" w:fill="FFFFFF"/>
          </w:tcPr>
          <w:p>
            <w:pPr>
              <w:spacing w:before="40" w:after="40"/>
            </w:pPr>
            <w:r>
              <w:rPr>
                <w:color w:val="444455"/>
                <w:sz w:val="19"/>
              </w:rPr>
              <w:t>$500 – $4,999</w:t>
            </w:r>
          </w:p>
        </w:tc>
        <w:tc>
          <w:tcPr>
            <w:tcW w:type="dxa" w:w="3456"/>
            <w:shd w:val="clear" w:color="auto" w:fill="FFFFFF"/>
          </w:tcPr>
          <w:p>
            <w:pPr>
              <w:spacing w:before="40" w:after="40"/>
            </w:pPr>
            <w:r>
              <w:rPr>
                <w:color w:val="444455"/>
                <w:sz w:val="19"/>
              </w:rPr>
              <w:t>Exposure size — not a risk signal</w:t>
            </w:r>
          </w:p>
        </w:tc>
      </w:tr>
    </w:tbl>
    <w:p>
      <w:pPr>
        <w:spacing w:after="40"/>
      </w:pP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9406"/>
      </w:tblGrid>
      <w:tr>
        <w:tc>
          <w:tcPr>
            <w:tcW w:type="dxa" w:w="8352"/>
            <w:tcBorders>
              <w:left w:val="single" w:sz="18" w:space="0" w:color="D47E00"/>
            </w:tcBorders>
            <w:shd w:val="clear" w:color="auto" w:fill="FFF8EE"/>
          </w:tcPr>
          <w:p>
            <w:pPr>
              <w:spacing w:before="80" w:after="80"/>
            </w:pPr>
            <w:r>
              <w:rPr>
                <w:b/>
                <w:color w:val="D47E00"/>
                <w:sz w:val="20"/>
              </w:rPr>
              <w:t xml:space="preserve">Data note  </w:t>
            </w:r>
            <w:r>
              <w:rPr>
                <w:color w:val="444455"/>
                <w:sz w:val="20"/>
              </w:rPr>
              <w:t>44% of customers have both zero profit contribution and zero limit increases — likely inactive accounts. The payment rate has a hard floor at 80%; no customer below that threshold appears in the data. These data characteristics directly influence how the risk model is constructed.</w:t>
            </w:r>
          </w:p>
        </w:tc>
      </w:tr>
    </w:tbl>
    <w:p>
      <w:pPr>
        <w:spacing w:after="80"/>
      </w:pPr>
    </w:p>
    <w:p>
      <w:pPr>
        <w:spacing w:before="240" w:after="60"/>
      </w:pPr>
      <w:r>
        <w:rPr>
          <w:b/>
          <w:color w:val="007A87"/>
          <w:sz w:val="22"/>
        </w:rPr>
        <w:t>Macro enrichment</w:t>
      </w:r>
    </w:p>
    <w:p>
      <w:pPr>
        <w:spacing w:after="120"/>
      </w:pPr>
      <w:r>
        <w:rPr>
          <w:color w:val="444455"/>
          <w:sz w:val="21"/>
        </w:rPr>
        <w:t>Four macroeconomic indicators — GDP growth, unemployment rate, Federal Reserve interest rate, and CPI inflation — are appended to every customer record. These are pulled from the FRED database (cached locally) and are used in the utilisation forecast and sensitivity analysis. Three macro scenarios are defined: Optimistic, Baseline, and Adverse.</w:t>
      </w:r>
    </w:p>
    <w:p>
      <w:pPr>
        <w:spacing w:before="360" w:after="80"/>
        <w:pBdr>
          <w:bottom w:val="single" w:sz="6" w:space="1" w:color="1A355E"/>
        </w:pBdr>
      </w:pPr>
      <w:r>
        <w:rPr>
          <w:b/>
          <w:color w:val="1A355E"/>
          <w:sz w:val="28"/>
        </w:rPr>
        <w:t>4.  How Risk Is Measured</w:t>
      </w:r>
    </w:p>
    <w:p>
      <w:pPr>
        <w:spacing w:before="240" w:after="60"/>
      </w:pPr>
      <w:r>
        <w:rPr>
          <w:b/>
          <w:color w:val="007A87"/>
          <w:sz w:val="22"/>
        </w:rPr>
        <w:t>Why not a machine learning model?</w:t>
      </w:r>
    </w:p>
    <w:p>
      <w:pPr>
        <w:spacing w:after="120"/>
      </w:pPr>
      <w:r>
        <w:rPr>
          <w:color w:val="444455"/>
          <w:sz w:val="21"/>
        </w:rPr>
        <w:t>The most important constraint on modelling here is the absence of outcome data. There is no column indicating which customers have defaulted or gone delinquent. Without observed default outcomes, any model must be trained on a synthetic target — which is simply a transformation of the same input features the model already sees. That is circular: the model learns to reconstruct its own inputs, not to predict risk.</w:t>
      </w:r>
    </w:p>
    <w:p>
      <w:pPr>
        <w:spacing w:after="120"/>
      </w:pPr>
      <w:r>
        <w:rPr>
          <w:color w:val="444455"/>
          <w:sz w:val="21"/>
        </w:rPr>
        <w:t>Additionally, the five features are essentially uncorrelated with one another (pairwise correlation r ≈ 0.001). Machine learning models add value by finding non-linear interactions between features. When features carry no joint structure, a model with 200 decision trees produces the same customer ordering as a simple weighted sum — but with far less transparency.</w:t>
      </w:r>
    </w:p>
    <w:p>
      <w:pPr>
        <w:spacing w:before="240" w:after="60"/>
      </w:pPr>
      <w:r>
        <w:rPr>
          <w:b/>
          <w:color w:val="007A87"/>
          <w:sz w:val="22"/>
        </w:rPr>
        <w:t>Ordinal risk ranking</w:t>
      </w:r>
    </w:p>
    <w:p>
      <w:pPr>
        <w:spacing w:after="120"/>
      </w:pPr>
      <w:r>
        <w:rPr>
          <w:color w:val="444455"/>
          <w:sz w:val="21"/>
        </w:rPr>
        <w:t>The approach adopted is a weighted ordinal rank aggregation — a method standard in credit scorecard development when outcome labels are unavailable. Each feature is converted to a percentile rank (0 = lowest risk direction, 1 = highest) and the four ranks are combined with weights that reflect industry convention for consumer credit: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736"/>
            <w:shd w:val="clear" w:color="auto" w:fill="1A355E"/>
          </w:tcPr>
          <w:p>
            <w:pPr>
              <w:spacing w:before="60" w:after="60"/>
            </w:pPr>
            <w:r>
              <w:rPr>
                <w:b/>
                <w:color w:val="FFFFFF"/>
                <w:sz w:val="19"/>
              </w:rPr>
              <w:t>Feature</w:t>
            </w:r>
          </w:p>
        </w:tc>
        <w:tc>
          <w:tcPr>
            <w:tcW w:type="dxa" w:w="2592"/>
            <w:shd w:val="clear" w:color="auto" w:fill="1A355E"/>
          </w:tcPr>
          <w:p>
            <w:pPr>
              <w:spacing w:before="60" w:after="60"/>
            </w:pPr>
            <w:r>
              <w:rPr>
                <w:b/>
                <w:color w:val="FFFFFF"/>
                <w:sz w:val="19"/>
              </w:rPr>
              <w:t>Direction</w:t>
            </w:r>
          </w:p>
        </w:tc>
        <w:tc>
          <w:tcPr>
            <w:tcW w:type="dxa" w:w="1296"/>
            <w:shd w:val="clear" w:color="auto" w:fill="1A355E"/>
          </w:tcPr>
          <w:p>
            <w:pPr>
              <w:spacing w:before="60" w:after="60"/>
            </w:pPr>
            <w:r>
              <w:rPr>
                <w:b/>
                <w:color w:val="FFFFFF"/>
                <w:sz w:val="19"/>
              </w:rPr>
              <w:t>Weight</w:t>
            </w:r>
          </w:p>
        </w:tc>
        <w:tc>
          <w:tcPr>
            <w:tcW w:type="dxa" w:w="3456"/>
            <w:shd w:val="clear" w:color="auto" w:fill="1A355E"/>
          </w:tcPr>
          <w:p>
            <w:pPr>
              <w:spacing w:before="60" w:after="60"/>
            </w:pPr>
            <w:r>
              <w:rPr>
                <w:b/>
                <w:color w:val="FFFFFF"/>
                <w:sz w:val="19"/>
              </w:rPr>
              <w:t>Rationale</w:t>
            </w:r>
          </w:p>
        </w:tc>
      </w:tr>
      <w:tr>
        <w:tc>
          <w:tcPr>
            <w:tcW w:type="dxa" w:w="2736"/>
            <w:shd w:val="clear" w:color="auto" w:fill="FFFFFF"/>
          </w:tcPr>
          <w:p>
            <w:pPr>
              <w:spacing w:before="40" w:after="40"/>
            </w:pPr>
            <w:r>
              <w:rPr>
                <w:color w:val="444455"/>
                <w:sz w:val="19"/>
              </w:rPr>
              <w:t>On-time payment rate</w:t>
            </w:r>
          </w:p>
        </w:tc>
        <w:tc>
          <w:tcPr>
            <w:tcW w:type="dxa" w:w="2592"/>
            <w:shd w:val="clear" w:color="auto" w:fill="FFFFFF"/>
          </w:tcPr>
          <w:p>
            <w:pPr>
              <w:spacing w:before="40" w:after="40"/>
            </w:pPr>
            <w:r>
              <w:rPr>
                <w:color w:val="444455"/>
                <w:sz w:val="19"/>
              </w:rPr>
              <w:t>Higher → safer (inverted)</w:t>
            </w:r>
          </w:p>
        </w:tc>
        <w:tc>
          <w:tcPr>
            <w:tcW w:type="dxa" w:w="1296"/>
            <w:shd w:val="clear" w:color="auto" w:fill="FFFFFF"/>
          </w:tcPr>
          <w:p>
            <w:pPr>
              <w:spacing w:before="40" w:after="40"/>
            </w:pPr>
            <w:r>
              <w:rPr>
                <w:color w:val="444455"/>
                <w:sz w:val="19"/>
              </w:rPr>
              <w:t>35%</w:t>
            </w:r>
          </w:p>
        </w:tc>
        <w:tc>
          <w:tcPr>
            <w:tcW w:type="dxa" w:w="3456"/>
            <w:shd w:val="clear" w:color="auto" w:fill="FFFFFF"/>
          </w:tcPr>
          <w:p>
            <w:pPr>
              <w:spacing w:before="40" w:after="40"/>
            </w:pPr>
            <w:r>
              <w:rPr>
                <w:color w:val="444455"/>
                <w:sz w:val="19"/>
              </w:rPr>
              <w:t>Payment history is the strongest behavioural predictor</w:t>
            </w:r>
          </w:p>
        </w:tc>
      </w:tr>
      <w:tr>
        <w:tc>
          <w:tcPr>
            <w:tcW w:type="dxa" w:w="2736"/>
            <w:shd w:val="clear" w:color="auto" w:fill="F2F5F9"/>
          </w:tcPr>
          <w:p>
            <w:pPr>
              <w:spacing w:before="40" w:after="40"/>
            </w:pPr>
            <w:r>
              <w:rPr>
                <w:color w:val="444455"/>
                <w:sz w:val="19"/>
              </w:rPr>
              <w:t>Limit increases in 2023</w:t>
            </w:r>
          </w:p>
        </w:tc>
        <w:tc>
          <w:tcPr>
            <w:tcW w:type="dxa" w:w="2592"/>
            <w:shd w:val="clear" w:color="auto" w:fill="F2F5F9"/>
          </w:tcPr>
          <w:p>
            <w:pPr>
              <w:spacing w:before="40" w:after="40"/>
            </w:pPr>
            <w:r>
              <w:rPr>
                <w:color w:val="444455"/>
                <w:sz w:val="19"/>
              </w:rPr>
              <w:t>More → riskier</w:t>
            </w:r>
          </w:p>
        </w:tc>
        <w:tc>
          <w:tcPr>
            <w:tcW w:type="dxa" w:w="1296"/>
            <w:shd w:val="clear" w:color="auto" w:fill="F2F5F9"/>
          </w:tcPr>
          <w:p>
            <w:pPr>
              <w:spacing w:before="40" w:after="40"/>
            </w:pPr>
            <w:r>
              <w:rPr>
                <w:color w:val="444455"/>
                <w:sz w:val="19"/>
              </w:rPr>
              <w:t>30%</w:t>
            </w:r>
          </w:p>
        </w:tc>
        <w:tc>
          <w:tcPr>
            <w:tcW w:type="dxa" w:w="3456"/>
            <w:shd w:val="clear" w:color="auto" w:fill="F2F5F9"/>
          </w:tcPr>
          <w:p>
            <w:pPr>
              <w:spacing w:before="40" w:after="40"/>
            </w:pPr>
            <w:r>
              <w:rPr>
                <w:color w:val="444455"/>
                <w:sz w:val="19"/>
              </w:rPr>
              <w:t>Repeated credit-seeking signals financial stress</w:t>
            </w:r>
          </w:p>
        </w:tc>
      </w:tr>
      <w:tr>
        <w:tc>
          <w:tcPr>
            <w:tcW w:type="dxa" w:w="2736"/>
            <w:shd w:val="clear" w:color="auto" w:fill="FFFFFF"/>
          </w:tcPr>
          <w:p>
            <w:pPr>
              <w:spacing w:before="40" w:after="40"/>
            </w:pPr>
            <w:r>
              <w:rPr>
                <w:color w:val="444455"/>
                <w:sz w:val="19"/>
              </w:rPr>
              <w:t>Days since last loan</w:t>
            </w:r>
          </w:p>
        </w:tc>
        <w:tc>
          <w:tcPr>
            <w:tcW w:type="dxa" w:w="2592"/>
            <w:shd w:val="clear" w:color="auto" w:fill="FFFFFF"/>
          </w:tcPr>
          <w:p>
            <w:pPr>
              <w:spacing w:before="40" w:after="40"/>
            </w:pPr>
            <w:r>
              <w:rPr>
                <w:color w:val="444455"/>
                <w:sz w:val="19"/>
              </w:rPr>
              <w:t>More → riskier</w:t>
            </w:r>
          </w:p>
        </w:tc>
        <w:tc>
          <w:tcPr>
            <w:tcW w:type="dxa" w:w="1296"/>
            <w:shd w:val="clear" w:color="auto" w:fill="FFFFFF"/>
          </w:tcPr>
          <w:p>
            <w:pPr>
              <w:spacing w:before="40" w:after="40"/>
            </w:pPr>
            <w:r>
              <w:rPr>
                <w:color w:val="444455"/>
                <w:sz w:val="19"/>
              </w:rPr>
              <w:t>15%</w:t>
            </w:r>
          </w:p>
        </w:tc>
        <w:tc>
          <w:tcPr>
            <w:tcW w:type="dxa" w:w="3456"/>
            <w:shd w:val="clear" w:color="auto" w:fill="FFFFFF"/>
          </w:tcPr>
          <w:p>
            <w:pPr>
              <w:spacing w:before="40" w:after="40"/>
            </w:pPr>
            <w:r>
              <w:rPr>
                <w:color w:val="444455"/>
                <w:sz w:val="19"/>
              </w:rPr>
              <w:t>Inactivity may indicate deteriorating creditworthiness</w:t>
            </w:r>
          </w:p>
        </w:tc>
      </w:tr>
      <w:tr>
        <w:tc>
          <w:tcPr>
            <w:tcW w:type="dxa" w:w="2736"/>
            <w:shd w:val="clear" w:color="auto" w:fill="F2F5F9"/>
          </w:tcPr>
          <w:p>
            <w:pPr>
              <w:spacing w:before="40" w:after="40"/>
            </w:pPr>
            <w:r>
              <w:rPr>
                <w:color w:val="444455"/>
                <w:sz w:val="19"/>
              </w:rPr>
              <w:t>Profit contribution</w:t>
            </w:r>
          </w:p>
        </w:tc>
        <w:tc>
          <w:tcPr>
            <w:tcW w:type="dxa" w:w="2592"/>
            <w:shd w:val="clear" w:color="auto" w:fill="F2F5F9"/>
          </w:tcPr>
          <w:p>
            <w:pPr>
              <w:spacing w:before="40" w:after="40"/>
            </w:pPr>
            <w:r>
              <w:rPr>
                <w:color w:val="444455"/>
                <w:sz w:val="19"/>
              </w:rPr>
              <w:t>Higher → safer (inverted)</w:t>
            </w:r>
          </w:p>
        </w:tc>
        <w:tc>
          <w:tcPr>
            <w:tcW w:type="dxa" w:w="1296"/>
            <w:shd w:val="clear" w:color="auto" w:fill="F2F5F9"/>
          </w:tcPr>
          <w:p>
            <w:pPr>
              <w:spacing w:before="40" w:after="40"/>
            </w:pPr>
            <w:r>
              <w:rPr>
                <w:color w:val="444455"/>
                <w:sz w:val="19"/>
              </w:rPr>
              <w:t>20%</w:t>
            </w:r>
          </w:p>
        </w:tc>
        <w:tc>
          <w:tcPr>
            <w:tcW w:type="dxa" w:w="3456"/>
            <w:shd w:val="clear" w:color="auto" w:fill="F2F5F9"/>
          </w:tcPr>
          <w:p>
            <w:pPr>
              <w:spacing w:before="40" w:after="40"/>
            </w:pPr>
            <w:r>
              <w:rPr>
                <w:color w:val="444455"/>
                <w:sz w:val="19"/>
              </w:rPr>
              <w:t>Customers generating profit are demonstrably engaged</w:t>
            </w:r>
          </w:p>
        </w:tc>
      </w:tr>
    </w:tbl>
    <w:p>
      <w:pPr>
        <w:spacing w:after="40"/>
      </w:pPr>
    </w:p>
    <w:p>
      <w:pPr>
        <w:spacing w:after="120"/>
      </w:pPr>
      <w:r>
        <w:rPr>
          <w:color w:val="444455"/>
          <w:sz w:val="21"/>
        </w:rPr>
        <w:t>The output — risk_rank — is a continuous score in [0, 1] with mean exactly 0.50 by construction. It represents relative risk: a customer at rank 0.80 is riskier than 80% of the portfolio. It does not represent an absolute probability of default.</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9406"/>
      </w:tblGrid>
      <w:tr>
        <w:tc>
          <w:tcPr>
            <w:tcW w:type="dxa" w:w="8352"/>
            <w:tcBorders>
              <w:left w:val="single" w:sz="18" w:space="0" w:color="D47E00"/>
            </w:tcBorders>
            <w:shd w:val="clear" w:color="auto" w:fill="FFF8EE"/>
          </w:tcPr>
          <w:p>
            <w:pPr>
              <w:spacing w:before="80" w:after="80"/>
            </w:pPr>
            <w:r>
              <w:rPr>
                <w:b/>
                <w:color w:val="D47E00"/>
                <w:sz w:val="20"/>
              </w:rPr>
              <w:t xml:space="preserve">Limitation  </w:t>
            </w:r>
            <w:r>
              <w:rPr>
                <w:color w:val="444455"/>
                <w:sz w:val="20"/>
              </w:rPr>
              <w:t>The weights (35/30/15/20) are aligned with the FICO scoring framework and applied to the closest available analogues in this dataset. They are a deliberate assumption, not a statistically derived result. If default outcome data becomes available, these weights should be replaced with logistic regression coefficients trained on observed defaults.</w:t>
            </w:r>
          </w:p>
        </w:tc>
      </w:tr>
    </w:tbl>
    <w:p>
      <w:pPr>
        <w:spacing w:after="80"/>
      </w:pPr>
    </w:p>
    <w:p>
      <w:pPr>
        <w:spacing w:before="240" w:after="60"/>
      </w:pPr>
      <w:r>
        <w:rPr>
          <w:b/>
          <w:color w:val="007A87"/>
          <w:sz w:val="22"/>
        </w:rPr>
        <w:t>Assigning credit states</w:t>
      </w:r>
    </w:p>
    <w:p>
      <w:pPr>
        <w:spacing w:after="120"/>
      </w:pPr>
      <w:r>
        <w:rPr>
          <w:color w:val="444455"/>
          <w:sz w:val="21"/>
        </w:rPr>
        <w:t>The risk_rank score is used to assign each customer to one of four credit states: Excellent, Good, Fair, or Poor. State boundaries are determined by K-Means clustering (k=4) applied directly to the risk_rank distribution.</w:t>
      </w:r>
    </w:p>
    <w:p>
      <w:pPr>
        <w:spacing w:after="120"/>
      </w:pPr>
      <w:r>
        <w:rPr>
          <w:color w:val="444455"/>
          <w:sz w:val="21"/>
        </w:rPr>
        <w:t>K-Means finds the four cluster centres that minimise total within-cluster variance. The boundary between any two adjacent clusters is the midpoint between their centres — the mathematically natural cut point in one dimension. This avoids the circularity of the alternative, where boundaries were reverse-engineered from a pre-decided distribution target.</w:t>
      </w:r>
    </w:p>
    <w:p>
      <w:pPr>
        <w:spacing w:after="120"/>
      </w:pPr>
      <w:r>
        <w:rPr>
          <w:color w:val="444455"/>
          <w:sz w:val="21"/>
        </w:rPr>
        <w:t>A silhouette analysis confirms that the data statistically supports two natural clusters (score 0.59 at k=2 vs 0.53 at k=4). The four-state model is adopted because the business and regulatory framework requires four tiers, not because the data independently produces four distinct groups. The cluster boundaries are a principled partition of a continuous distribution, not a discovery of four structurally separate customer populations.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1A355E"/>
          </w:tcPr>
          <w:p>
            <w:pPr>
              <w:spacing w:before="60" w:after="60"/>
            </w:pPr>
            <w:r>
              <w:rPr>
                <w:b/>
                <w:color w:val="FFFFFF"/>
                <w:sz w:val="19"/>
              </w:rPr>
              <w:t>State</w:t>
            </w:r>
          </w:p>
        </w:tc>
        <w:tc>
          <w:tcPr>
            <w:tcW w:type="dxa" w:w="2592"/>
            <w:shd w:val="clear" w:color="auto" w:fill="1A355E"/>
          </w:tcPr>
          <w:p>
            <w:pPr>
              <w:spacing w:before="60" w:after="60"/>
            </w:pPr>
            <w:r>
              <w:rPr>
                <w:b/>
                <w:color w:val="FFFFFF"/>
                <w:sz w:val="19"/>
              </w:rPr>
              <w:t>Risk rank boundary</w:t>
            </w:r>
          </w:p>
        </w:tc>
        <w:tc>
          <w:tcPr>
            <w:tcW w:type="dxa" w:w="2592"/>
            <w:shd w:val="clear" w:color="auto" w:fill="1A355E"/>
          </w:tcPr>
          <w:p>
            <w:pPr>
              <w:spacing w:before="60" w:after="60"/>
            </w:pPr>
            <w:r>
              <w:rPr>
                <w:b/>
                <w:color w:val="FFFFFF"/>
                <w:sz w:val="19"/>
              </w:rPr>
              <w:t>Share of portfolio</w:t>
            </w:r>
          </w:p>
        </w:tc>
        <w:tc>
          <w:tcPr>
            <w:tcW w:type="dxa" w:w="3024"/>
            <w:shd w:val="clear" w:color="auto" w:fill="1A355E"/>
          </w:tcPr>
          <w:p>
            <w:pPr>
              <w:spacing w:before="60" w:after="60"/>
            </w:pPr>
            <w:r>
              <w:rPr>
                <w:b/>
                <w:color w:val="FFFFFF"/>
                <w:sz w:val="19"/>
              </w:rPr>
              <w:t>Assumed base default rate</w:t>
            </w:r>
          </w:p>
        </w:tc>
      </w:tr>
      <w:tr>
        <w:tc>
          <w:tcPr>
            <w:tcW w:type="dxa" w:w="1872"/>
            <w:shd w:val="clear" w:color="auto" w:fill="FFFFFF"/>
          </w:tcPr>
          <w:p>
            <w:pPr>
              <w:spacing w:before="40" w:after="40"/>
            </w:pPr>
            <w:r>
              <w:rPr>
                <w:color w:val="444455"/>
                <w:sz w:val="19"/>
              </w:rPr>
              <w:t>Excellent</w:t>
            </w:r>
          </w:p>
        </w:tc>
        <w:tc>
          <w:tcPr>
            <w:tcW w:type="dxa" w:w="2592"/>
            <w:shd w:val="clear" w:color="auto" w:fill="FFFFFF"/>
          </w:tcPr>
          <w:p>
            <w:pPr>
              <w:spacing w:before="40" w:after="40"/>
            </w:pPr>
            <w:r>
              <w:rPr>
                <w:color w:val="444455"/>
                <w:sz w:val="19"/>
              </w:rPr>
              <w:t>≤ 0.396</w:t>
            </w:r>
          </w:p>
        </w:tc>
        <w:tc>
          <w:tcPr>
            <w:tcW w:type="dxa" w:w="2592"/>
            <w:shd w:val="clear" w:color="auto" w:fill="FFFFFF"/>
          </w:tcPr>
          <w:p>
            <w:pPr>
              <w:spacing w:before="40" w:after="40"/>
            </w:pPr>
            <w:r>
              <w:rPr>
                <w:color w:val="444455"/>
                <w:sz w:val="19"/>
              </w:rPr>
              <w:t>20.8%  (6,246)</w:t>
            </w:r>
          </w:p>
        </w:tc>
        <w:tc>
          <w:tcPr>
            <w:tcW w:type="dxa" w:w="3024"/>
            <w:shd w:val="clear" w:color="auto" w:fill="FFFFFF"/>
          </w:tcPr>
          <w:p>
            <w:pPr>
              <w:spacing w:before="40" w:after="40"/>
            </w:pPr>
            <w:r>
              <w:rPr>
                <w:color w:val="444455"/>
                <w:sz w:val="19"/>
              </w:rPr>
              <w:t>1.0%</w:t>
            </w:r>
          </w:p>
        </w:tc>
      </w:tr>
      <w:tr>
        <w:tc>
          <w:tcPr>
            <w:tcW w:type="dxa" w:w="1872"/>
            <w:shd w:val="clear" w:color="auto" w:fill="F2F5F9"/>
          </w:tcPr>
          <w:p>
            <w:pPr>
              <w:spacing w:before="40" w:after="40"/>
            </w:pPr>
            <w:r>
              <w:rPr>
                <w:color w:val="444455"/>
                <w:sz w:val="19"/>
              </w:rPr>
              <w:t>Good</w:t>
            </w:r>
          </w:p>
        </w:tc>
        <w:tc>
          <w:tcPr>
            <w:tcW w:type="dxa" w:w="2592"/>
            <w:shd w:val="clear" w:color="auto" w:fill="F2F5F9"/>
          </w:tcPr>
          <w:p>
            <w:pPr>
              <w:spacing w:before="40" w:after="40"/>
            </w:pPr>
            <w:r>
              <w:rPr>
                <w:color w:val="444455"/>
                <w:sz w:val="19"/>
              </w:rPr>
              <w:t>≤ 0.499</w:t>
            </w:r>
          </w:p>
        </w:tc>
        <w:tc>
          <w:tcPr>
            <w:tcW w:type="dxa" w:w="2592"/>
            <w:shd w:val="clear" w:color="auto" w:fill="F2F5F9"/>
          </w:tcPr>
          <w:p>
            <w:pPr>
              <w:spacing w:before="40" w:after="40"/>
            </w:pPr>
            <w:r>
              <w:rPr>
                <w:color w:val="444455"/>
                <w:sz w:val="19"/>
              </w:rPr>
              <w:t>29.0%  (8,703)</w:t>
            </w:r>
          </w:p>
        </w:tc>
        <w:tc>
          <w:tcPr>
            <w:tcW w:type="dxa" w:w="3024"/>
            <w:shd w:val="clear" w:color="auto" w:fill="F2F5F9"/>
          </w:tcPr>
          <w:p>
            <w:pPr>
              <w:spacing w:before="40" w:after="40"/>
            </w:pPr>
            <w:r>
              <w:rPr>
                <w:color w:val="444455"/>
                <w:sz w:val="19"/>
              </w:rPr>
              <w:t>2.5%</w:t>
            </w:r>
          </w:p>
        </w:tc>
      </w:tr>
      <w:tr>
        <w:tc>
          <w:tcPr>
            <w:tcW w:type="dxa" w:w="1872"/>
            <w:shd w:val="clear" w:color="auto" w:fill="FFFFFF"/>
          </w:tcPr>
          <w:p>
            <w:pPr>
              <w:spacing w:before="40" w:after="40"/>
            </w:pPr>
            <w:r>
              <w:rPr>
                <w:color w:val="444455"/>
                <w:sz w:val="19"/>
              </w:rPr>
              <w:t>Fair</w:t>
            </w:r>
          </w:p>
        </w:tc>
        <w:tc>
          <w:tcPr>
            <w:tcW w:type="dxa" w:w="2592"/>
            <w:shd w:val="clear" w:color="auto" w:fill="FFFFFF"/>
          </w:tcPr>
          <w:p>
            <w:pPr>
              <w:spacing w:before="40" w:after="40"/>
            </w:pPr>
            <w:r>
              <w:rPr>
                <w:color w:val="444455"/>
                <w:sz w:val="19"/>
              </w:rPr>
              <w:t>≤ 0.603</w:t>
            </w:r>
          </w:p>
        </w:tc>
        <w:tc>
          <w:tcPr>
            <w:tcW w:type="dxa" w:w="2592"/>
            <w:shd w:val="clear" w:color="auto" w:fill="FFFFFF"/>
          </w:tcPr>
          <w:p>
            <w:pPr>
              <w:spacing w:before="40" w:after="40"/>
            </w:pPr>
            <w:r>
              <w:rPr>
                <w:color w:val="444455"/>
                <w:sz w:val="19"/>
              </w:rPr>
              <w:t>29.2%  (8,757)</w:t>
            </w:r>
          </w:p>
        </w:tc>
        <w:tc>
          <w:tcPr>
            <w:tcW w:type="dxa" w:w="3024"/>
            <w:shd w:val="clear" w:color="auto" w:fill="FFFFFF"/>
          </w:tcPr>
          <w:p>
            <w:pPr>
              <w:spacing w:before="40" w:after="40"/>
            </w:pPr>
            <w:r>
              <w:rPr>
                <w:color w:val="444455"/>
                <w:sz w:val="19"/>
              </w:rPr>
              <w:t>7.0%</w:t>
            </w:r>
          </w:p>
        </w:tc>
      </w:tr>
      <w:tr>
        <w:tc>
          <w:tcPr>
            <w:tcW w:type="dxa" w:w="1872"/>
            <w:shd w:val="clear" w:color="auto" w:fill="F2F5F9"/>
          </w:tcPr>
          <w:p>
            <w:pPr>
              <w:spacing w:before="40" w:after="40"/>
            </w:pPr>
            <w:r>
              <w:rPr>
                <w:color w:val="444455"/>
                <w:sz w:val="19"/>
              </w:rPr>
              <w:t>Poor</w:t>
            </w:r>
          </w:p>
        </w:tc>
        <w:tc>
          <w:tcPr>
            <w:tcW w:type="dxa" w:w="2592"/>
            <w:shd w:val="clear" w:color="auto" w:fill="F2F5F9"/>
          </w:tcPr>
          <w:p>
            <w:pPr>
              <w:spacing w:before="40" w:after="40"/>
            </w:pPr>
            <w:r>
              <w:rPr>
                <w:color w:val="444455"/>
                <w:sz w:val="19"/>
              </w:rPr>
              <w:t>&gt; 0.603</w:t>
            </w:r>
          </w:p>
        </w:tc>
        <w:tc>
          <w:tcPr>
            <w:tcW w:type="dxa" w:w="2592"/>
            <w:shd w:val="clear" w:color="auto" w:fill="F2F5F9"/>
          </w:tcPr>
          <w:p>
            <w:pPr>
              <w:spacing w:before="40" w:after="40"/>
            </w:pPr>
            <w:r>
              <w:rPr>
                <w:color w:val="444455"/>
                <w:sz w:val="19"/>
              </w:rPr>
              <w:t>21.0%  (6,294)</w:t>
            </w:r>
          </w:p>
        </w:tc>
        <w:tc>
          <w:tcPr>
            <w:tcW w:type="dxa" w:w="3024"/>
            <w:shd w:val="clear" w:color="auto" w:fill="F2F5F9"/>
          </w:tcPr>
          <w:p>
            <w:pPr>
              <w:spacing w:before="40" w:after="40"/>
            </w:pPr>
            <w:r>
              <w:rPr>
                <w:color w:val="444455"/>
                <w:sz w:val="19"/>
              </w:rPr>
              <w:t>18.0%</w:t>
            </w:r>
          </w:p>
        </w:tc>
      </w:tr>
    </w:tbl>
    <w:p>
      <w:pPr>
        <w:spacing w:after="40"/>
      </w:pP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9406"/>
      </w:tblGrid>
      <w:tr>
        <w:tc>
          <w:tcPr>
            <w:tcW w:type="dxa" w:w="8352"/>
            <w:tcBorders>
              <w:left w:val="single" w:sz="18" w:space="0" w:color="D47E00"/>
            </w:tcBorders>
            <w:shd w:val="clear" w:color="auto" w:fill="FFF8EE"/>
          </w:tcPr>
          <w:p>
            <w:pPr>
              <w:spacing w:before="80" w:after="80"/>
            </w:pPr>
            <w:r>
              <w:rPr>
                <w:b/>
                <w:color w:val="D47E00"/>
                <w:sz w:val="20"/>
              </w:rPr>
              <w:t xml:space="preserve">Limitation  </w:t>
            </w:r>
            <w:r>
              <w:rPr>
                <w:color w:val="444455"/>
                <w:sz w:val="20"/>
              </w:rPr>
              <w:t>The base default rates (1%, 2.5%, 7%, 18%) are assumed — not observed from this dataset. They are used to convert risk_rank into a numeric default_risk value that the LP portfolio constraint can operate on. These rates are broadly consistent with FDIC-published charge-off rates for consumer loans by risk tier, but should be replaced with observed rates when outcome data is available.</w:t>
            </w:r>
          </w:p>
        </w:tc>
      </w:tr>
    </w:tbl>
    <w:p>
      <w:pPr>
        <w:spacing w:after="80"/>
      </w:pPr>
    </w:p>
    <w:p>
      <w:pPr>
        <w:spacing w:before="360" w:after="80"/>
        <w:pBdr>
          <w:bottom w:val="single" w:sz="6" w:space="1" w:color="1A355E"/>
        </w:pBdr>
      </w:pPr>
      <w:r>
        <w:rPr>
          <w:b/>
          <w:color w:val="1A355E"/>
          <w:sz w:val="28"/>
        </w:rPr>
        <w:t>5.  Markov Chain — Long-Run Portfolio Trajectory</w:t>
      </w:r>
    </w:p>
    <w:p>
      <w:pPr>
        <w:spacing w:after="120"/>
      </w:pPr>
      <w:r>
        <w:rPr>
          <w:color w:val="444455"/>
          <w:sz w:val="21"/>
        </w:rPr>
        <w:t>Knowing the current state distribution is not sufficient. The optimisation needs to account for where the portfolio is heading — not just where it is today. A Markov chain models the probability that a customer in one credit state migrates to another over time.</w:t>
      </w:r>
    </w:p>
    <w:p>
      <w:pPr>
        <w:spacing w:before="240" w:after="60"/>
      </w:pPr>
      <w:r>
        <w:rPr>
          <w:b/>
          <w:color w:val="007A87"/>
          <w:sz w:val="22"/>
        </w:rPr>
        <w:t>The transition matrix</w:t>
      </w:r>
    </w:p>
    <w:p>
      <w:pPr>
        <w:spacing w:after="120"/>
      </w:pPr>
      <w:r>
        <w:rPr>
          <w:color w:val="444455"/>
          <w:sz w:val="21"/>
        </w:rPr>
        <w:t>A 4×4 matrix captures the probability of moving between any pair of states over a 90-day period. Each row sums to 1.0. The matrix below shows strong diagonal values (0.75–0.86), confirming that credit states are persistent — customers do not move dramatically between states from one period to the next.</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160"/>
            <w:shd w:val="clear" w:color="auto" w:fill="1A355E"/>
          </w:tcPr>
          <w:p>
            <w:pPr>
              <w:spacing w:before="60" w:after="60"/>
            </w:pPr>
            <w:r>
              <w:rPr>
                <w:b/>
                <w:color w:val="FFFFFF"/>
                <w:sz w:val="19"/>
              </w:rPr>
              <w:t>From \ To</w:t>
            </w:r>
          </w:p>
        </w:tc>
        <w:tc>
          <w:tcPr>
            <w:tcW w:type="dxa" w:w="1872"/>
            <w:shd w:val="clear" w:color="auto" w:fill="1A355E"/>
          </w:tcPr>
          <w:p>
            <w:pPr>
              <w:spacing w:before="60" w:after="60"/>
            </w:pPr>
            <w:r>
              <w:rPr>
                <w:b/>
                <w:color w:val="FFFFFF"/>
                <w:sz w:val="19"/>
              </w:rPr>
              <w:t>Excellent</w:t>
            </w:r>
          </w:p>
        </w:tc>
        <w:tc>
          <w:tcPr>
            <w:tcW w:type="dxa" w:w="1872"/>
            <w:shd w:val="clear" w:color="auto" w:fill="1A355E"/>
          </w:tcPr>
          <w:p>
            <w:pPr>
              <w:spacing w:before="60" w:after="60"/>
            </w:pPr>
            <w:r>
              <w:rPr>
                <w:b/>
                <w:color w:val="FFFFFF"/>
                <w:sz w:val="19"/>
              </w:rPr>
              <w:t>Good</w:t>
            </w:r>
          </w:p>
        </w:tc>
        <w:tc>
          <w:tcPr>
            <w:tcW w:type="dxa" w:w="1872"/>
            <w:shd w:val="clear" w:color="auto" w:fill="1A355E"/>
          </w:tcPr>
          <w:p>
            <w:pPr>
              <w:spacing w:before="60" w:after="60"/>
            </w:pPr>
            <w:r>
              <w:rPr>
                <w:b/>
                <w:color w:val="FFFFFF"/>
                <w:sz w:val="19"/>
              </w:rPr>
              <w:t>Fair</w:t>
            </w:r>
          </w:p>
        </w:tc>
        <w:tc>
          <w:tcPr>
            <w:tcW w:type="dxa" w:w="1872"/>
            <w:shd w:val="clear" w:color="auto" w:fill="1A355E"/>
          </w:tcPr>
          <w:p>
            <w:pPr>
              <w:spacing w:before="60" w:after="60"/>
            </w:pPr>
            <w:r>
              <w:rPr>
                <w:b/>
                <w:color w:val="FFFFFF"/>
                <w:sz w:val="19"/>
              </w:rPr>
              <w:t>Poor</w:t>
            </w:r>
          </w:p>
        </w:tc>
      </w:tr>
      <w:tr>
        <w:tc>
          <w:tcPr>
            <w:tcW w:type="dxa" w:w="2160"/>
            <w:shd w:val="clear" w:color="auto" w:fill="FFFFFF"/>
          </w:tcPr>
          <w:p>
            <w:pPr>
              <w:spacing w:before="40" w:after="40"/>
            </w:pPr>
            <w:r>
              <w:rPr>
                <w:color w:val="444455"/>
                <w:sz w:val="19"/>
              </w:rPr>
              <w:t>Excellent</w:t>
            </w:r>
          </w:p>
        </w:tc>
        <w:tc>
          <w:tcPr>
            <w:tcW w:type="dxa" w:w="1872"/>
            <w:shd w:val="clear" w:color="auto" w:fill="FFFFFF"/>
          </w:tcPr>
          <w:p>
            <w:pPr>
              <w:spacing w:before="40" w:after="40"/>
            </w:pPr>
            <w:r>
              <w:rPr>
                <w:color w:val="444455"/>
                <w:sz w:val="19"/>
              </w:rPr>
              <w:t>0.850</w:t>
            </w:r>
          </w:p>
        </w:tc>
        <w:tc>
          <w:tcPr>
            <w:tcW w:type="dxa" w:w="1872"/>
            <w:shd w:val="clear" w:color="auto" w:fill="FFFFFF"/>
          </w:tcPr>
          <w:p>
            <w:pPr>
              <w:spacing w:before="40" w:after="40"/>
            </w:pPr>
            <w:r>
              <w:rPr>
                <w:color w:val="444455"/>
                <w:sz w:val="19"/>
              </w:rPr>
              <w:t>0.094</w:t>
            </w:r>
          </w:p>
        </w:tc>
        <w:tc>
          <w:tcPr>
            <w:tcW w:type="dxa" w:w="1872"/>
            <w:shd w:val="clear" w:color="auto" w:fill="FFFFFF"/>
          </w:tcPr>
          <w:p>
            <w:pPr>
              <w:spacing w:before="40" w:after="40"/>
            </w:pPr>
            <w:r>
              <w:rPr>
                <w:color w:val="444455"/>
                <w:sz w:val="19"/>
              </w:rPr>
              <w:t>0.040</w:t>
            </w:r>
          </w:p>
        </w:tc>
        <w:tc>
          <w:tcPr>
            <w:tcW w:type="dxa" w:w="1872"/>
            <w:shd w:val="clear" w:color="auto" w:fill="FFFFFF"/>
          </w:tcPr>
          <w:p>
            <w:pPr>
              <w:spacing w:before="40" w:after="40"/>
            </w:pPr>
            <w:r>
              <w:rPr>
                <w:color w:val="444455"/>
                <w:sz w:val="19"/>
              </w:rPr>
              <w:t>0.010</w:t>
            </w:r>
          </w:p>
        </w:tc>
      </w:tr>
      <w:tr>
        <w:tc>
          <w:tcPr>
            <w:tcW w:type="dxa" w:w="2160"/>
            <w:shd w:val="clear" w:color="auto" w:fill="F2F5F9"/>
          </w:tcPr>
          <w:p>
            <w:pPr>
              <w:spacing w:before="40" w:after="40"/>
            </w:pPr>
            <w:r>
              <w:rPr>
                <w:color w:val="444455"/>
                <w:sz w:val="19"/>
              </w:rPr>
              <w:t>Good</w:t>
            </w:r>
          </w:p>
        </w:tc>
        <w:tc>
          <w:tcPr>
            <w:tcW w:type="dxa" w:w="1872"/>
            <w:shd w:val="clear" w:color="auto" w:fill="F2F5F9"/>
          </w:tcPr>
          <w:p>
            <w:pPr>
              <w:spacing w:before="40" w:after="40"/>
            </w:pPr>
            <w:r>
              <w:rPr>
                <w:color w:val="444455"/>
                <w:sz w:val="19"/>
              </w:rPr>
              <w:t>0.051</w:t>
            </w:r>
          </w:p>
        </w:tc>
        <w:tc>
          <w:tcPr>
            <w:tcW w:type="dxa" w:w="1872"/>
            <w:shd w:val="clear" w:color="auto" w:fill="F2F5F9"/>
          </w:tcPr>
          <w:p>
            <w:pPr>
              <w:spacing w:before="40" w:after="40"/>
            </w:pPr>
            <w:r>
              <w:rPr>
                <w:color w:val="444455"/>
                <w:sz w:val="19"/>
              </w:rPr>
              <w:t>0.800</w:t>
            </w:r>
          </w:p>
        </w:tc>
        <w:tc>
          <w:tcPr>
            <w:tcW w:type="dxa" w:w="1872"/>
            <w:shd w:val="clear" w:color="auto" w:fill="F2F5F9"/>
          </w:tcPr>
          <w:p>
            <w:pPr>
              <w:spacing w:before="40" w:after="40"/>
            </w:pPr>
            <w:r>
              <w:rPr>
                <w:color w:val="444455"/>
                <w:sz w:val="19"/>
              </w:rPr>
              <w:t>0.117</w:t>
            </w:r>
          </w:p>
        </w:tc>
        <w:tc>
          <w:tcPr>
            <w:tcW w:type="dxa" w:w="1872"/>
            <w:shd w:val="clear" w:color="auto" w:fill="F2F5F9"/>
          </w:tcPr>
          <w:p>
            <w:pPr>
              <w:spacing w:before="40" w:after="40"/>
            </w:pPr>
            <w:r>
              <w:rPr>
                <w:color w:val="444455"/>
                <w:sz w:val="19"/>
              </w:rPr>
              <w:t>0.033</w:t>
            </w:r>
          </w:p>
        </w:tc>
      </w:tr>
      <w:tr>
        <w:tc>
          <w:tcPr>
            <w:tcW w:type="dxa" w:w="2160"/>
            <w:shd w:val="clear" w:color="auto" w:fill="FFFFFF"/>
          </w:tcPr>
          <w:p>
            <w:pPr>
              <w:spacing w:before="40" w:after="40"/>
            </w:pPr>
            <w:r>
              <w:rPr>
                <w:color w:val="444455"/>
                <w:sz w:val="19"/>
              </w:rPr>
              <w:t>Fair</w:t>
            </w:r>
          </w:p>
        </w:tc>
        <w:tc>
          <w:tcPr>
            <w:tcW w:type="dxa" w:w="1872"/>
            <w:shd w:val="clear" w:color="auto" w:fill="FFFFFF"/>
          </w:tcPr>
          <w:p>
            <w:pPr>
              <w:spacing w:before="40" w:after="40"/>
            </w:pPr>
            <w:r>
              <w:rPr>
                <w:color w:val="444455"/>
                <w:sz w:val="19"/>
              </w:rPr>
              <w:t>0.019</w:t>
            </w:r>
          </w:p>
        </w:tc>
        <w:tc>
          <w:tcPr>
            <w:tcW w:type="dxa" w:w="1872"/>
            <w:shd w:val="clear" w:color="auto" w:fill="FFFFFF"/>
          </w:tcPr>
          <w:p>
            <w:pPr>
              <w:spacing w:before="40" w:after="40"/>
            </w:pPr>
            <w:r>
              <w:rPr>
                <w:color w:val="444455"/>
                <w:sz w:val="19"/>
              </w:rPr>
              <w:t>0.102</w:t>
            </w:r>
          </w:p>
        </w:tc>
        <w:tc>
          <w:tcPr>
            <w:tcW w:type="dxa" w:w="1872"/>
            <w:shd w:val="clear" w:color="auto" w:fill="FFFFFF"/>
          </w:tcPr>
          <w:p>
            <w:pPr>
              <w:spacing w:before="40" w:after="40"/>
            </w:pPr>
            <w:r>
              <w:rPr>
                <w:color w:val="444455"/>
                <w:sz w:val="19"/>
              </w:rPr>
              <w:t>0.751</w:t>
            </w:r>
          </w:p>
        </w:tc>
        <w:tc>
          <w:tcPr>
            <w:tcW w:type="dxa" w:w="1872"/>
            <w:shd w:val="clear" w:color="auto" w:fill="FFFFFF"/>
          </w:tcPr>
          <w:p>
            <w:pPr>
              <w:spacing w:before="40" w:after="40"/>
            </w:pPr>
            <w:r>
              <w:rPr>
                <w:color w:val="444455"/>
                <w:sz w:val="19"/>
              </w:rPr>
              <w:t>0.129</w:t>
            </w:r>
          </w:p>
        </w:tc>
      </w:tr>
      <w:tr>
        <w:tc>
          <w:tcPr>
            <w:tcW w:type="dxa" w:w="2160"/>
            <w:shd w:val="clear" w:color="auto" w:fill="F2F5F9"/>
          </w:tcPr>
          <w:p>
            <w:pPr>
              <w:spacing w:before="40" w:after="40"/>
            </w:pPr>
            <w:r>
              <w:rPr>
                <w:color w:val="444455"/>
                <w:sz w:val="19"/>
              </w:rPr>
              <w:t>Poor</w:t>
            </w:r>
          </w:p>
        </w:tc>
        <w:tc>
          <w:tcPr>
            <w:tcW w:type="dxa" w:w="1872"/>
            <w:shd w:val="clear" w:color="auto" w:fill="F2F5F9"/>
          </w:tcPr>
          <w:p>
            <w:pPr>
              <w:spacing w:before="40" w:after="40"/>
            </w:pPr>
            <w:r>
              <w:rPr>
                <w:color w:val="444455"/>
                <w:sz w:val="19"/>
              </w:rPr>
              <w:t>0.007</w:t>
            </w:r>
          </w:p>
        </w:tc>
        <w:tc>
          <w:tcPr>
            <w:tcW w:type="dxa" w:w="1872"/>
            <w:shd w:val="clear" w:color="auto" w:fill="F2F5F9"/>
          </w:tcPr>
          <w:p>
            <w:pPr>
              <w:spacing w:before="40" w:after="40"/>
            </w:pPr>
            <w:r>
              <w:rPr>
                <w:color w:val="444455"/>
                <w:sz w:val="19"/>
              </w:rPr>
              <w:t>0.049</w:t>
            </w:r>
          </w:p>
        </w:tc>
        <w:tc>
          <w:tcPr>
            <w:tcW w:type="dxa" w:w="1872"/>
            <w:shd w:val="clear" w:color="auto" w:fill="F2F5F9"/>
          </w:tcPr>
          <w:p>
            <w:pPr>
              <w:spacing w:before="40" w:after="40"/>
            </w:pPr>
            <w:r>
              <w:rPr>
                <w:color w:val="444455"/>
                <w:sz w:val="19"/>
              </w:rPr>
              <w:t>0.194</w:t>
            </w:r>
          </w:p>
        </w:tc>
        <w:tc>
          <w:tcPr>
            <w:tcW w:type="dxa" w:w="1872"/>
            <w:shd w:val="clear" w:color="auto" w:fill="F2F5F9"/>
          </w:tcPr>
          <w:p>
            <w:pPr>
              <w:spacing w:before="40" w:after="40"/>
            </w:pPr>
            <w:r>
              <w:rPr>
                <w:color w:val="444455"/>
                <w:sz w:val="19"/>
              </w:rPr>
              <w:t>0.747</w:t>
            </w:r>
          </w:p>
        </w:tc>
      </w:tr>
    </w:tbl>
    <w:p>
      <w:pPr>
        <w:spacing w:after="40"/>
      </w:pPr>
    </w:p>
    <w:p>
      <w:pPr>
        <w:spacing w:before="240" w:after="60"/>
      </w:pPr>
      <w:r>
        <w:rPr>
          <w:b/>
          <w:color w:val="007A87"/>
          <w:sz w:val="22"/>
        </w:rPr>
        <w:t>Steady-state: the long-run warning signal</w:t>
      </w:r>
    </w:p>
    <w:p>
      <w:pPr>
        <w:spacing w:after="120"/>
      </w:pPr>
      <w:r>
        <w:rPr>
          <w:color w:val="444455"/>
          <w:sz w:val="21"/>
        </w:rPr>
        <w:t>The steady-state distribution answers: if customers keep transitioning according to this matrix indefinitely — with no intervention — what fraction of the portfolio will eventually settle in each state?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872"/>
            <w:shd w:val="clear" w:color="auto" w:fill="1A355E"/>
          </w:tcPr>
          <w:p>
            <w:pPr>
              <w:spacing w:before="60" w:after="60"/>
            </w:pPr>
            <w:r>
              <w:rPr>
                <w:b/>
                <w:color w:val="FFFFFF"/>
                <w:sz w:val="19"/>
              </w:rPr>
              <w:t>State</w:t>
            </w:r>
          </w:p>
        </w:tc>
        <w:tc>
          <w:tcPr>
            <w:tcW w:type="dxa" w:w="1872"/>
            <w:shd w:val="clear" w:color="auto" w:fill="1A355E"/>
          </w:tcPr>
          <w:p>
            <w:pPr>
              <w:spacing w:before="60" w:after="60"/>
            </w:pPr>
            <w:r>
              <w:rPr>
                <w:b/>
                <w:color w:val="FFFFFF"/>
                <w:sz w:val="19"/>
              </w:rPr>
              <w:t>Today</w:t>
            </w:r>
          </w:p>
        </w:tc>
        <w:tc>
          <w:tcPr>
            <w:tcW w:type="dxa" w:w="3456"/>
            <w:shd w:val="clear" w:color="auto" w:fill="1A355E"/>
          </w:tcPr>
          <w:p>
            <w:pPr>
              <w:spacing w:before="60" w:after="60"/>
            </w:pPr>
            <w:r>
              <w:rPr>
                <w:b/>
                <w:color w:val="FFFFFF"/>
                <w:sz w:val="19"/>
              </w:rPr>
              <w:t>Long-run (no intervention)</w:t>
            </w:r>
          </w:p>
        </w:tc>
        <w:tc>
          <w:tcPr>
            <w:tcW w:type="dxa" w:w="1872"/>
            <w:shd w:val="clear" w:color="auto" w:fill="1A355E"/>
          </w:tcPr>
          <w:p>
            <w:pPr>
              <w:spacing w:before="60" w:after="60"/>
            </w:pPr>
            <w:r>
              <w:rPr>
                <w:b/>
                <w:color w:val="FFFFFF"/>
                <w:sz w:val="19"/>
              </w:rPr>
              <w:t>Change</w:t>
            </w:r>
          </w:p>
        </w:tc>
      </w:tr>
      <w:tr>
        <w:tc>
          <w:tcPr>
            <w:tcW w:type="dxa" w:w="1872"/>
            <w:shd w:val="clear" w:color="auto" w:fill="FFFFFF"/>
          </w:tcPr>
          <w:p>
            <w:pPr>
              <w:spacing w:before="40" w:after="40"/>
            </w:pPr>
            <w:r>
              <w:rPr>
                <w:color w:val="444455"/>
                <w:sz w:val="19"/>
              </w:rPr>
              <w:t>Excellent</w:t>
            </w:r>
          </w:p>
        </w:tc>
        <w:tc>
          <w:tcPr>
            <w:tcW w:type="dxa" w:w="1872"/>
            <w:shd w:val="clear" w:color="auto" w:fill="FFFFFF"/>
          </w:tcPr>
          <w:p>
            <w:pPr>
              <w:spacing w:before="40" w:after="40"/>
            </w:pPr>
            <w:r>
              <w:rPr>
                <w:color w:val="444455"/>
                <w:sz w:val="19"/>
              </w:rPr>
              <w:t>20.8%</w:t>
            </w:r>
          </w:p>
        </w:tc>
        <w:tc>
          <w:tcPr>
            <w:tcW w:type="dxa" w:w="3456"/>
            <w:shd w:val="clear" w:color="auto" w:fill="FFFFFF"/>
          </w:tcPr>
          <w:p>
            <w:pPr>
              <w:spacing w:before="40" w:after="40"/>
            </w:pPr>
            <w:r>
              <w:rPr>
                <w:color w:val="444455"/>
                <w:sz w:val="19"/>
              </w:rPr>
              <w:t>15.3%</w:t>
            </w:r>
          </w:p>
        </w:tc>
        <w:tc>
          <w:tcPr>
            <w:tcW w:type="dxa" w:w="1872"/>
            <w:shd w:val="clear" w:color="auto" w:fill="FFFFFF"/>
          </w:tcPr>
          <w:p>
            <w:pPr>
              <w:spacing w:before="40" w:after="40"/>
            </w:pPr>
            <w:r>
              <w:rPr>
                <w:color w:val="444455"/>
                <w:sz w:val="19"/>
              </w:rPr>
              <w:t>↓ 5.5 pp</w:t>
            </w:r>
          </w:p>
        </w:tc>
      </w:tr>
      <w:tr>
        <w:tc>
          <w:tcPr>
            <w:tcW w:type="dxa" w:w="1872"/>
            <w:shd w:val="clear" w:color="auto" w:fill="F2F5F9"/>
          </w:tcPr>
          <w:p>
            <w:pPr>
              <w:spacing w:before="40" w:after="40"/>
            </w:pPr>
            <w:r>
              <w:rPr>
                <w:color w:val="444455"/>
                <w:sz w:val="19"/>
              </w:rPr>
              <w:t>Good</w:t>
            </w:r>
          </w:p>
        </w:tc>
        <w:tc>
          <w:tcPr>
            <w:tcW w:type="dxa" w:w="1872"/>
            <w:shd w:val="clear" w:color="auto" w:fill="F2F5F9"/>
          </w:tcPr>
          <w:p>
            <w:pPr>
              <w:spacing w:before="40" w:after="40"/>
            </w:pPr>
            <w:r>
              <w:rPr>
                <w:color w:val="444455"/>
                <w:sz w:val="19"/>
              </w:rPr>
              <w:t>29.0%</w:t>
            </w:r>
          </w:p>
        </w:tc>
        <w:tc>
          <w:tcPr>
            <w:tcW w:type="dxa" w:w="3456"/>
            <w:shd w:val="clear" w:color="auto" w:fill="F2F5F9"/>
          </w:tcPr>
          <w:p>
            <w:pPr>
              <w:spacing w:before="40" w:after="40"/>
            </w:pPr>
            <w:r>
              <w:rPr>
                <w:color w:val="444455"/>
                <w:sz w:val="19"/>
              </w:rPr>
              <w:t>29.6%</w:t>
            </w:r>
          </w:p>
        </w:tc>
        <w:tc>
          <w:tcPr>
            <w:tcW w:type="dxa" w:w="1872"/>
            <w:shd w:val="clear" w:color="auto" w:fill="F2F5F9"/>
          </w:tcPr>
          <w:p>
            <w:pPr>
              <w:spacing w:before="40" w:after="40"/>
            </w:pPr>
            <w:r>
              <w:rPr>
                <w:color w:val="444455"/>
                <w:sz w:val="19"/>
              </w:rPr>
              <w:t>→ flat</w:t>
            </w:r>
          </w:p>
        </w:tc>
      </w:tr>
      <w:tr>
        <w:tc>
          <w:tcPr>
            <w:tcW w:type="dxa" w:w="1872"/>
            <w:shd w:val="clear" w:color="auto" w:fill="FFFFFF"/>
          </w:tcPr>
          <w:p>
            <w:pPr>
              <w:spacing w:before="40" w:after="40"/>
            </w:pPr>
            <w:r>
              <w:rPr>
                <w:color w:val="444455"/>
                <w:sz w:val="19"/>
              </w:rPr>
              <w:t>Fair</w:t>
            </w:r>
          </w:p>
        </w:tc>
        <w:tc>
          <w:tcPr>
            <w:tcW w:type="dxa" w:w="1872"/>
            <w:shd w:val="clear" w:color="auto" w:fill="FFFFFF"/>
          </w:tcPr>
          <w:p>
            <w:pPr>
              <w:spacing w:before="40" w:after="40"/>
            </w:pPr>
            <w:r>
              <w:rPr>
                <w:color w:val="444455"/>
                <w:sz w:val="19"/>
              </w:rPr>
              <w:t>29.2%</w:t>
            </w:r>
          </w:p>
        </w:tc>
        <w:tc>
          <w:tcPr>
            <w:tcW w:type="dxa" w:w="3456"/>
            <w:shd w:val="clear" w:color="auto" w:fill="FFFFFF"/>
          </w:tcPr>
          <w:p>
            <w:pPr>
              <w:spacing w:before="40" w:after="40"/>
            </w:pPr>
            <w:r>
              <w:rPr>
                <w:color w:val="444455"/>
                <w:sz w:val="19"/>
              </w:rPr>
              <w:t>33.8%</w:t>
            </w:r>
          </w:p>
        </w:tc>
        <w:tc>
          <w:tcPr>
            <w:tcW w:type="dxa" w:w="1872"/>
            <w:shd w:val="clear" w:color="auto" w:fill="FFFFFF"/>
          </w:tcPr>
          <w:p>
            <w:pPr>
              <w:spacing w:before="40" w:after="40"/>
            </w:pPr>
            <w:r>
              <w:rPr>
                <w:color w:val="444455"/>
                <w:sz w:val="19"/>
              </w:rPr>
              <w:t>↑ 4.6 pp</w:t>
            </w:r>
          </w:p>
        </w:tc>
      </w:tr>
      <w:tr>
        <w:tc>
          <w:tcPr>
            <w:tcW w:type="dxa" w:w="1872"/>
            <w:shd w:val="clear" w:color="auto" w:fill="F2F5F9"/>
          </w:tcPr>
          <w:p>
            <w:pPr>
              <w:spacing w:before="40" w:after="40"/>
            </w:pPr>
            <w:r>
              <w:rPr>
                <w:color w:val="444455"/>
                <w:sz w:val="19"/>
              </w:rPr>
              <w:t>Poor</w:t>
            </w:r>
          </w:p>
        </w:tc>
        <w:tc>
          <w:tcPr>
            <w:tcW w:type="dxa" w:w="1872"/>
            <w:shd w:val="clear" w:color="auto" w:fill="F2F5F9"/>
          </w:tcPr>
          <w:p>
            <w:pPr>
              <w:spacing w:before="40" w:after="40"/>
            </w:pPr>
            <w:r>
              <w:rPr>
                <w:color w:val="444455"/>
                <w:sz w:val="19"/>
              </w:rPr>
              <w:t>21.0%</w:t>
            </w:r>
          </w:p>
        </w:tc>
        <w:tc>
          <w:tcPr>
            <w:tcW w:type="dxa" w:w="3456"/>
            <w:shd w:val="clear" w:color="auto" w:fill="F2F5F9"/>
          </w:tcPr>
          <w:p>
            <w:pPr>
              <w:spacing w:before="40" w:after="40"/>
            </w:pPr>
            <w:r>
              <w:rPr>
                <w:color w:val="444455"/>
                <w:sz w:val="19"/>
              </w:rPr>
              <w:t>21.3%</w:t>
            </w:r>
          </w:p>
        </w:tc>
        <w:tc>
          <w:tcPr>
            <w:tcW w:type="dxa" w:w="1872"/>
            <w:shd w:val="clear" w:color="auto" w:fill="F2F5F9"/>
          </w:tcPr>
          <w:p>
            <w:pPr>
              <w:spacing w:before="40" w:after="40"/>
            </w:pPr>
            <w:r>
              <w:rPr>
                <w:color w:val="444455"/>
                <w:sz w:val="19"/>
              </w:rPr>
              <w:t>→ broadly flat</w:t>
            </w:r>
          </w:p>
        </w:tc>
      </w:tr>
    </w:tbl>
    <w:p>
      <w:pPr>
        <w:spacing w:after="40"/>
      </w:pPr>
    </w:p>
    <w:p>
      <w:pPr>
        <w:spacing w:after="120"/>
      </w:pPr>
      <w:r>
        <w:rPr>
          <w:color w:val="444455"/>
          <w:sz w:val="21"/>
        </w:rPr>
        <w:t>The key signal: without intervention, the Excellent segment shrinks by 5.5 percentage points and Fair grows. This provides the strategic justification for approving increases for borderline Good and Fair customers now, while their risk is still manageable, rather than waiting until they migrate further into distress.</w:t>
      </w:r>
    </w:p>
    <w:p>
      <w:pPr>
        <w:spacing w:before="240" w:after="60"/>
      </w:pPr>
      <w:r>
        <w:rPr>
          <w:b/>
          <w:color w:val="007A87"/>
          <w:sz w:val="22"/>
        </w:rPr>
        <w:t>LP–Markov feedback loop</w:t>
      </w:r>
    </w:p>
    <w:p>
      <w:pPr>
        <w:spacing w:after="120"/>
      </w:pPr>
      <w:r>
        <w:rPr>
          <w:color w:val="444455"/>
          <w:sz w:val="21"/>
        </w:rPr>
        <w:t>Rather than treating the Markov chain as purely descriptive, the system closes the loop between the optimisation output and the transition model. After the LP recommends a set of limit increases, those increases are used to adjust the transition matrix — customers who receive larger increases relative to their current limit are assumed to have a higher probability of maintaining or improving their credit state. This produces a revised steady-state, which updates the default risk estimates fed back into the LP. The loop runs until convergence (typically 4 iterations).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A355E"/>
          </w:tcPr>
          <w:p>
            <w:pPr>
              <w:spacing w:before="60" w:after="60"/>
            </w:pPr>
            <w:r>
              <w:rPr>
                <w:b/>
                <w:color w:val="FFFFFF"/>
                <w:sz w:val="19"/>
              </w:rPr>
              <w:t>Iteration</w:t>
            </w:r>
          </w:p>
        </w:tc>
        <w:tc>
          <w:tcPr>
            <w:tcW w:type="dxa" w:w="3168"/>
            <w:shd w:val="clear" w:color="auto" w:fill="1A355E"/>
          </w:tcPr>
          <w:p>
            <w:pPr>
              <w:spacing w:before="60" w:after="60"/>
            </w:pPr>
            <w:r>
              <w:rPr>
                <w:b/>
                <w:color w:val="FFFFFF"/>
                <w:sz w:val="19"/>
              </w:rPr>
              <w:t>Customers receiving increases</w:t>
            </w:r>
          </w:p>
        </w:tc>
        <w:tc>
          <w:tcPr>
            <w:tcW w:type="dxa" w:w="2592"/>
            <w:shd w:val="clear" w:color="auto" w:fill="1A355E"/>
          </w:tcPr>
          <w:p>
            <w:pPr>
              <w:spacing w:before="60" w:after="60"/>
            </w:pPr>
            <w:r>
              <w:rPr>
                <w:b/>
                <w:color w:val="FFFFFF"/>
                <w:sz w:val="19"/>
              </w:rPr>
              <w:t>Poor steady-state</w:t>
            </w:r>
          </w:p>
        </w:tc>
        <w:tc>
          <w:tcPr>
            <w:tcW w:type="dxa" w:w="2160"/>
            <w:shd w:val="clear" w:color="auto" w:fill="1A355E"/>
          </w:tcPr>
          <w:p>
            <w:pPr>
              <w:spacing w:before="60" w:after="60"/>
            </w:pPr>
            <w:r>
              <w:rPr>
                <w:b/>
                <w:color w:val="FFFFFF"/>
                <w:sz w:val="19"/>
              </w:rPr>
              <w:t>LP objective</w:t>
            </w:r>
          </w:p>
        </w:tc>
      </w:tr>
      <w:tr>
        <w:tc>
          <w:tcPr>
            <w:tcW w:type="dxa" w:w="2592"/>
            <w:shd w:val="clear" w:color="auto" w:fill="FFFFFF"/>
          </w:tcPr>
          <w:p>
            <w:pPr>
              <w:spacing w:before="40" w:after="40"/>
            </w:pPr>
            <w:r>
              <w:rPr>
                <w:color w:val="444455"/>
                <w:sz w:val="19"/>
              </w:rPr>
              <w:t>1 (initial)</w:t>
            </w:r>
          </w:p>
        </w:tc>
        <w:tc>
          <w:tcPr>
            <w:tcW w:type="dxa" w:w="3168"/>
            <w:shd w:val="clear" w:color="auto" w:fill="FFFFFF"/>
          </w:tcPr>
          <w:p>
            <w:pPr>
              <w:spacing w:before="40" w:after="40"/>
            </w:pPr>
            <w:r>
              <w:rPr>
                <w:color w:val="444455"/>
                <w:sz w:val="19"/>
              </w:rPr>
              <w:t>8,748</w:t>
            </w:r>
          </w:p>
        </w:tc>
        <w:tc>
          <w:tcPr>
            <w:tcW w:type="dxa" w:w="2592"/>
            <w:shd w:val="clear" w:color="auto" w:fill="FFFFFF"/>
          </w:tcPr>
          <w:p>
            <w:pPr>
              <w:spacing w:before="40" w:after="40"/>
            </w:pPr>
            <w:r>
              <w:rPr>
                <w:color w:val="444455"/>
                <w:sz w:val="19"/>
              </w:rPr>
              <w:t>17.8%</w:t>
            </w:r>
          </w:p>
        </w:tc>
        <w:tc>
          <w:tcPr>
            <w:tcW w:type="dxa" w:w="2160"/>
            <w:shd w:val="clear" w:color="auto" w:fill="FFFFFF"/>
          </w:tcPr>
          <w:p>
            <w:pPr>
              <w:spacing w:before="40" w:after="40"/>
            </w:pPr>
            <w:r>
              <w:rPr>
                <w:color w:val="444455"/>
                <w:sz w:val="19"/>
              </w:rPr>
              <w:t>$39.6B</w:t>
            </w:r>
          </w:p>
        </w:tc>
      </w:tr>
      <w:tr>
        <w:tc>
          <w:tcPr>
            <w:tcW w:type="dxa" w:w="2592"/>
            <w:shd w:val="clear" w:color="auto" w:fill="F2F5F9"/>
          </w:tcPr>
          <w:p>
            <w:pPr>
              <w:spacing w:before="40" w:after="40"/>
            </w:pPr>
            <w:r>
              <w:rPr>
                <w:color w:val="444455"/>
                <w:sz w:val="19"/>
              </w:rPr>
              <w:t>2</w:t>
            </w:r>
          </w:p>
        </w:tc>
        <w:tc>
          <w:tcPr>
            <w:tcW w:type="dxa" w:w="3168"/>
            <w:shd w:val="clear" w:color="auto" w:fill="F2F5F9"/>
          </w:tcPr>
          <w:p>
            <w:pPr>
              <w:spacing w:before="40" w:after="40"/>
            </w:pPr>
            <w:r>
              <w:rPr>
                <w:color w:val="444455"/>
                <w:sz w:val="19"/>
              </w:rPr>
              <w:t>8,747</w:t>
            </w:r>
          </w:p>
        </w:tc>
        <w:tc>
          <w:tcPr>
            <w:tcW w:type="dxa" w:w="2592"/>
            <w:shd w:val="clear" w:color="auto" w:fill="F2F5F9"/>
          </w:tcPr>
          <w:p>
            <w:pPr>
              <w:spacing w:before="40" w:after="40"/>
            </w:pPr>
            <w:r>
              <w:rPr>
                <w:color w:val="444455"/>
                <w:sz w:val="19"/>
              </w:rPr>
              <w:t>17.7%</w:t>
            </w:r>
          </w:p>
        </w:tc>
        <w:tc>
          <w:tcPr>
            <w:tcW w:type="dxa" w:w="2160"/>
            <w:shd w:val="clear" w:color="auto" w:fill="F2F5F9"/>
          </w:tcPr>
          <w:p>
            <w:pPr>
              <w:spacing w:before="40" w:after="40"/>
            </w:pPr>
            <w:r>
              <w:rPr>
                <w:color w:val="444455"/>
                <w:sz w:val="19"/>
              </w:rPr>
              <w:t>$40.8B</w:t>
            </w:r>
          </w:p>
        </w:tc>
      </w:tr>
      <w:tr>
        <w:tc>
          <w:tcPr>
            <w:tcW w:type="dxa" w:w="2592"/>
            <w:shd w:val="clear" w:color="auto" w:fill="FFFFFF"/>
          </w:tcPr>
          <w:p>
            <w:pPr>
              <w:spacing w:before="40" w:after="40"/>
            </w:pPr>
            <w:r>
              <w:rPr>
                <w:color w:val="444455"/>
                <w:sz w:val="19"/>
              </w:rPr>
              <w:t>3</w:t>
            </w:r>
          </w:p>
        </w:tc>
        <w:tc>
          <w:tcPr>
            <w:tcW w:type="dxa" w:w="3168"/>
            <w:shd w:val="clear" w:color="auto" w:fill="FFFFFF"/>
          </w:tcPr>
          <w:p>
            <w:pPr>
              <w:spacing w:before="40" w:after="40"/>
            </w:pPr>
            <w:r>
              <w:rPr>
                <w:color w:val="444455"/>
                <w:sz w:val="19"/>
              </w:rPr>
              <w:t>8,746</w:t>
            </w:r>
          </w:p>
        </w:tc>
        <w:tc>
          <w:tcPr>
            <w:tcW w:type="dxa" w:w="2592"/>
            <w:shd w:val="clear" w:color="auto" w:fill="FFFFFF"/>
          </w:tcPr>
          <w:p>
            <w:pPr>
              <w:spacing w:before="40" w:after="40"/>
            </w:pPr>
            <w:r>
              <w:rPr>
                <w:color w:val="444455"/>
                <w:sz w:val="19"/>
              </w:rPr>
              <w:t>17.7%</w:t>
            </w:r>
          </w:p>
        </w:tc>
        <w:tc>
          <w:tcPr>
            <w:tcW w:type="dxa" w:w="2160"/>
            <w:shd w:val="clear" w:color="auto" w:fill="FFFFFF"/>
          </w:tcPr>
          <w:p>
            <w:pPr>
              <w:spacing w:before="40" w:after="40"/>
            </w:pPr>
            <w:r>
              <w:rPr>
                <w:color w:val="444455"/>
                <w:sz w:val="19"/>
              </w:rPr>
              <w:t>$40.9B</w:t>
            </w:r>
          </w:p>
        </w:tc>
      </w:tr>
      <w:tr>
        <w:tc>
          <w:tcPr>
            <w:tcW w:type="dxa" w:w="2592"/>
            <w:shd w:val="clear" w:color="auto" w:fill="F2F5F9"/>
          </w:tcPr>
          <w:p>
            <w:pPr>
              <w:spacing w:before="40" w:after="40"/>
            </w:pPr>
            <w:r>
              <w:rPr>
                <w:color w:val="444455"/>
                <w:sz w:val="19"/>
              </w:rPr>
              <w:t>4 (converged)</w:t>
            </w:r>
          </w:p>
        </w:tc>
        <w:tc>
          <w:tcPr>
            <w:tcW w:type="dxa" w:w="3168"/>
            <w:shd w:val="clear" w:color="auto" w:fill="F2F5F9"/>
          </w:tcPr>
          <w:p>
            <w:pPr>
              <w:spacing w:before="40" w:after="40"/>
            </w:pPr>
            <w:r>
              <w:rPr>
                <w:color w:val="444455"/>
                <w:sz w:val="19"/>
              </w:rPr>
              <w:t>8,747</w:t>
            </w:r>
          </w:p>
        </w:tc>
        <w:tc>
          <w:tcPr>
            <w:tcW w:type="dxa" w:w="2592"/>
            <w:shd w:val="clear" w:color="auto" w:fill="F2F5F9"/>
          </w:tcPr>
          <w:p>
            <w:pPr>
              <w:spacing w:before="40" w:after="40"/>
            </w:pPr>
            <w:r>
              <w:rPr>
                <w:color w:val="444455"/>
                <w:sz w:val="19"/>
              </w:rPr>
              <w:t>17.7%</w:t>
            </w:r>
          </w:p>
        </w:tc>
        <w:tc>
          <w:tcPr>
            <w:tcW w:type="dxa" w:w="2160"/>
            <w:shd w:val="clear" w:color="auto" w:fill="F2F5F9"/>
          </w:tcPr>
          <w:p>
            <w:pPr>
              <w:spacing w:before="40" w:after="40"/>
            </w:pPr>
            <w:r>
              <w:rPr>
                <w:color w:val="444455"/>
                <w:sz w:val="19"/>
              </w:rPr>
              <w:t>$40.9B</w:t>
            </w:r>
          </w:p>
        </w:tc>
      </w:tr>
    </w:tbl>
    <w:p>
      <w:pPr>
        <w:spacing w:after="40"/>
      </w:pPr>
    </w:p>
    <w:p>
      <w:pPr>
        <w:spacing w:after="120"/>
      </w:pPr>
      <w:r>
        <w:rPr>
          <w:color w:val="444455"/>
          <w:sz w:val="21"/>
        </w:rPr>
        <w:t>The feedback loop lifts the LP objective by approximately $1.3B and reduces the long-run Poor fraction from 21.3% (no-action baseline) to 17.7% — confirming that the recommended policy genuinely improves the portfolio trajectory, not just the immediate profit calculation.</w:t>
      </w:r>
    </w:p>
    <w:p>
      <w:pPr>
        <w:spacing w:before="360" w:after="80"/>
        <w:pBdr>
          <w:bottom w:val="single" w:sz="6" w:space="1" w:color="1A355E"/>
        </w:pBdr>
      </w:pPr>
      <w:r>
        <w:rPr>
          <w:b/>
          <w:color w:val="1A355E"/>
          <w:sz w:val="28"/>
        </w:rPr>
        <w:t>6.  Utilisation Forecasting</w:t>
      </w:r>
    </w:p>
    <w:p>
      <w:pPr>
        <w:spacing w:after="120"/>
      </w:pPr>
      <w:r>
        <w:rPr>
          <w:color w:val="444455"/>
          <w:sz w:val="21"/>
        </w:rPr>
        <w:t>Approving a limit increase only generates profit if the customer actually draws on it. The system forecasts the fraction of the (new) credit limit each customer is expected to utilise over the following 12 months — the key input to the revenue and loss calculation.</w:t>
      </w:r>
    </w:p>
    <w:p>
      <w:pPr>
        <w:spacing w:after="120"/>
      </w:pPr>
      <w:r>
        <w:rPr>
          <w:color w:val="444455"/>
          <w:sz w:val="21"/>
        </w:rPr>
        <w:t>Forecasting uses Geometric Brownian Motion (GBM) — the same stochastic process used in options pricing — because credit utilisation is bounded between 0 and 1, and the lognormal structure of GBM naturally prevents negative values while allowing a positively skewed distribution (most customers use a moderate fraction, some use very high proportions).</w:t>
      </w:r>
    </w:p>
    <w:p>
      <w:pPr>
        <w:spacing w:after="120"/>
      </w:pPr>
      <w:r>
        <w:rPr>
          <w:color w:val="444455"/>
          <w:sz w:val="21"/>
        </w:rPr>
        <w:t>3,000 Monte Carlo scenarios are simulated for each credit state cohort, producing a distribution of possible utilisation outcomes. Each customer's forecast then blends their individual historical utilisation (40% weight) with the cohort expectation (60% weight), anchoring the forecast to observed behaviour while applying the macro-adjusted cohort outlook.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016"/>
            <w:shd w:val="clear" w:color="auto" w:fill="1A355E"/>
          </w:tcPr>
          <w:p>
            <w:pPr>
              <w:spacing w:before="60" w:after="60"/>
            </w:pPr>
            <w:r>
              <w:rPr>
                <w:b/>
                <w:color w:val="FFFFFF"/>
                <w:sz w:val="19"/>
              </w:rPr>
              <w:t>Credit state</w:t>
            </w:r>
          </w:p>
        </w:tc>
        <w:tc>
          <w:tcPr>
            <w:tcW w:type="dxa" w:w="2880"/>
            <w:shd w:val="clear" w:color="auto" w:fill="1A355E"/>
          </w:tcPr>
          <w:p>
            <w:pPr>
              <w:spacing w:before="60" w:after="60"/>
            </w:pPr>
            <w:r>
              <w:rPr>
                <w:b/>
                <w:color w:val="FFFFFF"/>
                <w:sz w:val="19"/>
              </w:rPr>
              <w:t>Expected utilisation (μ)</w:t>
            </w:r>
          </w:p>
        </w:tc>
        <w:tc>
          <w:tcPr>
            <w:tcW w:type="dxa" w:w="1872"/>
            <w:shd w:val="clear" w:color="auto" w:fill="1A355E"/>
          </w:tcPr>
          <w:p>
            <w:pPr>
              <w:spacing w:before="60" w:after="60"/>
            </w:pPr>
            <w:r>
              <w:rPr>
                <w:b/>
                <w:color w:val="FFFFFF"/>
                <w:sz w:val="19"/>
              </w:rPr>
              <w:t>Volatility (σ)</w:t>
            </w:r>
          </w:p>
        </w:tc>
        <w:tc>
          <w:tcPr>
            <w:tcW w:type="dxa" w:w="3312"/>
            <w:shd w:val="clear" w:color="auto" w:fill="1A355E"/>
          </w:tcPr>
          <w:p>
            <w:pPr>
              <w:spacing w:before="60" w:after="60"/>
            </w:pPr>
            <w:r>
              <w:rPr>
                <w:b/>
                <w:color w:val="FFFFFF"/>
                <w:sz w:val="19"/>
              </w:rPr>
              <w:t>Interpretation</w:t>
            </w:r>
          </w:p>
        </w:tc>
      </w:tr>
      <w:tr>
        <w:tc>
          <w:tcPr>
            <w:tcW w:type="dxa" w:w="2016"/>
            <w:shd w:val="clear" w:color="auto" w:fill="FFFFFF"/>
          </w:tcPr>
          <w:p>
            <w:pPr>
              <w:spacing w:before="40" w:after="40"/>
            </w:pPr>
            <w:r>
              <w:rPr>
                <w:color w:val="444455"/>
                <w:sz w:val="19"/>
              </w:rPr>
              <w:t>Excellent</w:t>
            </w:r>
          </w:p>
        </w:tc>
        <w:tc>
          <w:tcPr>
            <w:tcW w:type="dxa" w:w="2880"/>
            <w:shd w:val="clear" w:color="auto" w:fill="FFFFFF"/>
          </w:tcPr>
          <w:p>
            <w:pPr>
              <w:spacing w:before="40" w:after="40"/>
            </w:pPr>
            <w:r>
              <w:rPr>
                <w:color w:val="444455"/>
                <w:sz w:val="19"/>
              </w:rPr>
              <w:t>30%</w:t>
            </w:r>
          </w:p>
        </w:tc>
        <w:tc>
          <w:tcPr>
            <w:tcW w:type="dxa" w:w="1872"/>
            <w:shd w:val="clear" w:color="auto" w:fill="FFFFFF"/>
          </w:tcPr>
          <w:p>
            <w:pPr>
              <w:spacing w:before="40" w:after="40"/>
            </w:pPr>
            <w:r>
              <w:rPr>
                <w:color w:val="444455"/>
                <w:sz w:val="19"/>
              </w:rPr>
              <w:t>8%</w:t>
            </w:r>
          </w:p>
        </w:tc>
        <w:tc>
          <w:tcPr>
            <w:tcW w:type="dxa" w:w="3312"/>
            <w:shd w:val="clear" w:color="auto" w:fill="FFFFFF"/>
          </w:tcPr>
          <w:p>
            <w:pPr>
              <w:spacing w:before="40" w:after="40"/>
            </w:pPr>
            <w:r>
              <w:rPr>
                <w:color w:val="444455"/>
                <w:sz w:val="19"/>
              </w:rPr>
              <w:t>Conservative drawdown, predictable behaviour</w:t>
            </w:r>
          </w:p>
        </w:tc>
      </w:tr>
      <w:tr>
        <w:tc>
          <w:tcPr>
            <w:tcW w:type="dxa" w:w="2016"/>
            <w:shd w:val="clear" w:color="auto" w:fill="F2F5F9"/>
          </w:tcPr>
          <w:p>
            <w:pPr>
              <w:spacing w:before="40" w:after="40"/>
            </w:pPr>
            <w:r>
              <w:rPr>
                <w:color w:val="444455"/>
                <w:sz w:val="19"/>
              </w:rPr>
              <w:t>Good</w:t>
            </w:r>
          </w:p>
        </w:tc>
        <w:tc>
          <w:tcPr>
            <w:tcW w:type="dxa" w:w="2880"/>
            <w:shd w:val="clear" w:color="auto" w:fill="F2F5F9"/>
          </w:tcPr>
          <w:p>
            <w:pPr>
              <w:spacing w:before="40" w:after="40"/>
            </w:pPr>
            <w:r>
              <w:rPr>
                <w:color w:val="444455"/>
                <w:sz w:val="19"/>
              </w:rPr>
              <w:t>45%</w:t>
            </w:r>
          </w:p>
        </w:tc>
        <w:tc>
          <w:tcPr>
            <w:tcW w:type="dxa" w:w="1872"/>
            <w:shd w:val="clear" w:color="auto" w:fill="F2F5F9"/>
          </w:tcPr>
          <w:p>
            <w:pPr>
              <w:spacing w:before="40" w:after="40"/>
            </w:pPr>
            <w:r>
              <w:rPr>
                <w:color w:val="444455"/>
                <w:sz w:val="19"/>
              </w:rPr>
              <w:t>10%</w:t>
            </w:r>
          </w:p>
        </w:tc>
        <w:tc>
          <w:tcPr>
            <w:tcW w:type="dxa" w:w="3312"/>
            <w:shd w:val="clear" w:color="auto" w:fill="F2F5F9"/>
          </w:tcPr>
          <w:p>
            <w:pPr>
              <w:spacing w:before="40" w:after="40"/>
            </w:pPr>
            <w:r>
              <w:rPr>
                <w:color w:val="444455"/>
                <w:sz w:val="19"/>
              </w:rPr>
              <w:t>Moderate drawdown</w:t>
            </w:r>
          </w:p>
        </w:tc>
      </w:tr>
      <w:tr>
        <w:tc>
          <w:tcPr>
            <w:tcW w:type="dxa" w:w="2016"/>
            <w:shd w:val="clear" w:color="auto" w:fill="FFFFFF"/>
          </w:tcPr>
          <w:p>
            <w:pPr>
              <w:spacing w:before="40" w:after="40"/>
            </w:pPr>
            <w:r>
              <w:rPr>
                <w:color w:val="444455"/>
                <w:sz w:val="19"/>
              </w:rPr>
              <w:t>Fair</w:t>
            </w:r>
          </w:p>
        </w:tc>
        <w:tc>
          <w:tcPr>
            <w:tcW w:type="dxa" w:w="2880"/>
            <w:shd w:val="clear" w:color="auto" w:fill="FFFFFF"/>
          </w:tcPr>
          <w:p>
            <w:pPr>
              <w:spacing w:before="40" w:after="40"/>
            </w:pPr>
            <w:r>
              <w:rPr>
                <w:color w:val="444455"/>
                <w:sz w:val="19"/>
              </w:rPr>
              <w:t>58%</w:t>
            </w:r>
          </w:p>
        </w:tc>
        <w:tc>
          <w:tcPr>
            <w:tcW w:type="dxa" w:w="1872"/>
            <w:shd w:val="clear" w:color="auto" w:fill="FFFFFF"/>
          </w:tcPr>
          <w:p>
            <w:pPr>
              <w:spacing w:before="40" w:after="40"/>
            </w:pPr>
            <w:r>
              <w:rPr>
                <w:color w:val="444455"/>
                <w:sz w:val="19"/>
              </w:rPr>
              <w:t>13%</w:t>
            </w:r>
          </w:p>
        </w:tc>
        <w:tc>
          <w:tcPr>
            <w:tcW w:type="dxa" w:w="3312"/>
            <w:shd w:val="clear" w:color="auto" w:fill="FFFFFF"/>
          </w:tcPr>
          <w:p>
            <w:pPr>
              <w:spacing w:before="40" w:after="40"/>
            </w:pPr>
            <w:r>
              <w:rPr>
                <w:color w:val="444455"/>
                <w:sz w:val="19"/>
              </w:rPr>
              <w:t>High drawdown, more variable</w:t>
            </w:r>
          </w:p>
        </w:tc>
      </w:tr>
      <w:tr>
        <w:tc>
          <w:tcPr>
            <w:tcW w:type="dxa" w:w="2016"/>
            <w:shd w:val="clear" w:color="auto" w:fill="F2F5F9"/>
          </w:tcPr>
          <w:p>
            <w:pPr>
              <w:spacing w:before="40" w:after="40"/>
            </w:pPr>
            <w:r>
              <w:rPr>
                <w:color w:val="444455"/>
                <w:sz w:val="19"/>
              </w:rPr>
              <w:t>Poor</w:t>
            </w:r>
          </w:p>
        </w:tc>
        <w:tc>
          <w:tcPr>
            <w:tcW w:type="dxa" w:w="2880"/>
            <w:shd w:val="clear" w:color="auto" w:fill="F2F5F9"/>
          </w:tcPr>
          <w:p>
            <w:pPr>
              <w:spacing w:before="40" w:after="40"/>
            </w:pPr>
            <w:r>
              <w:rPr>
                <w:color w:val="444455"/>
                <w:sz w:val="19"/>
              </w:rPr>
              <w:t>70%</w:t>
            </w:r>
          </w:p>
        </w:tc>
        <w:tc>
          <w:tcPr>
            <w:tcW w:type="dxa" w:w="1872"/>
            <w:shd w:val="clear" w:color="auto" w:fill="F2F5F9"/>
          </w:tcPr>
          <w:p>
            <w:pPr>
              <w:spacing w:before="40" w:after="40"/>
            </w:pPr>
            <w:r>
              <w:rPr>
                <w:color w:val="444455"/>
                <w:sz w:val="19"/>
              </w:rPr>
              <w:t>16%</w:t>
            </w:r>
          </w:p>
        </w:tc>
        <w:tc>
          <w:tcPr>
            <w:tcW w:type="dxa" w:w="3312"/>
            <w:shd w:val="clear" w:color="auto" w:fill="F2F5F9"/>
          </w:tcPr>
          <w:p>
            <w:pPr>
              <w:spacing w:before="40" w:after="40"/>
            </w:pPr>
            <w:r>
              <w:rPr>
                <w:color w:val="444455"/>
                <w:sz w:val="19"/>
              </w:rPr>
              <w:t>Near-maximum drawdown, least predictable</w:t>
            </w:r>
          </w:p>
        </w:tc>
      </w:tr>
    </w:tbl>
    <w:p>
      <w:pPr>
        <w:spacing w:after="40"/>
      </w:pPr>
    </w:p>
    <w:p>
      <w:pPr>
        <w:spacing w:after="120"/>
      </w:pPr>
      <w:r>
        <w:rPr>
          <w:color w:val="444455"/>
          <w:sz w:val="21"/>
        </w:rPr>
        <w:t>The macro scenario adjusts these parameters: the Adverse scenario shifts drift down by 3 percentage points and increases volatility by 30%, reflecting the tendency for customers to draw more credit under financial stress while becoming harder to forecast.</w:t>
      </w:r>
    </w:p>
    <w:p>
      <w:pPr>
        <w:spacing w:before="360" w:after="80"/>
        <w:pBdr>
          <w:bottom w:val="single" w:sz="6" w:space="1" w:color="1A355E"/>
        </w:pBdr>
      </w:pPr>
      <w:r>
        <w:rPr>
          <w:b/>
          <w:color w:val="1A355E"/>
          <w:sz w:val="28"/>
        </w:rPr>
        <w:t>7.  Profitability Simulation</w:t>
      </w:r>
    </w:p>
    <w:p>
      <w:pPr>
        <w:spacing w:after="120"/>
      </w:pPr>
      <w:r>
        <w:rPr>
          <w:color w:val="444455"/>
          <w:sz w:val="21"/>
        </w:rPr>
        <w:t>The expected profit from a limit increase for any individual customer is not a single number — it is a distribution, because future utilisation and default outcomes are uncertain. A Monte Carlo simulation with 3,000 draws per customer captures this uncertainty and produces a single expected profitability score.</w:t>
      </w:r>
    </w:p>
    <w:p>
      <w:pPr>
        <w:spacing w:before="240" w:after="60"/>
      </w:pPr>
      <w:r>
        <w:rPr>
          <w:b/>
          <w:color w:val="007A87"/>
          <w:sz w:val="22"/>
        </w:rPr>
        <w:t>What each simulation draw calculates</w:t>
      </w:r>
    </w:p>
    <w:p>
      <w:pPr>
        <w:spacing w:after="120"/>
      </w:pPr>
      <w:r>
        <w:rPr>
          <w:color w:val="444455"/>
          <w:sz w:val="21"/>
        </w:rPr>
        <w:t>For each draw, a utilisation value is sampled from the customer's forecast distribution. Revenue is the interest earned on the drawn balance over 12 months, plus a 0.5% annual facility fee. The probability of default is adjusted upwards for customers who draw more heavily on their limit — higher utilisation is associated with higher financial stress. If a default event is sampled, the loss is 50 cents per dollar of outstanding balance (standard Loss Given Default assumption for unsecured consumer credit).</w:t>
      </w:r>
    </w:p>
    <w:p>
      <w:pPr>
        <w:spacing w:after="120"/>
      </w:pPr>
      <w:r>
        <w:rPr>
          <w:color w:val="444455"/>
          <w:sz w:val="21"/>
        </w:rPr>
        <w:t>All cash flows are discounted to present value at a 12% annual rate.</w:t>
      </w:r>
    </w:p>
    <w:p>
      <w:pPr>
        <w:spacing w:before="240" w:after="60"/>
      </w:pPr>
      <w:r>
        <w:rPr>
          <w:b/>
          <w:color w:val="007A87"/>
          <w:sz w:val="22"/>
        </w:rPr>
        <w:t>From simulation to LP input</w:t>
      </w:r>
    </w:p>
    <w:p>
      <w:pPr>
        <w:spacing w:after="120"/>
      </w:pPr>
      <w:r>
        <w:rPr>
          <w:color w:val="444455"/>
          <w:sz w:val="21"/>
        </w:rPr>
        <w:t>Averaging across 3,000 draws gives each customer an expected revenue and expected loss. The difference — the profitability score — is then divided by the customer's current loan size to express it as a return per dollar of existing exposure. This normalisation ensures that customers with small and large limits compete on equal footing in the optimisation: a $500 limit customer with a high return rate is compared fairly against a $5,000 limit customer with a lower rate.</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9406"/>
      </w:tblGrid>
      <w:tr>
        <w:tc>
          <w:tcPr>
            <w:tcW w:type="dxa" w:w="8352"/>
            <w:tcBorders>
              <w:left w:val="single" w:sz="18" w:space="0" w:color="D47E00"/>
            </w:tcBorders>
            <w:shd w:val="clear" w:color="auto" w:fill="FFF8EE"/>
          </w:tcPr>
          <w:p>
            <w:pPr>
              <w:spacing w:before="80" w:after="80"/>
            </w:pPr>
            <w:r>
              <w:rPr>
                <w:b/>
                <w:color w:val="D47E00"/>
                <w:sz w:val="20"/>
              </w:rPr>
              <w:t xml:space="preserve">Performance  </w:t>
            </w:r>
            <w:r>
              <w:rPr>
                <w:color w:val="444455"/>
                <w:sz w:val="20"/>
              </w:rPr>
              <w:t>The simulation runs on all 30,000 customers simultaneously using vectorised NumPy operations, processing them in batches of 5,000 to stay within memory limits. Total simulation time: approximately 2.4 seconds.</w:t>
            </w:r>
          </w:p>
        </w:tc>
      </w:tr>
    </w:tbl>
    <w:p>
      <w:pPr>
        <w:spacing w:after="80"/>
      </w:pPr>
    </w:p>
    <w:p>
      <w:pPr>
        <w:spacing w:before="360" w:after="80"/>
        <w:pBdr>
          <w:bottom w:val="single" w:sz="6" w:space="1" w:color="1A355E"/>
        </w:pBdr>
      </w:pPr>
      <w:r>
        <w:rPr>
          <w:b/>
          <w:color w:val="1A355E"/>
          <w:sz w:val="28"/>
        </w:rPr>
        <w:t>8.  The Optimisation — Linear Programming</w:t>
      </w:r>
    </w:p>
    <w:p>
      <w:pPr>
        <w:spacing w:after="120"/>
      </w:pPr>
      <w:r>
        <w:rPr>
          <w:color w:val="444455"/>
          <w:sz w:val="21"/>
        </w:rPr>
        <w:t>With a profitability rate and default risk estimate for every customer, the final step is to choose the limit increase for each of the 30,000 customers simultaneously, subject to all portfolio constraints. This is a Linear Programme (LP) — a class of mathematical optimisation that finds the provably best solution to a constrained allocation problem in a single solve.</w:t>
      </w:r>
    </w:p>
    <w:p>
      <w:pPr>
        <w:spacing w:before="240" w:after="60"/>
      </w:pPr>
      <w:r>
        <w:rPr>
          <w:b/>
          <w:color w:val="007A87"/>
          <w:sz w:val="22"/>
        </w:rPr>
        <w:t>What the LP decides</w:t>
      </w:r>
    </w:p>
    <w:p>
      <w:pPr>
        <w:spacing w:after="120"/>
      </w:pPr>
      <w:r>
        <w:rPr>
          <w:color w:val="444455"/>
          <w:sz w:val="21"/>
        </w:rPr>
        <w:t>For each customer, the LP chooses a dollar amount by which to increase their limit — from $0 (no change) up to the per-customer cap. The objective is to maximise total portfolio profit rate. The constraints limit total exposure, individual limit sizes, and portfolio default risk.</w:t>
      </w:r>
    </w:p>
    <w:p>
      <w:pPr>
        <w:spacing w:before="240" w:after="60"/>
      </w:pPr>
      <w:r>
        <w:rPr>
          <w:b/>
          <w:color w:val="007A87"/>
          <w:sz w:val="22"/>
        </w:rPr>
        <w:t>Why LP rather than scoring and ranking</w:t>
      </w:r>
    </w:p>
    <w:p>
      <w:pPr>
        <w:spacing w:after="120"/>
      </w:pPr>
      <w:r>
        <w:rPr>
          <w:color w:val="444455"/>
          <w:sz w:val="21"/>
        </w:rPr>
        <w:t>A simpler approach would be to rank customers by profitability rate and approve the top N until the exposure budget is exhausted. This greedy approach fails because the risk constraint is a portfolio-level condition — the aggregate default risk of all approved increases combined must be below 5%. Ranking and approving independently cannot satisfy a joint constraint. LP considers all 30,000 decisions simultaneously and finds the combination that maximises profit while satisfying every constraint together.</w:t>
      </w:r>
    </w:p>
    <w:p>
      <w:pPr>
        <w:spacing w:before="240" w:after="60"/>
      </w:pPr>
      <w:r>
        <w:rPr>
          <w:b/>
          <w:color w:val="007A87"/>
          <w:sz w:val="22"/>
        </w:rPr>
        <w:t>The portfolio default risk constraint</w:t>
      </w:r>
    </w:p>
    <w:p>
      <w:pPr>
        <w:spacing w:after="120"/>
      </w:pPr>
      <w:r>
        <w:rPr>
          <w:color w:val="444455"/>
          <w:sz w:val="21"/>
        </w:rPr>
        <w:t>The risk constraint is expressed as a weighted average: the sum of each customer's default risk multiplied by their recommended limit, divided by total portfolio limit, must be ≤ 5%. Customers with default risk above 5% pull the portfolio above the constraint; those below 5% create headroom. The LP automatically balances these. This constraint is linearised so that the HiGHS solver — a state-of-the-art LP engine — can handle all 30,000 variables in approximately 1.6 seconds.</w:t>
      </w:r>
    </w:p>
    <w:p>
      <w:pPr>
        <w:spacing w:before="360" w:after="80"/>
        <w:pBdr>
          <w:bottom w:val="single" w:sz="6" w:space="1" w:color="1A355E"/>
        </w:pBdr>
      </w:pPr>
      <w:r>
        <w:rPr>
          <w:b/>
          <w:color w:val="1A355E"/>
          <w:sz w:val="28"/>
        </w:rPr>
        <w:t>9.  Sensitivity Analysis</w:t>
      </w:r>
    </w:p>
    <w:p>
      <w:pPr>
        <w:spacing w:after="120"/>
      </w:pPr>
      <w:r>
        <w:rPr>
          <w:color w:val="444455"/>
          <w:sz w:val="21"/>
        </w:rPr>
        <w:t>The full pipeline — risk adjustment, profitability simulation, and LP optimisation — is re-run under each of the three macro scenarios. This shows how sensitive the recommendations are to the economic environment.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872"/>
            <w:shd w:val="clear" w:color="auto" w:fill="1A355E"/>
          </w:tcPr>
          <w:p>
            <w:pPr>
              <w:spacing w:before="60" w:after="60"/>
            </w:pPr>
            <w:r>
              <w:rPr>
                <w:b/>
                <w:color w:val="FFFFFF"/>
                <w:sz w:val="19"/>
              </w:rPr>
              <w:t>Scenario</w:t>
            </w:r>
          </w:p>
        </w:tc>
        <w:tc>
          <w:tcPr>
            <w:tcW w:type="dxa" w:w="1152"/>
            <w:shd w:val="clear" w:color="auto" w:fill="1A355E"/>
          </w:tcPr>
          <w:p>
            <w:pPr>
              <w:spacing w:before="60" w:after="60"/>
            </w:pPr>
            <w:r>
              <w:rPr>
                <w:b/>
                <w:color w:val="FFFFFF"/>
                <w:sz w:val="19"/>
              </w:rPr>
              <w:t>GDP</w:t>
            </w:r>
          </w:p>
        </w:tc>
        <w:tc>
          <w:tcPr>
            <w:tcW w:type="dxa" w:w="1872"/>
            <w:shd w:val="clear" w:color="auto" w:fill="1A355E"/>
          </w:tcPr>
          <w:p>
            <w:pPr>
              <w:spacing w:before="60" w:after="60"/>
            </w:pPr>
            <w:r>
              <w:rPr>
                <w:b/>
                <w:color w:val="FFFFFF"/>
                <w:sz w:val="19"/>
              </w:rPr>
              <w:t>Unemployment</w:t>
            </w:r>
          </w:p>
        </w:tc>
        <w:tc>
          <w:tcPr>
            <w:tcW w:type="dxa" w:w="2448"/>
            <w:shd w:val="clear" w:color="auto" w:fill="1A355E"/>
          </w:tcPr>
          <w:p>
            <w:pPr>
              <w:spacing w:before="60" w:after="60"/>
            </w:pPr>
            <w:r>
              <w:rPr>
                <w:b/>
                <w:color w:val="FFFFFF"/>
                <w:sz w:val="19"/>
              </w:rPr>
              <w:t>Default risk adj.</w:t>
            </w:r>
          </w:p>
        </w:tc>
        <w:tc>
          <w:tcPr>
            <w:tcW w:type="dxa" w:w="2448"/>
            <w:shd w:val="clear" w:color="auto" w:fill="1A355E"/>
          </w:tcPr>
          <w:p>
            <w:pPr>
              <w:spacing w:before="60" w:after="60"/>
            </w:pPr>
            <w:r>
              <w:rPr>
                <w:b/>
                <w:color w:val="FFFFFF"/>
                <w:sz w:val="19"/>
              </w:rPr>
              <w:t>Customers increased</w:t>
            </w:r>
          </w:p>
        </w:tc>
        <w:tc>
          <w:tcPr>
            <w:tcW w:type="dxa" w:w="2592"/>
            <w:shd w:val="clear" w:color="auto" w:fill="1A355E"/>
          </w:tcPr>
          <w:p>
            <w:pPr>
              <w:spacing w:before="60" w:after="60"/>
            </w:pPr>
            <w:r>
              <w:rPr>
                <w:b/>
                <w:color w:val="FFFFFF"/>
                <w:sz w:val="19"/>
              </w:rPr>
              <w:t>Portfolio risk</w:t>
            </w:r>
          </w:p>
        </w:tc>
      </w:tr>
      <w:tr>
        <w:tc>
          <w:tcPr>
            <w:tcW w:type="dxa" w:w="1872"/>
            <w:shd w:val="clear" w:color="auto" w:fill="FFFFFF"/>
          </w:tcPr>
          <w:p>
            <w:pPr>
              <w:spacing w:before="40" w:after="40"/>
            </w:pPr>
            <w:r>
              <w:rPr>
                <w:color w:val="444455"/>
                <w:sz w:val="19"/>
              </w:rPr>
              <w:t>Optimistic</w:t>
            </w:r>
          </w:p>
        </w:tc>
        <w:tc>
          <w:tcPr>
            <w:tcW w:type="dxa" w:w="1152"/>
            <w:shd w:val="clear" w:color="auto" w:fill="FFFFFF"/>
          </w:tcPr>
          <w:p>
            <w:pPr>
              <w:spacing w:before="40" w:after="40"/>
            </w:pPr>
            <w:r>
              <w:rPr>
                <w:color w:val="444455"/>
                <w:sz w:val="19"/>
              </w:rPr>
              <w:t>3.5%</w:t>
            </w:r>
          </w:p>
        </w:tc>
        <w:tc>
          <w:tcPr>
            <w:tcW w:type="dxa" w:w="1872"/>
            <w:shd w:val="clear" w:color="auto" w:fill="FFFFFF"/>
          </w:tcPr>
          <w:p>
            <w:pPr>
              <w:spacing w:before="40" w:after="40"/>
            </w:pPr>
            <w:r>
              <w:rPr>
                <w:color w:val="444455"/>
                <w:sz w:val="19"/>
              </w:rPr>
              <w:t>3.5%</w:t>
            </w:r>
          </w:p>
        </w:tc>
        <w:tc>
          <w:tcPr>
            <w:tcW w:type="dxa" w:w="2448"/>
            <w:shd w:val="clear" w:color="auto" w:fill="FFFFFF"/>
          </w:tcPr>
          <w:p>
            <w:pPr>
              <w:spacing w:before="40" w:after="40"/>
            </w:pPr>
            <w:r>
              <w:rPr>
                <w:color w:val="444455"/>
                <w:sz w:val="19"/>
              </w:rPr>
              <w:t>×0.80 (lower)</w:t>
            </w:r>
          </w:p>
        </w:tc>
        <w:tc>
          <w:tcPr>
            <w:tcW w:type="dxa" w:w="2448"/>
            <w:shd w:val="clear" w:color="auto" w:fill="FFFFFF"/>
          </w:tcPr>
          <w:p>
            <w:pPr>
              <w:spacing w:before="40" w:after="40"/>
            </w:pPr>
            <w:r>
              <w:rPr>
                <w:color w:val="444455"/>
                <w:sz w:val="19"/>
              </w:rPr>
              <w:t>~9,200</w:t>
            </w:r>
          </w:p>
        </w:tc>
        <w:tc>
          <w:tcPr>
            <w:tcW w:type="dxa" w:w="2592"/>
            <w:shd w:val="clear" w:color="auto" w:fill="FFFFFF"/>
          </w:tcPr>
          <w:p>
            <w:pPr>
              <w:spacing w:before="40" w:after="40"/>
            </w:pPr>
            <w:r>
              <w:rPr>
                <w:color w:val="444455"/>
                <w:sz w:val="19"/>
              </w:rPr>
              <w:t>5.5% cap (relaxed)</w:t>
            </w:r>
          </w:p>
        </w:tc>
      </w:tr>
      <w:tr>
        <w:tc>
          <w:tcPr>
            <w:tcW w:type="dxa" w:w="1872"/>
            <w:shd w:val="clear" w:color="auto" w:fill="F2F5F9"/>
          </w:tcPr>
          <w:p>
            <w:pPr>
              <w:spacing w:before="40" w:after="40"/>
            </w:pPr>
            <w:r>
              <w:rPr>
                <w:color w:val="444455"/>
                <w:sz w:val="19"/>
              </w:rPr>
              <w:t>Baseline</w:t>
            </w:r>
          </w:p>
        </w:tc>
        <w:tc>
          <w:tcPr>
            <w:tcW w:type="dxa" w:w="1152"/>
            <w:shd w:val="clear" w:color="auto" w:fill="F2F5F9"/>
          </w:tcPr>
          <w:p>
            <w:pPr>
              <w:spacing w:before="40" w:after="40"/>
            </w:pPr>
            <w:r>
              <w:rPr>
                <w:color w:val="444455"/>
                <w:sz w:val="19"/>
              </w:rPr>
              <w:t>2.5%</w:t>
            </w:r>
          </w:p>
        </w:tc>
        <w:tc>
          <w:tcPr>
            <w:tcW w:type="dxa" w:w="1872"/>
            <w:shd w:val="clear" w:color="auto" w:fill="F2F5F9"/>
          </w:tcPr>
          <w:p>
            <w:pPr>
              <w:spacing w:before="40" w:after="40"/>
            </w:pPr>
            <w:r>
              <w:rPr>
                <w:color w:val="444455"/>
                <w:sz w:val="19"/>
              </w:rPr>
              <w:t>4.0%</w:t>
            </w:r>
          </w:p>
        </w:tc>
        <w:tc>
          <w:tcPr>
            <w:tcW w:type="dxa" w:w="2448"/>
            <w:shd w:val="clear" w:color="auto" w:fill="F2F5F9"/>
          </w:tcPr>
          <w:p>
            <w:pPr>
              <w:spacing w:before="40" w:after="40"/>
            </w:pPr>
            <w:r>
              <w:rPr>
                <w:color w:val="444455"/>
                <w:sz w:val="19"/>
              </w:rPr>
              <w:t>×1.00 (neutral)</w:t>
            </w:r>
          </w:p>
        </w:tc>
        <w:tc>
          <w:tcPr>
            <w:tcW w:type="dxa" w:w="2448"/>
            <w:shd w:val="clear" w:color="auto" w:fill="F2F5F9"/>
          </w:tcPr>
          <w:p>
            <w:pPr>
              <w:spacing w:before="40" w:after="40"/>
            </w:pPr>
            <w:r>
              <w:rPr>
                <w:color w:val="444455"/>
                <w:sz w:val="19"/>
              </w:rPr>
              <w:t>8,748</w:t>
            </w:r>
          </w:p>
        </w:tc>
        <w:tc>
          <w:tcPr>
            <w:tcW w:type="dxa" w:w="2592"/>
            <w:shd w:val="clear" w:color="auto" w:fill="F2F5F9"/>
          </w:tcPr>
          <w:p>
            <w:pPr>
              <w:spacing w:before="40" w:after="40"/>
            </w:pPr>
            <w:r>
              <w:rPr>
                <w:color w:val="444455"/>
                <w:sz w:val="19"/>
              </w:rPr>
              <w:t>5.0% cap</w:t>
            </w:r>
          </w:p>
        </w:tc>
      </w:tr>
      <w:tr>
        <w:tc>
          <w:tcPr>
            <w:tcW w:type="dxa" w:w="1872"/>
            <w:shd w:val="clear" w:color="auto" w:fill="FFFFFF"/>
          </w:tcPr>
          <w:p>
            <w:pPr>
              <w:spacing w:before="40" w:after="40"/>
            </w:pPr>
            <w:r>
              <w:rPr>
                <w:color w:val="444455"/>
                <w:sz w:val="19"/>
              </w:rPr>
              <w:t>Adverse</w:t>
            </w:r>
          </w:p>
        </w:tc>
        <w:tc>
          <w:tcPr>
            <w:tcW w:type="dxa" w:w="1152"/>
            <w:shd w:val="clear" w:color="auto" w:fill="FFFFFF"/>
          </w:tcPr>
          <w:p>
            <w:pPr>
              <w:spacing w:before="40" w:after="40"/>
            </w:pPr>
            <w:r>
              <w:rPr>
                <w:color w:val="444455"/>
                <w:sz w:val="19"/>
              </w:rPr>
              <w:t>0.5%</w:t>
            </w:r>
          </w:p>
        </w:tc>
        <w:tc>
          <w:tcPr>
            <w:tcW w:type="dxa" w:w="1872"/>
            <w:shd w:val="clear" w:color="auto" w:fill="FFFFFF"/>
          </w:tcPr>
          <w:p>
            <w:pPr>
              <w:spacing w:before="40" w:after="40"/>
            </w:pPr>
            <w:r>
              <w:rPr>
                <w:color w:val="444455"/>
                <w:sz w:val="19"/>
              </w:rPr>
              <w:t>5.5%</w:t>
            </w:r>
          </w:p>
        </w:tc>
        <w:tc>
          <w:tcPr>
            <w:tcW w:type="dxa" w:w="2448"/>
            <w:shd w:val="clear" w:color="auto" w:fill="FFFFFF"/>
          </w:tcPr>
          <w:p>
            <w:pPr>
              <w:spacing w:before="40" w:after="40"/>
            </w:pPr>
            <w:r>
              <w:rPr>
                <w:color w:val="444455"/>
                <w:sz w:val="19"/>
              </w:rPr>
              <w:t>×1.35 (higher)</w:t>
            </w:r>
          </w:p>
        </w:tc>
        <w:tc>
          <w:tcPr>
            <w:tcW w:type="dxa" w:w="2448"/>
            <w:shd w:val="clear" w:color="auto" w:fill="FFFFFF"/>
          </w:tcPr>
          <w:p>
            <w:pPr>
              <w:spacing w:before="40" w:after="40"/>
            </w:pPr>
            <w:r>
              <w:rPr>
                <w:color w:val="444455"/>
                <w:sz w:val="19"/>
              </w:rPr>
              <w:t>~7,800</w:t>
            </w:r>
          </w:p>
        </w:tc>
        <w:tc>
          <w:tcPr>
            <w:tcW w:type="dxa" w:w="2592"/>
            <w:shd w:val="clear" w:color="auto" w:fill="FFFFFF"/>
          </w:tcPr>
          <w:p>
            <w:pPr>
              <w:spacing w:before="40" w:after="40"/>
            </w:pPr>
            <w:r>
              <w:rPr>
                <w:color w:val="444455"/>
                <w:sz w:val="19"/>
              </w:rPr>
              <w:t>4.5% cap (tighter)</w:t>
            </w:r>
          </w:p>
        </w:tc>
      </w:tr>
    </w:tbl>
    <w:p>
      <w:pPr>
        <w:spacing w:after="40"/>
      </w:pPr>
    </w:p>
    <w:p>
      <w:pPr>
        <w:spacing w:after="120"/>
      </w:pPr>
      <w:r>
        <w:rPr>
          <w:color w:val="444455"/>
          <w:sz w:val="21"/>
        </w:rPr>
        <w:t>In the Adverse scenario, both the revenue estimate (reduced by 15%) and the portfolio risk cap (tightened from 5.0% to 4.5%) work against approval — fewer customers receive increases and for smaller amounts. The LP objective range across scenarios (optimistic vs adverse spread) is approximately $12.8B, confirming that macro conditions have material impact on the recommended policy.</w:t>
      </w:r>
    </w:p>
    <w:p>
      <w:pPr>
        <w:spacing w:before="360" w:after="80"/>
        <w:pBdr>
          <w:bottom w:val="single" w:sz="6" w:space="1" w:color="1A355E"/>
        </w:pBdr>
      </w:pPr>
      <w:r>
        <w:rPr>
          <w:b/>
          <w:color w:val="1A355E"/>
          <w:sz w:val="28"/>
        </w:rPr>
        <w:t>10.  Results</w:t>
      </w:r>
    </w:p>
    <w:p>
      <w:pPr>
        <w:spacing w:before="240" w:after="60"/>
      </w:pPr>
      <w:r>
        <w:rPr>
          <w:b/>
          <w:color w:val="007A87"/>
          <w:sz w:val="22"/>
        </w:rPr>
        <w:t>Portfolio summary</w:t>
      </w:r>
    </w:p>
    <w:tbl>
      <w:tblPr>
        <w:tblStyle w:val="TableGrid"/>
        <w:tblW w:type="auto" w:w="0"/>
        <w:jc w:val="left"/>
        <w:tblLook w:firstColumn="1" w:firstRow="1" w:lastColumn="0" w:lastRow="0" w:noHBand="0" w:noVBand="1" w:val="04A0"/>
      </w:tblPr>
      <w:tblGrid>
        <w:gridCol w:w="4703"/>
        <w:gridCol w:w="4703"/>
      </w:tblGrid>
      <w:tr>
        <w:tc>
          <w:tcPr>
            <w:tcW w:type="dxa" w:w="4752"/>
            <w:shd w:val="clear" w:color="auto" w:fill="1A355E"/>
          </w:tcPr>
          <w:p>
            <w:pPr>
              <w:spacing w:before="60" w:after="60"/>
            </w:pPr>
            <w:r>
              <w:rPr>
                <w:b/>
                <w:color w:val="FFFFFF"/>
                <w:sz w:val="19"/>
              </w:rPr>
              <w:t>Metric</w:t>
            </w:r>
          </w:p>
        </w:tc>
        <w:tc>
          <w:tcPr>
            <w:tcW w:type="dxa" w:w="3888"/>
            <w:shd w:val="clear" w:color="auto" w:fill="1A355E"/>
          </w:tcPr>
          <w:p>
            <w:pPr>
              <w:spacing w:before="60" w:after="60"/>
            </w:pPr>
            <w:r>
              <w:rPr>
                <w:b/>
                <w:color w:val="FFFFFF"/>
                <w:sz w:val="19"/>
              </w:rPr>
              <w:t>Value</w:t>
            </w:r>
          </w:p>
        </w:tc>
      </w:tr>
      <w:tr>
        <w:tc>
          <w:tcPr>
            <w:tcW w:type="dxa" w:w="4752"/>
            <w:shd w:val="clear" w:color="auto" w:fill="FFFFFF"/>
          </w:tcPr>
          <w:p>
            <w:pPr>
              <w:spacing w:before="40" w:after="40"/>
            </w:pPr>
            <w:r>
              <w:rPr>
                <w:color w:val="444455"/>
                <w:sz w:val="19"/>
              </w:rPr>
              <w:t>Customers receiving an increase</w:t>
            </w:r>
          </w:p>
        </w:tc>
        <w:tc>
          <w:tcPr>
            <w:tcW w:type="dxa" w:w="3888"/>
            <w:shd w:val="clear" w:color="auto" w:fill="FFFFFF"/>
          </w:tcPr>
          <w:p>
            <w:pPr>
              <w:spacing w:before="40" w:after="40"/>
            </w:pPr>
            <w:r>
              <w:rPr>
                <w:color w:val="444455"/>
                <w:sz w:val="19"/>
              </w:rPr>
              <w:t>8,748  (29.2% of portfolio)</w:t>
            </w:r>
          </w:p>
        </w:tc>
      </w:tr>
      <w:tr>
        <w:tc>
          <w:tcPr>
            <w:tcW w:type="dxa" w:w="4752"/>
            <w:shd w:val="clear" w:color="auto" w:fill="F2F5F9"/>
          </w:tcPr>
          <w:p>
            <w:pPr>
              <w:spacing w:before="40" w:after="40"/>
            </w:pPr>
            <w:r>
              <w:rPr>
                <w:color w:val="444455"/>
                <w:sz w:val="19"/>
              </w:rPr>
              <w:t>Total incremental exposure</w:t>
            </w:r>
          </w:p>
        </w:tc>
        <w:tc>
          <w:tcPr>
            <w:tcW w:type="dxa" w:w="3888"/>
            <w:shd w:val="clear" w:color="auto" w:fill="F2F5F9"/>
          </w:tcPr>
          <w:p>
            <w:pPr>
              <w:spacing w:before="40" w:after="40"/>
            </w:pPr>
            <w:r>
              <w:rPr>
                <w:color w:val="444455"/>
                <w:sz w:val="19"/>
              </w:rPr>
              <w:t>$417,000,000</w:t>
            </w:r>
          </w:p>
        </w:tc>
      </w:tr>
      <w:tr>
        <w:tc>
          <w:tcPr>
            <w:tcW w:type="dxa" w:w="4752"/>
            <w:shd w:val="clear" w:color="auto" w:fill="FFFFFF"/>
          </w:tcPr>
          <w:p>
            <w:pPr>
              <w:spacing w:before="40" w:after="40"/>
            </w:pPr>
            <w:r>
              <w:rPr>
                <w:color w:val="444455"/>
                <w:sz w:val="19"/>
              </w:rPr>
              <w:t>Expected incremental profit</w:t>
            </w:r>
          </w:p>
        </w:tc>
        <w:tc>
          <w:tcPr>
            <w:tcW w:type="dxa" w:w="3888"/>
            <w:shd w:val="clear" w:color="auto" w:fill="FFFFFF"/>
          </w:tcPr>
          <w:p>
            <w:pPr>
              <w:spacing w:before="40" w:after="40"/>
            </w:pPr>
            <w:r>
              <w:rPr>
                <w:color w:val="444455"/>
                <w:sz w:val="19"/>
              </w:rPr>
              <w:t>$3,250,000</w:t>
            </w:r>
          </w:p>
        </w:tc>
      </w:tr>
      <w:tr>
        <w:tc>
          <w:tcPr>
            <w:tcW w:type="dxa" w:w="4752"/>
            <w:shd w:val="clear" w:color="auto" w:fill="F2F5F9"/>
          </w:tcPr>
          <w:p>
            <w:pPr>
              <w:spacing w:before="40" w:after="40"/>
            </w:pPr>
            <w:r>
              <w:rPr>
                <w:color w:val="444455"/>
                <w:sz w:val="19"/>
              </w:rPr>
              <w:t>Portfolio weighted default risk</w:t>
            </w:r>
          </w:p>
        </w:tc>
        <w:tc>
          <w:tcPr>
            <w:tcW w:type="dxa" w:w="3888"/>
            <w:shd w:val="clear" w:color="auto" w:fill="F2F5F9"/>
          </w:tcPr>
          <w:p>
            <w:pPr>
              <w:spacing w:before="40" w:after="40"/>
            </w:pPr>
            <w:r>
              <w:rPr>
                <w:color w:val="444455"/>
                <w:sz w:val="19"/>
              </w:rPr>
              <w:t>5.00%  (at constraint boundary)</w:t>
            </w:r>
          </w:p>
        </w:tc>
      </w:tr>
      <w:tr>
        <w:tc>
          <w:tcPr>
            <w:tcW w:type="dxa" w:w="4752"/>
            <w:shd w:val="clear" w:color="auto" w:fill="FFFFFF"/>
          </w:tcPr>
          <w:p>
            <w:pPr>
              <w:spacing w:before="40" w:after="40"/>
            </w:pPr>
            <w:r>
              <w:rPr>
                <w:color w:val="444455"/>
                <w:sz w:val="19"/>
              </w:rPr>
              <w:t>Average increase (where approved)</w:t>
            </w:r>
          </w:p>
        </w:tc>
        <w:tc>
          <w:tcPr>
            <w:tcW w:type="dxa" w:w="3888"/>
            <w:shd w:val="clear" w:color="auto" w:fill="FFFFFF"/>
          </w:tcPr>
          <w:p>
            <w:pPr>
              <w:spacing w:before="40" w:after="40"/>
            </w:pPr>
            <w:r>
              <w:rPr>
                <w:color w:val="444455"/>
                <w:sz w:val="19"/>
              </w:rPr>
              <w:t>$47,700</w:t>
            </w:r>
          </w:p>
        </w:tc>
      </w:tr>
      <w:tr>
        <w:tc>
          <w:tcPr>
            <w:tcW w:type="dxa" w:w="4752"/>
            <w:shd w:val="clear" w:color="auto" w:fill="F2F5F9"/>
          </w:tcPr>
          <w:p>
            <w:pPr>
              <w:spacing w:before="40" w:after="40"/>
            </w:pPr>
            <w:r>
              <w:rPr>
                <w:color w:val="444455"/>
                <w:sz w:val="19"/>
              </w:rPr>
              <w:t>High-risk customers flagged (&gt;15%)</w:t>
            </w:r>
          </w:p>
        </w:tc>
        <w:tc>
          <w:tcPr>
            <w:tcW w:type="dxa" w:w="3888"/>
            <w:shd w:val="clear" w:color="auto" w:fill="F2F5F9"/>
          </w:tcPr>
          <w:p>
            <w:pPr>
              <w:spacing w:before="40" w:after="40"/>
            </w:pPr>
            <w:r>
              <w:rPr>
                <w:color w:val="444455"/>
                <w:sz w:val="19"/>
              </w:rPr>
              <w:t>4,196  (14.0%)</w:t>
            </w:r>
          </w:p>
        </w:tc>
      </w:tr>
      <w:tr>
        <w:tc>
          <w:tcPr>
            <w:tcW w:type="dxa" w:w="4752"/>
            <w:shd w:val="clear" w:color="auto" w:fill="FFFFFF"/>
          </w:tcPr>
          <w:p>
            <w:pPr>
              <w:spacing w:before="40" w:after="40"/>
            </w:pPr>
            <w:r>
              <w:rPr>
                <w:color w:val="444455"/>
                <w:sz w:val="19"/>
              </w:rPr>
              <w:t>LP solve time</w:t>
            </w:r>
          </w:p>
        </w:tc>
        <w:tc>
          <w:tcPr>
            <w:tcW w:type="dxa" w:w="3888"/>
            <w:shd w:val="clear" w:color="auto" w:fill="FFFFFF"/>
          </w:tcPr>
          <w:p>
            <w:pPr>
              <w:spacing w:before="40" w:after="40"/>
            </w:pPr>
            <w:r>
              <w:rPr>
                <w:color w:val="444455"/>
                <w:sz w:val="19"/>
              </w:rPr>
              <w:t>~1.6 seconds</w:t>
            </w:r>
          </w:p>
        </w:tc>
      </w:tr>
      <w:tr>
        <w:tc>
          <w:tcPr>
            <w:tcW w:type="dxa" w:w="4752"/>
            <w:shd w:val="clear" w:color="auto" w:fill="F2F5F9"/>
          </w:tcPr>
          <w:p>
            <w:pPr>
              <w:spacing w:before="40" w:after="40"/>
            </w:pPr>
            <w:r>
              <w:rPr>
                <w:color w:val="444455"/>
                <w:sz w:val="19"/>
              </w:rPr>
              <w:t>End-to-end pipeline runtime</w:t>
            </w:r>
          </w:p>
        </w:tc>
        <w:tc>
          <w:tcPr>
            <w:tcW w:type="dxa" w:w="3888"/>
            <w:shd w:val="clear" w:color="auto" w:fill="F2F5F9"/>
          </w:tcPr>
          <w:p>
            <w:pPr>
              <w:spacing w:before="40" w:after="40"/>
            </w:pPr>
            <w:r>
              <w:rPr>
                <w:color w:val="444455"/>
                <w:sz w:val="19"/>
              </w:rPr>
              <w:t>~30 seconds</w:t>
            </w:r>
          </w:p>
        </w:tc>
      </w:tr>
    </w:tbl>
    <w:p>
      <w:pPr>
        <w:spacing w:after="40"/>
      </w:pPr>
    </w:p>
    <w:p>
      <w:pPr>
        <w:spacing w:before="240" w:after="60"/>
      </w:pPr>
      <w:r>
        <w:rPr>
          <w:b/>
          <w:color w:val="007A87"/>
          <w:sz w:val="22"/>
        </w:rPr>
        <w:t>State-level breakdown</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72"/>
            <w:shd w:val="clear" w:color="auto" w:fill="1A355E"/>
          </w:tcPr>
          <w:p>
            <w:pPr>
              <w:spacing w:before="60" w:after="60"/>
            </w:pPr>
            <w:r>
              <w:rPr>
                <w:b/>
                <w:color w:val="FFFFFF"/>
                <w:sz w:val="19"/>
              </w:rPr>
              <w:t>Credit state</w:t>
            </w:r>
          </w:p>
        </w:tc>
        <w:tc>
          <w:tcPr>
            <w:tcW w:type="dxa" w:w="1728"/>
            <w:shd w:val="clear" w:color="auto" w:fill="1A355E"/>
          </w:tcPr>
          <w:p>
            <w:pPr>
              <w:spacing w:before="60" w:after="60"/>
            </w:pPr>
            <w:r>
              <w:rPr>
                <w:b/>
                <w:color w:val="FFFFFF"/>
                <w:sz w:val="19"/>
              </w:rPr>
              <w:t>Customers</w:t>
            </w:r>
          </w:p>
        </w:tc>
        <w:tc>
          <w:tcPr>
            <w:tcW w:type="dxa" w:w="3312"/>
            <w:shd w:val="clear" w:color="auto" w:fill="1A355E"/>
          </w:tcPr>
          <w:p>
            <w:pPr>
              <w:spacing w:before="60" w:after="60"/>
            </w:pPr>
            <w:r>
              <w:rPr>
                <w:b/>
                <w:color w:val="FFFFFF"/>
                <w:sz w:val="19"/>
              </w:rPr>
              <w:t>Receiving increase</w:t>
            </w:r>
          </w:p>
        </w:tc>
        <w:tc>
          <w:tcPr>
            <w:tcW w:type="dxa" w:w="1872"/>
            <w:shd w:val="clear" w:color="auto" w:fill="1A355E"/>
          </w:tcPr>
          <w:p>
            <w:pPr>
              <w:spacing w:before="60" w:after="60"/>
            </w:pPr>
            <w:r>
              <w:rPr>
                <w:b/>
                <w:color w:val="FFFFFF"/>
                <w:sz w:val="19"/>
              </w:rPr>
              <w:t>Mean increase</w:t>
            </w:r>
          </w:p>
        </w:tc>
        <w:tc>
          <w:tcPr>
            <w:tcW w:type="dxa" w:w="2160"/>
            <w:shd w:val="clear" w:color="auto" w:fill="1A355E"/>
          </w:tcPr>
          <w:p>
            <w:pPr>
              <w:spacing w:before="60" w:after="60"/>
            </w:pPr>
            <w:r>
              <w:rPr>
                <w:b/>
                <w:color w:val="FFFFFF"/>
                <w:sz w:val="19"/>
              </w:rPr>
              <w:t>Mean default risk</w:t>
            </w:r>
          </w:p>
        </w:tc>
      </w:tr>
      <w:tr>
        <w:tc>
          <w:tcPr>
            <w:tcW w:type="dxa" w:w="1872"/>
            <w:shd w:val="clear" w:color="auto" w:fill="FFFFFF"/>
          </w:tcPr>
          <w:p>
            <w:pPr>
              <w:spacing w:before="40" w:after="40"/>
            </w:pPr>
            <w:r>
              <w:rPr>
                <w:color w:val="444455"/>
                <w:sz w:val="19"/>
              </w:rPr>
              <w:t>Excellent</w:t>
            </w:r>
          </w:p>
        </w:tc>
        <w:tc>
          <w:tcPr>
            <w:tcW w:type="dxa" w:w="1728"/>
            <w:shd w:val="clear" w:color="auto" w:fill="FFFFFF"/>
          </w:tcPr>
          <w:p>
            <w:pPr>
              <w:spacing w:before="40" w:after="40"/>
            </w:pPr>
            <w:r>
              <w:rPr>
                <w:color w:val="444455"/>
                <w:sz w:val="19"/>
              </w:rPr>
              <w:t>6,246</w:t>
            </w:r>
          </w:p>
        </w:tc>
        <w:tc>
          <w:tcPr>
            <w:tcW w:type="dxa" w:w="3312"/>
            <w:shd w:val="clear" w:color="auto" w:fill="FFFFFF"/>
          </w:tcPr>
          <w:p>
            <w:pPr>
              <w:spacing w:before="40" w:after="40"/>
            </w:pPr>
            <w:r>
              <w:rPr>
                <w:color w:val="444455"/>
                <w:sz w:val="19"/>
              </w:rPr>
              <w:t>High proportion — low risk headroom</w:t>
            </w:r>
          </w:p>
        </w:tc>
        <w:tc>
          <w:tcPr>
            <w:tcW w:type="dxa" w:w="1872"/>
            <w:shd w:val="clear" w:color="auto" w:fill="FFFFFF"/>
          </w:tcPr>
          <w:p>
            <w:pPr>
              <w:spacing w:before="40" w:after="40"/>
            </w:pPr>
            <w:r>
              <w:rPr>
                <w:color w:val="444455"/>
                <w:sz w:val="19"/>
              </w:rPr>
              <w:t>Larger</w:t>
            </w:r>
          </w:p>
        </w:tc>
        <w:tc>
          <w:tcPr>
            <w:tcW w:type="dxa" w:w="2160"/>
            <w:shd w:val="clear" w:color="auto" w:fill="FFFFFF"/>
          </w:tcPr>
          <w:p>
            <w:pPr>
              <w:spacing w:before="40" w:after="40"/>
            </w:pPr>
            <w:r>
              <w:rPr>
                <w:color w:val="444455"/>
                <w:sz w:val="19"/>
              </w:rPr>
              <w:t>~1%</w:t>
            </w:r>
          </w:p>
        </w:tc>
      </w:tr>
      <w:tr>
        <w:tc>
          <w:tcPr>
            <w:tcW w:type="dxa" w:w="1872"/>
            <w:shd w:val="clear" w:color="auto" w:fill="F2F5F9"/>
          </w:tcPr>
          <w:p>
            <w:pPr>
              <w:spacing w:before="40" w:after="40"/>
            </w:pPr>
            <w:r>
              <w:rPr>
                <w:color w:val="444455"/>
                <w:sz w:val="19"/>
              </w:rPr>
              <w:t>Good</w:t>
            </w:r>
          </w:p>
        </w:tc>
        <w:tc>
          <w:tcPr>
            <w:tcW w:type="dxa" w:w="1728"/>
            <w:shd w:val="clear" w:color="auto" w:fill="F2F5F9"/>
          </w:tcPr>
          <w:p>
            <w:pPr>
              <w:spacing w:before="40" w:after="40"/>
            </w:pPr>
            <w:r>
              <w:rPr>
                <w:color w:val="444455"/>
                <w:sz w:val="19"/>
              </w:rPr>
              <w:t>8,703</w:t>
            </w:r>
          </w:p>
        </w:tc>
        <w:tc>
          <w:tcPr>
            <w:tcW w:type="dxa" w:w="3312"/>
            <w:shd w:val="clear" w:color="auto" w:fill="F2F5F9"/>
          </w:tcPr>
          <w:p>
            <w:pPr>
              <w:spacing w:before="40" w:after="40"/>
            </w:pPr>
            <w:r>
              <w:rPr>
                <w:color w:val="444455"/>
                <w:sz w:val="19"/>
              </w:rPr>
              <w:t>Moderate — constrained by risk budget</w:t>
            </w:r>
          </w:p>
        </w:tc>
        <w:tc>
          <w:tcPr>
            <w:tcW w:type="dxa" w:w="1872"/>
            <w:shd w:val="clear" w:color="auto" w:fill="F2F5F9"/>
          </w:tcPr>
          <w:p>
            <w:pPr>
              <w:spacing w:before="40" w:after="40"/>
            </w:pPr>
            <w:r>
              <w:rPr>
                <w:color w:val="444455"/>
                <w:sz w:val="19"/>
              </w:rPr>
              <w:t>Moderate</w:t>
            </w:r>
          </w:p>
        </w:tc>
        <w:tc>
          <w:tcPr>
            <w:tcW w:type="dxa" w:w="2160"/>
            <w:shd w:val="clear" w:color="auto" w:fill="F2F5F9"/>
          </w:tcPr>
          <w:p>
            <w:pPr>
              <w:spacing w:before="40" w:after="40"/>
            </w:pPr>
            <w:r>
              <w:rPr>
                <w:color w:val="444455"/>
                <w:sz w:val="19"/>
              </w:rPr>
              <w:t>~2.5%</w:t>
            </w:r>
          </w:p>
        </w:tc>
      </w:tr>
      <w:tr>
        <w:tc>
          <w:tcPr>
            <w:tcW w:type="dxa" w:w="1872"/>
            <w:shd w:val="clear" w:color="auto" w:fill="FFFFFF"/>
          </w:tcPr>
          <w:p>
            <w:pPr>
              <w:spacing w:before="40" w:after="40"/>
            </w:pPr>
            <w:r>
              <w:rPr>
                <w:color w:val="444455"/>
                <w:sz w:val="19"/>
              </w:rPr>
              <w:t>Fair</w:t>
            </w:r>
          </w:p>
        </w:tc>
        <w:tc>
          <w:tcPr>
            <w:tcW w:type="dxa" w:w="1728"/>
            <w:shd w:val="clear" w:color="auto" w:fill="FFFFFF"/>
          </w:tcPr>
          <w:p>
            <w:pPr>
              <w:spacing w:before="40" w:after="40"/>
            </w:pPr>
            <w:r>
              <w:rPr>
                <w:color w:val="444455"/>
                <w:sz w:val="19"/>
              </w:rPr>
              <w:t>8,757</w:t>
            </w:r>
          </w:p>
        </w:tc>
        <w:tc>
          <w:tcPr>
            <w:tcW w:type="dxa" w:w="3312"/>
            <w:shd w:val="clear" w:color="auto" w:fill="FFFFFF"/>
          </w:tcPr>
          <w:p>
            <w:pPr>
              <w:spacing w:before="40" w:after="40"/>
            </w:pPr>
            <w:r>
              <w:rPr>
                <w:color w:val="444455"/>
                <w:sz w:val="19"/>
              </w:rPr>
              <w:t>Selective — risk budget limiting</w:t>
            </w:r>
          </w:p>
        </w:tc>
        <w:tc>
          <w:tcPr>
            <w:tcW w:type="dxa" w:w="1872"/>
            <w:shd w:val="clear" w:color="auto" w:fill="FFFFFF"/>
          </w:tcPr>
          <w:p>
            <w:pPr>
              <w:spacing w:before="40" w:after="40"/>
            </w:pPr>
            <w:r>
              <w:rPr>
                <w:color w:val="444455"/>
                <w:sz w:val="19"/>
              </w:rPr>
              <w:t>Smaller</w:t>
            </w:r>
          </w:p>
        </w:tc>
        <w:tc>
          <w:tcPr>
            <w:tcW w:type="dxa" w:w="2160"/>
            <w:shd w:val="clear" w:color="auto" w:fill="FFFFFF"/>
          </w:tcPr>
          <w:p>
            <w:pPr>
              <w:spacing w:before="40" w:after="40"/>
            </w:pPr>
            <w:r>
              <w:rPr>
                <w:color w:val="444455"/>
                <w:sz w:val="19"/>
              </w:rPr>
              <w:t>~7%</w:t>
            </w:r>
          </w:p>
        </w:tc>
      </w:tr>
      <w:tr>
        <w:tc>
          <w:tcPr>
            <w:tcW w:type="dxa" w:w="1872"/>
            <w:shd w:val="clear" w:color="auto" w:fill="F2F5F9"/>
          </w:tcPr>
          <w:p>
            <w:pPr>
              <w:spacing w:before="40" w:after="40"/>
            </w:pPr>
            <w:r>
              <w:rPr>
                <w:color w:val="444455"/>
                <w:sz w:val="19"/>
              </w:rPr>
              <w:t>Poor</w:t>
            </w:r>
          </w:p>
        </w:tc>
        <w:tc>
          <w:tcPr>
            <w:tcW w:type="dxa" w:w="1728"/>
            <w:shd w:val="clear" w:color="auto" w:fill="F2F5F9"/>
          </w:tcPr>
          <w:p>
            <w:pPr>
              <w:spacing w:before="40" w:after="40"/>
            </w:pPr>
            <w:r>
              <w:rPr>
                <w:color w:val="444455"/>
                <w:sz w:val="19"/>
              </w:rPr>
              <w:t>6,294</w:t>
            </w:r>
          </w:p>
        </w:tc>
        <w:tc>
          <w:tcPr>
            <w:tcW w:type="dxa" w:w="3312"/>
            <w:shd w:val="clear" w:color="auto" w:fill="F2F5F9"/>
          </w:tcPr>
          <w:p>
            <w:pPr>
              <w:spacing w:before="40" w:after="40"/>
            </w:pPr>
            <w:r>
              <w:rPr>
                <w:color w:val="444455"/>
                <w:sz w:val="19"/>
              </w:rPr>
              <w:t>Minimal — near constraint boundary</w:t>
            </w:r>
          </w:p>
        </w:tc>
        <w:tc>
          <w:tcPr>
            <w:tcW w:type="dxa" w:w="1872"/>
            <w:shd w:val="clear" w:color="auto" w:fill="F2F5F9"/>
          </w:tcPr>
          <w:p>
            <w:pPr>
              <w:spacing w:before="40" w:after="40"/>
            </w:pPr>
            <w:r>
              <w:rPr>
                <w:color w:val="444455"/>
                <w:sz w:val="19"/>
              </w:rPr>
              <w:t>Minimal</w:t>
            </w:r>
          </w:p>
        </w:tc>
        <w:tc>
          <w:tcPr>
            <w:tcW w:type="dxa" w:w="2160"/>
            <w:shd w:val="clear" w:color="auto" w:fill="F2F5F9"/>
          </w:tcPr>
          <w:p>
            <w:pPr>
              <w:spacing w:before="40" w:after="40"/>
            </w:pPr>
            <w:r>
              <w:rPr>
                <w:color w:val="444455"/>
                <w:sz w:val="19"/>
              </w:rPr>
              <w:t>~18%</w:t>
            </w:r>
          </w:p>
        </w:tc>
      </w:tr>
    </w:tbl>
    <w:p>
      <w:pPr>
        <w:spacing w:after="40"/>
      </w:pPr>
    </w:p>
    <w:p>
      <w:pPr>
        <w:spacing w:before="240" w:after="60"/>
      </w:pPr>
      <w:r>
        <w:rPr>
          <w:b/>
          <w:color w:val="007A87"/>
          <w:sz w:val="22"/>
        </w:rPr>
        <w:t>Correctness validation</w:t>
      </w:r>
    </w:p>
    <w:p>
      <w:pPr>
        <w:spacing w:after="120"/>
      </w:pPr>
      <w:r>
        <w:rPr>
          <w:color w:val="444455"/>
          <w:sz w:val="21"/>
        </w:rPr>
        <w:t>The solution is validated against 44 formally-specified correctness properties covering data integrity, model constraints, solver status, and output completeness. All 44 properties pass on every run.</w:t>
      </w:r>
    </w:p>
    <w:p>
      <w:pPr>
        <w:spacing w:before="360" w:after="80"/>
        <w:pBdr>
          <w:bottom w:val="single" w:sz="6" w:space="1" w:color="1A355E"/>
        </w:pBdr>
      </w:pPr>
      <w:r>
        <w:rPr>
          <w:b/>
          <w:color w:val="1A355E"/>
          <w:sz w:val="28"/>
        </w:rPr>
        <w:t>11.  Limitations and Upgrade Path</w:t>
      </w:r>
    </w:p>
    <w:p>
      <w:pPr>
        <w:spacing w:before="240" w:after="60"/>
      </w:pPr>
      <w:r>
        <w:rPr>
          <w:b/>
          <w:color w:val="007A87"/>
          <w:sz w:val="22"/>
        </w:rPr>
        <w:t>Current limitations</w:t>
      </w:r>
    </w:p>
    <w:p>
      <w:pPr>
        <w:pStyle w:val="ListBullet"/>
        <w:spacing w:after="60"/>
        <w:ind w:left="360"/>
      </w:pPr>
      <w:r>
        <w:rPr>
          <w:color w:val="444455"/>
          <w:sz w:val="21"/>
        </w:rPr>
        <w:t>No default outcome labels. The risk scores are relative rankings anchored to assumed base rates, not calibrated default probabilities. The 5% portfolio risk constraint is internally consistent but does not directly correspond to a 5% expected annual loss rate.</w:t>
      </w:r>
    </w:p>
    <w:p>
      <w:pPr>
        <w:pStyle w:val="ListBullet"/>
        <w:spacing w:after="60"/>
        <w:ind w:left="360"/>
      </w:pPr>
      <w:r>
        <w:rPr>
          <w:color w:val="444455"/>
          <w:sz w:val="21"/>
        </w:rPr>
        <w:t>Weights are assumed. The 35/30/15/20 feature weights are aligned with industry convention, not estimated from this dataset.</w:t>
      </w:r>
    </w:p>
    <w:p>
      <w:pPr>
        <w:pStyle w:val="ListBullet"/>
        <w:spacing w:after="60"/>
        <w:ind w:left="360"/>
      </w:pPr>
      <w:r>
        <w:rPr>
          <w:color w:val="444455"/>
          <w:sz w:val="21"/>
        </w:rPr>
        <w:t>Four credit states are imposed by business requirement. Statistically, the data supports two natural clusters. The Good/Fair boundary in particular is a business-driven split of a continuous distribution.</w:t>
      </w:r>
    </w:p>
    <w:p>
      <w:pPr>
        <w:pStyle w:val="ListBullet"/>
        <w:spacing w:after="60"/>
        <w:ind w:left="360"/>
      </w:pPr>
      <w:r>
        <w:rPr>
          <w:color w:val="444455"/>
          <w:sz w:val="21"/>
        </w:rPr>
        <w:t>Macro features are uniform across customers. All customers receive the same macro environment; there is no regional or demographic variation.</w:t>
      </w:r>
    </w:p>
    <w:p>
      <w:pPr>
        <w:spacing w:before="240" w:after="60"/>
      </w:pPr>
      <w:r>
        <w:rPr>
          <w:b/>
          <w:color w:val="007A87"/>
          <w:sz w:val="22"/>
        </w:rPr>
        <w:t>Upgrade path</w:t>
      </w:r>
    </w:p>
    <w:p>
      <w:pPr>
        <w:pStyle w:val="ListBullet"/>
        <w:spacing w:after="60"/>
        <w:ind w:left="360"/>
      </w:pPr>
      <w:r>
        <w:rPr>
          <w:color w:val="444455"/>
          <w:sz w:val="21"/>
        </w:rPr>
        <w:t>Collect outcome data. Even a 90-days-past-due flag from the next 12 months would allow logistic regression or gradient boosting trained on real defaults — replacing the entire ordinal ranking step with a calibrated probability model.</w:t>
      </w:r>
    </w:p>
    <w:p>
      <w:pPr>
        <w:pStyle w:val="ListBullet"/>
        <w:spacing w:after="60"/>
        <w:ind w:left="360"/>
      </w:pPr>
      <w:r>
        <w:rPr>
          <w:color w:val="444455"/>
          <w:sz w:val="21"/>
        </w:rPr>
        <w:t>Deploy with a holdout control group. Withhold increases from a random 15–20% of eligible customers. After 12 months, the contrast between treated and control provides both outcome labels and a clean causal estimate of the policy's effect.</w:t>
      </w:r>
    </w:p>
    <w:p>
      <w:pPr>
        <w:pStyle w:val="ListBullet"/>
        <w:spacing w:after="60"/>
        <w:ind w:left="360"/>
      </w:pPr>
      <w:r>
        <w:rPr>
          <w:color w:val="444455"/>
          <w:sz w:val="21"/>
        </w:rPr>
        <w:t>Benchmark base rates to FDIC data. Replace the assumed base rates (1%/2.5%/7%/18%) with published charge-off rates for equivalent consumer loan tiers, making the LP risk constraint correspond to a real expected loss rate.</w:t>
      </w:r>
    </w:p>
    <w:p>
      <w:pPr>
        <w:pStyle w:val="ListBullet"/>
        <w:spacing w:after="60"/>
        <w:ind w:left="360"/>
      </w:pPr>
      <w:r>
        <w:rPr>
          <w:color w:val="444455"/>
          <w:sz w:val="21"/>
        </w:rPr>
        <w:t>Add external data. Credit bureau scores, debt-to-income ratios, or transaction-level data would introduce genuine feature interactions that justify a non-linear model.</w:t>
      </w:r>
    </w:p>
    <w:tbl>
      <w:tblPr>
        <w:tblW w:type="auto" w:w="0"/>
        <w:tblLook w:firstColumn="1" w:firstRow="1" w:lastColumn="0" w:lastRow="0" w:noHBand="0" w:noVBand="1" w:val="04A0"/>
        <w:jc w:val="left"/>
        <w:tblBorders>
          <w:top w:val="none"/>
          <w:left w:val="none"/>
          <w:bottom w:val="none"/>
          <w:right w:val="none"/>
          <w:insideH w:val="none"/>
          <w:insideV w:val="none"/>
        </w:tblBorders>
      </w:tblPr>
      <w:tblGrid>
        <w:gridCol w:w="9406"/>
      </w:tblGrid>
      <w:tr>
        <w:tc>
          <w:tcPr>
            <w:tcW w:type="dxa" w:w="8352"/>
            <w:tcBorders>
              <w:left w:val="single" w:sz="18" w:space="0" w:color="D47E00"/>
            </w:tcBorders>
            <w:shd w:val="clear" w:color="auto" w:fill="FFF8EE"/>
          </w:tcPr>
          <w:p>
            <w:pPr>
              <w:spacing w:before="80" w:after="80"/>
            </w:pPr>
            <w:r>
              <w:rPr>
                <w:b/>
                <w:color w:val="D47E00"/>
                <w:sz w:val="20"/>
              </w:rPr>
              <w:t xml:space="preserve">Key point  </w:t>
            </w:r>
            <w:r>
              <w:rPr>
                <w:color w:val="444455"/>
                <w:sz w:val="20"/>
              </w:rPr>
              <w:t>The analytical framework — ordinal ranking for relative ordering, Markov chain for trajectory, Monte Carlo for profitability simulation, and LP for joint optimisation — is sound and remains valid when outcome data becomes available. Only the risk scoring step needs to be replaced; the downstream pipeline is unchanged.</w:t>
            </w:r>
          </w:p>
        </w:tc>
      </w:tr>
    </w:tbl>
    <w:p>
      <w:pPr>
        <w:spacing w:after="80"/>
      </w:pPr>
    </w:p>
    <w:p>
      <w:pPr>
        <w:spacing w:after="200"/>
      </w:pPr>
    </w:p>
    <w:p>
      <w:pPr>
        <w:jc w:val="center"/>
      </w:pPr>
      <w:r>
        <w:rPr>
          <w:i/>
          <w:color w:val="AAAABB"/>
          <w:sz w:val="17"/>
        </w:rPr>
        <w:t>Produced by the Credit Analytics team  ·  loan_limit_optimization.ipynb  ·  44/44 model properties verified</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