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A6A61"/>
    <w:p w14:paraId="13E28562"/>
    <w:p w14:paraId="4A0B8357"/>
    <w:p w14:paraId="4F51277A"/>
    <w:p w14:paraId="05B2AB4E">
      <w:pPr>
        <w:jc w:val="center"/>
      </w:pPr>
      <w:r>
        <w:rPr>
          <w:b/>
          <w:color w:val="1A3A5C"/>
          <w:sz w:val="56"/>
        </w:rPr>
        <w:t>Loan Term Extension</w:t>
      </w:r>
      <w:r>
        <w:rPr>
          <w:b/>
          <w:color w:val="1A3A5C"/>
          <w:sz w:val="56"/>
        </w:rPr>
        <w:br w:type="textWrapping"/>
      </w:r>
      <w:r>
        <w:rPr>
          <w:b/>
          <w:color w:val="1A3A5C"/>
          <w:sz w:val="56"/>
        </w:rPr>
        <w:t>Optimisation System</w:t>
      </w:r>
    </w:p>
    <w:p w14:paraId="43C4ADFF"/>
    <w:p w14:paraId="6C242E70">
      <w:pPr>
        <w:jc w:val="center"/>
      </w:pPr>
      <w:r>
        <w:rPr>
          <w:color w:val="2E74B5"/>
          <w:sz w:val="32"/>
        </w:rPr>
        <w:t>Technical Project Report</w:t>
      </w:r>
    </w:p>
    <w:p w14:paraId="783F8CDA"/>
    <w:p w14:paraId="6EEDF17B">
      <w:pPr>
        <w:pBdr>
          <w:bottom w:val="single" w:color="2E74B5" w:sz="6" w:space="1"/>
        </w:pBdr>
        <w:spacing w:after="120"/>
      </w:pPr>
    </w:p>
    <w:p w14:paraId="7C74FFB1"/>
    <w:p w14:paraId="2C2923FD">
      <w:pPr>
        <w:jc w:val="center"/>
        <w:rPr>
          <w:rFonts w:hint="default"/>
          <w:lang w:val="en-US"/>
        </w:rPr>
      </w:pPr>
      <w:r>
        <w:rPr>
          <w:b/>
          <w:color w:val="1A3A5C"/>
          <w:sz w:val="22"/>
        </w:rPr>
        <w:t xml:space="preserve">Author:  </w:t>
      </w:r>
      <w:r>
        <w:rPr>
          <w:sz w:val="22"/>
        </w:rPr>
        <w:t>PraveenKumar</w:t>
      </w:r>
      <w:r>
        <w:rPr>
          <w:rFonts w:hint="default"/>
          <w:sz w:val="22"/>
          <w:lang w:val="en-US"/>
        </w:rPr>
        <w:t xml:space="preserve"> </w:t>
      </w:r>
    </w:p>
    <w:p w14:paraId="49827DB4">
      <w:pPr>
        <w:jc w:val="center"/>
      </w:pPr>
      <w:r>
        <w:rPr>
          <w:b/>
          <w:color w:val="1A3A5C"/>
          <w:sz w:val="22"/>
        </w:rPr>
        <w:t xml:space="preserve">Date:  </w:t>
      </w:r>
      <w:r>
        <w:rPr>
          <w:sz w:val="22"/>
        </w:rPr>
        <w:t>May 2026</w:t>
      </w:r>
    </w:p>
    <w:p w14:paraId="099D0AAF">
      <w:pPr>
        <w:jc w:val="center"/>
      </w:pPr>
      <w:r>
        <w:rPr>
          <w:b/>
          <w:color w:val="1A3A5C"/>
          <w:sz w:val="22"/>
        </w:rPr>
        <w:t xml:space="preserve">Branch:  </w:t>
      </w:r>
      <w:r>
        <w:rPr>
          <w:sz w:val="22"/>
        </w:rPr>
        <w:t>term_extension</w:t>
      </w:r>
    </w:p>
    <w:p w14:paraId="5F990FFB">
      <w:pPr>
        <w:jc w:val="center"/>
      </w:pPr>
      <w:r>
        <w:rPr>
          <w:b/>
          <w:color w:val="1A3A5C"/>
          <w:sz w:val="22"/>
        </w:rPr>
        <w:t xml:space="preserve">Portfolio:  </w:t>
      </w:r>
      <w:r>
        <w:rPr>
          <w:sz w:val="22"/>
        </w:rPr>
        <w:t>30,000 consumer credit accounts</w:t>
      </w:r>
    </w:p>
    <w:p w14:paraId="51D4522B">
      <w:pPr>
        <w:jc w:val="center"/>
      </w:pPr>
      <w:r>
        <w:rPr>
          <w:b/>
          <w:color w:val="1A3A5C"/>
          <w:sz w:val="22"/>
        </w:rPr>
        <w:t xml:space="preserve">Objective:  </w:t>
      </w:r>
      <w:r>
        <w:rPr>
          <w:sz w:val="22"/>
        </w:rPr>
        <w:t>Maximise net profit via binary term extension decisions</w:t>
      </w:r>
    </w:p>
    <w:p w14:paraId="7D4959F5">
      <w:pPr>
        <w:jc w:val="center"/>
      </w:pPr>
      <w:r>
        <w:rPr>
          <w:b/>
          <w:color w:val="1A3A5C"/>
          <w:sz w:val="22"/>
        </w:rPr>
        <w:t xml:space="preserve">Outcome:  </w:t>
      </w:r>
      <w:r>
        <w:rPr>
          <w:sz w:val="22"/>
        </w:rPr>
        <w:t>23,740 extensions granted · $654,196 net profit · 45/45 tests passing</w:t>
      </w:r>
    </w:p>
    <w:p w14:paraId="2FB50646"/>
    <w:p w14:paraId="14C1F055">
      <w:pPr>
        <w:pBdr>
          <w:bottom w:val="single" w:color="2E74B5" w:sz="6" w:space="1"/>
        </w:pBdr>
        <w:spacing w:after="120"/>
      </w:pPr>
    </w:p>
    <w:p w14:paraId="70142384">
      <w:r>
        <w:br w:type="page"/>
      </w:r>
    </w:p>
    <w:p w14:paraId="68A2C354">
      <w:pPr>
        <w:pStyle w:val="2"/>
        <w:spacing w:before="280" w:after="80"/>
      </w:pPr>
      <w:r>
        <w:rPr>
          <w:b/>
          <w:color w:val="1A3A5C"/>
          <w:sz w:val="32"/>
        </w:rPr>
        <w:t>Table of Contents</w:t>
      </w:r>
    </w:p>
    <w:p w14:paraId="68EB8C6A">
      <w:pPr>
        <w:spacing w:after="40"/>
      </w:pPr>
      <w:r>
        <w:rPr>
          <w:b/>
          <w:sz w:val="21"/>
        </w:rPr>
        <w:t xml:space="preserve">  1.  Executive Summary</w:t>
      </w:r>
    </w:p>
    <w:p w14:paraId="76EE891D">
      <w:pPr>
        <w:spacing w:after="40"/>
      </w:pPr>
      <w:r>
        <w:rPr>
          <w:sz w:val="21"/>
        </w:rPr>
        <w:t xml:space="preserve">  2.  Problem Interpretation</w:t>
      </w:r>
    </w:p>
    <w:p w14:paraId="1C25D379">
      <w:pPr>
        <w:spacing w:after="40"/>
      </w:pPr>
      <w:r>
        <w:rPr>
          <w:sz w:val="21"/>
        </w:rPr>
        <w:t xml:space="preserve">  3.  Dataset Overview</w:t>
      </w:r>
    </w:p>
    <w:p w14:paraId="6A5D9B73">
      <w:pPr>
        <w:spacing w:after="40"/>
      </w:pPr>
      <w:r>
        <w:rPr>
          <w:sz w:val="21"/>
        </w:rPr>
        <w:t xml:space="preserve">  4.  Pipeline Architecture</w:t>
      </w:r>
    </w:p>
    <w:p w14:paraId="5D2D9AAF">
      <w:pPr>
        <w:spacing w:after="40"/>
      </w:pPr>
      <w:r>
        <w:rPr>
          <w:sz w:val="21"/>
        </w:rPr>
        <w:t xml:space="preserve">  5.  Credit Risk Scoring &amp; Segmentation</w:t>
      </w:r>
    </w:p>
    <w:p w14:paraId="1968E55F">
      <w:pPr>
        <w:spacing w:after="40"/>
      </w:pPr>
      <w:r>
        <w:rPr>
          <w:sz w:val="21"/>
        </w:rPr>
        <w:t xml:space="preserve">  6.  Macro-Economic Enrichment &amp; FRED API</w:t>
      </w:r>
    </w:p>
    <w:p w14:paraId="70FDDB2C">
      <w:pPr>
        <w:spacing w:after="40"/>
      </w:pPr>
      <w:r>
        <w:rPr>
          <w:sz w:val="21"/>
        </w:rPr>
        <w:t xml:space="preserve">  7.  Variable Term &amp; Hazard-Rate Model</w:t>
      </w:r>
    </w:p>
    <w:p w14:paraId="333D525A">
      <w:pPr>
        <w:spacing w:after="40"/>
      </w:pPr>
      <w:r>
        <w:rPr>
          <w:sz w:val="21"/>
        </w:rPr>
        <w:t xml:space="preserve">  8.  GBM Uptake Forecast</w:t>
      </w:r>
    </w:p>
    <w:p w14:paraId="236B995E">
      <w:pPr>
        <w:spacing w:after="40"/>
      </w:pPr>
      <w:r>
        <w:rPr>
          <w:sz w:val="21"/>
        </w:rPr>
        <w:t xml:space="preserve">  9.  Vectorised Monte Carlo Simulation</w:t>
      </w:r>
    </w:p>
    <w:p w14:paraId="5566166F">
      <w:pPr>
        <w:spacing w:after="40"/>
      </w:pPr>
      <w:r>
        <w:rPr>
          <w:sz w:val="21"/>
        </w:rPr>
        <w:t xml:space="preserve">  10.  LP Optimisation Formulation</w:t>
      </w:r>
    </w:p>
    <w:p w14:paraId="344FD166">
      <w:pPr>
        <w:spacing w:after="40"/>
      </w:pPr>
      <w:r>
        <w:rPr>
          <w:b/>
          <w:sz w:val="21"/>
        </w:rPr>
        <w:t xml:space="preserve">  11.  Results &amp; Performance</w:t>
      </w:r>
    </w:p>
    <w:p w14:paraId="102AEF27">
      <w:pPr>
        <w:spacing w:after="40"/>
      </w:pPr>
      <w:r>
        <w:rPr>
          <w:sz w:val="21"/>
        </w:rPr>
        <w:t xml:space="preserve">  12.  Sensitivity Analysis</w:t>
      </w:r>
    </w:p>
    <w:p w14:paraId="2A16FE79">
      <w:pPr>
        <w:spacing w:after="40"/>
      </w:pPr>
      <w:r>
        <w:rPr>
          <w:sz w:val="21"/>
        </w:rPr>
        <w:t xml:space="preserve">  13.  Five Model Q&amp;A</w:t>
      </w:r>
    </w:p>
    <w:p w14:paraId="7C568194">
      <w:pPr>
        <w:spacing w:after="40"/>
      </w:pPr>
      <w:r>
        <w:rPr>
          <w:sz w:val="21"/>
        </w:rPr>
        <w:t xml:space="preserve">  14.  Operationalisation Recommendations</w:t>
      </w:r>
    </w:p>
    <w:p w14:paraId="48BECF11">
      <w:pPr>
        <w:spacing w:after="40"/>
      </w:pPr>
      <w:r>
        <w:rPr>
          <w:sz w:val="21"/>
        </w:rPr>
        <w:t xml:space="preserve">  15.  Limitations &amp; Future Work</w:t>
      </w:r>
    </w:p>
    <w:p w14:paraId="32DA8DEF">
      <w:pPr>
        <w:spacing w:after="40"/>
      </w:pPr>
      <w:r>
        <w:rPr>
          <w:sz w:val="21"/>
        </w:rPr>
        <w:t xml:space="preserve">  —.  Appendix: Seven Implemented Improvements</w:t>
      </w:r>
    </w:p>
    <w:p w14:paraId="3DCACDD3">
      <w:pPr>
        <w:spacing w:after="40"/>
      </w:pPr>
      <w:r>
        <w:rPr>
          <w:sz w:val="21"/>
        </w:rPr>
        <w:t xml:space="preserve">  —.  Key Questions to Solve  (Assignment Brief)</w:t>
      </w:r>
    </w:p>
    <w:p w14:paraId="3A8D87E7">
      <w:pPr>
        <w:spacing w:after="40"/>
      </w:pPr>
      <w:r>
        <w:rPr>
          <w:sz w:val="21"/>
        </w:rPr>
        <w:t xml:space="preserve">  —.  Deliverables</w:t>
      </w:r>
    </w:p>
    <w:p w14:paraId="662E2F50">
      <w:r>
        <w:br w:type="page"/>
      </w:r>
    </w:p>
    <w:p w14:paraId="4F16EB44">
      <w:pPr>
        <w:pStyle w:val="2"/>
        <w:spacing w:before="280" w:after="80"/>
      </w:pPr>
      <w:r>
        <w:rPr>
          <w:b/>
          <w:color w:val="1A3A5C"/>
          <w:sz w:val="32"/>
        </w:rPr>
        <w:t>1. Executive Summary</w:t>
      </w:r>
    </w:p>
    <w:p w14:paraId="5D431566">
      <w:pPr>
        <w:spacing w:after="120"/>
        <w:jc w:val="left"/>
      </w:pPr>
      <w:r>
        <w:rPr>
          <w:b w:val="0"/>
          <w:i w:val="0"/>
          <w:sz w:val="21"/>
        </w:rPr>
        <w:t>This report documents the Loan Term Extension Optimisation System — a data-driven pipeline that decides, for each of 30,000 consumer credit accounts, whether to offer an extension to the borrowing term. Unlike a credit limit increase, a term extension does not increase the dollar amount at risk: it extends the period over which the existing outstanding balance is repaid, generating incremental revenue through additional interest accrual while incurring additional default risk during the extended window.</w:t>
      </w:r>
    </w:p>
    <w:p w14:paraId="086A197C">
      <w:pPr>
        <w:spacing w:after="120"/>
        <w:jc w:val="left"/>
      </w:pPr>
      <w:r>
        <w:rPr>
          <w:b w:val="0"/>
          <w:i w:val="0"/>
          <w:sz w:val="21"/>
        </w:rPr>
        <w:t>The system integrates four modelling layers — credit risk scoring, macro-economic enrichment, stochastic Monte Carlo simulation, and integer linear programming — into a single end-to-end optimisation pipeline validated by 45 automated property tests.</w:t>
      </w:r>
    </w:p>
    <w:p w14:paraId="52309158">
      <w:pPr>
        <w:pStyle w:val="3"/>
        <w:spacing w:before="280" w:after="80"/>
      </w:pPr>
      <w:r>
        <w:rPr>
          <w:b/>
          <w:color w:val="2E74B5"/>
          <w:sz w:val="26"/>
        </w:rPr>
        <w:t>Headline Metrics</w:t>
      </w:r>
    </w:p>
    <w:tbl>
      <w:tblPr>
        <w:tblStyle w:val="12"/>
        <w:tblW w:w="0" w:type="auto"/>
        <w:jc w:val="center"/>
        <w:tblLayout w:type="autofit"/>
        <w:tblCellMar>
          <w:top w:w="0" w:type="dxa"/>
          <w:left w:w="108" w:type="dxa"/>
          <w:bottom w:w="0" w:type="dxa"/>
          <w:right w:w="108" w:type="dxa"/>
        </w:tblCellMar>
      </w:tblPr>
      <w:tblGrid>
        <w:gridCol w:w="4896"/>
        <w:gridCol w:w="4703"/>
      </w:tblGrid>
      <w:tr w14:paraId="74873249">
        <w:trPr>
          <w:jc w:val="center"/>
        </w:trPr>
        <w:tc>
          <w:tcPr>
            <w:tcW w:w="4896" w:type="dxa"/>
            <w:shd w:val="clear" w:color="auto" w:fill="1A3A5C"/>
          </w:tcPr>
          <w:p w14:paraId="2B9549DC">
            <w:pPr>
              <w:jc w:val="center"/>
            </w:pPr>
            <w:r>
              <w:rPr>
                <w:b/>
                <w:color w:val="FFFFFF"/>
                <w:sz w:val="20"/>
              </w:rPr>
              <w:t>Metric</w:t>
            </w:r>
          </w:p>
        </w:tc>
        <w:tc>
          <w:tcPr>
            <w:tcW w:w="4320" w:type="dxa"/>
            <w:shd w:val="clear" w:color="auto" w:fill="1A3A5C"/>
          </w:tcPr>
          <w:p w14:paraId="054E9848">
            <w:pPr>
              <w:jc w:val="center"/>
            </w:pPr>
            <w:r>
              <w:rPr>
                <w:b/>
                <w:color w:val="FFFFFF"/>
                <w:sz w:val="20"/>
              </w:rPr>
              <w:t>Value</w:t>
            </w:r>
          </w:p>
        </w:tc>
      </w:tr>
      <w:tr w14:paraId="1E196B84">
        <w:trPr>
          <w:jc w:val="center"/>
        </w:trPr>
        <w:tc>
          <w:tcPr>
            <w:tcW w:w="4703" w:type="dxa"/>
            <w:shd w:val="clear" w:color="auto" w:fill="F2F2F2"/>
          </w:tcPr>
          <w:p w14:paraId="6D01282D">
            <w:pPr>
              <w:jc w:val="center"/>
            </w:pPr>
            <w:r>
              <w:rPr>
                <w:sz w:val="20"/>
              </w:rPr>
              <w:t>Accounts evaluated</w:t>
            </w:r>
          </w:p>
        </w:tc>
        <w:tc>
          <w:tcPr>
            <w:tcW w:w="4703" w:type="dxa"/>
            <w:shd w:val="clear" w:color="auto" w:fill="F2F2F2"/>
          </w:tcPr>
          <w:p w14:paraId="1C696CBF">
            <w:pPr>
              <w:jc w:val="center"/>
            </w:pPr>
            <w:r>
              <w:rPr>
                <w:sz w:val="20"/>
              </w:rPr>
              <w:t>30,000</w:t>
            </w:r>
          </w:p>
        </w:tc>
      </w:tr>
      <w:tr w14:paraId="13840D57">
        <w:trPr>
          <w:jc w:val="center"/>
        </w:trPr>
        <w:tc>
          <w:tcPr>
            <w:tcW w:w="4703" w:type="dxa"/>
            <w:shd w:val="clear" w:color="auto" w:fill="FFFFFF"/>
          </w:tcPr>
          <w:p w14:paraId="2B242EC6">
            <w:pPr>
              <w:jc w:val="center"/>
            </w:pPr>
            <w:r>
              <w:rPr>
                <w:sz w:val="20"/>
              </w:rPr>
              <w:t>Eligible for extension</w:t>
            </w:r>
          </w:p>
        </w:tc>
        <w:tc>
          <w:tcPr>
            <w:tcW w:w="4703" w:type="dxa"/>
            <w:shd w:val="clear" w:color="auto" w:fill="FFFFFF"/>
          </w:tcPr>
          <w:p w14:paraId="2654517B">
            <w:pPr>
              <w:jc w:val="center"/>
            </w:pPr>
            <w:r>
              <w:rPr>
                <w:sz w:val="20"/>
              </w:rPr>
              <w:t>25,068  (83.6%)</w:t>
            </w:r>
          </w:p>
        </w:tc>
      </w:tr>
      <w:tr w14:paraId="276BACB5">
        <w:trPr>
          <w:jc w:val="center"/>
        </w:trPr>
        <w:tc>
          <w:tcPr>
            <w:tcW w:w="4703" w:type="dxa"/>
            <w:shd w:val="clear" w:color="auto" w:fill="F2F2F2"/>
          </w:tcPr>
          <w:p w14:paraId="4196A240">
            <w:pPr>
              <w:jc w:val="center"/>
            </w:pPr>
            <w:r>
              <w:rPr>
                <w:sz w:val="20"/>
              </w:rPr>
              <w:t>Extensions granted</w:t>
            </w:r>
          </w:p>
        </w:tc>
        <w:tc>
          <w:tcPr>
            <w:tcW w:w="4703" w:type="dxa"/>
            <w:shd w:val="clear" w:color="auto" w:fill="F2F2F2"/>
          </w:tcPr>
          <w:p w14:paraId="4307A8D2">
            <w:pPr>
              <w:jc w:val="center"/>
            </w:pPr>
            <w:r>
              <w:rPr>
                <w:sz w:val="20"/>
              </w:rPr>
              <w:t>23,740  (79.1% overall · 94.7% of eligible)</w:t>
            </w:r>
          </w:p>
        </w:tc>
      </w:tr>
      <w:tr w14:paraId="174E9484">
        <w:trPr>
          <w:jc w:val="center"/>
        </w:trPr>
        <w:tc>
          <w:tcPr>
            <w:tcW w:w="4703" w:type="dxa"/>
            <w:shd w:val="clear" w:color="auto" w:fill="FFFFFF"/>
          </w:tcPr>
          <w:p w14:paraId="2CE44B1B">
            <w:pPr>
              <w:jc w:val="center"/>
            </w:pPr>
            <w:r>
              <w:rPr>
                <w:sz w:val="20"/>
              </w:rPr>
              <w:t>Total portfolio exposure extended</w:t>
            </w:r>
          </w:p>
        </w:tc>
        <w:tc>
          <w:tcPr>
            <w:tcW w:w="4703" w:type="dxa"/>
            <w:shd w:val="clear" w:color="auto" w:fill="FFFFFF"/>
          </w:tcPr>
          <w:p w14:paraId="461F2C8A">
            <w:pPr>
              <w:jc w:val="center"/>
            </w:pPr>
            <w:r>
              <w:rPr>
                <w:sz w:val="20"/>
              </w:rPr>
              <w:t>$63,105,373</w:t>
            </w:r>
          </w:p>
        </w:tc>
      </w:tr>
      <w:tr w14:paraId="109278E9">
        <w:trPr>
          <w:jc w:val="center"/>
        </w:trPr>
        <w:tc>
          <w:tcPr>
            <w:tcW w:w="4703" w:type="dxa"/>
            <w:shd w:val="clear" w:color="auto" w:fill="F2F2F2"/>
          </w:tcPr>
          <w:p w14:paraId="75575A6B">
            <w:pPr>
              <w:jc w:val="center"/>
            </w:pPr>
            <w:r>
              <w:rPr>
                <w:sz w:val="20"/>
              </w:rPr>
              <w:t>Projected revenue</w:t>
            </w:r>
          </w:p>
        </w:tc>
        <w:tc>
          <w:tcPr>
            <w:tcW w:w="4703" w:type="dxa"/>
            <w:shd w:val="clear" w:color="auto" w:fill="F2F2F2"/>
          </w:tcPr>
          <w:p w14:paraId="28C7BF92">
            <w:pPr>
              <w:jc w:val="center"/>
            </w:pPr>
            <w:r>
              <w:rPr>
                <w:sz w:val="20"/>
              </w:rPr>
              <w:t>$933,058</w:t>
            </w:r>
          </w:p>
        </w:tc>
      </w:tr>
      <w:tr w14:paraId="7BA1218C">
        <w:trPr>
          <w:jc w:val="center"/>
        </w:trPr>
        <w:tc>
          <w:tcPr>
            <w:tcW w:w="4703" w:type="dxa"/>
            <w:shd w:val="clear" w:color="auto" w:fill="FFFFFF"/>
          </w:tcPr>
          <w:p w14:paraId="7C6B1A0E">
            <w:pPr>
              <w:jc w:val="center"/>
            </w:pPr>
            <w:r>
              <w:rPr>
                <w:sz w:val="20"/>
              </w:rPr>
              <w:t>Projected expected losses</w:t>
            </w:r>
          </w:p>
        </w:tc>
        <w:tc>
          <w:tcPr>
            <w:tcW w:w="4703" w:type="dxa"/>
            <w:shd w:val="clear" w:color="auto" w:fill="FFFFFF"/>
          </w:tcPr>
          <w:p w14:paraId="2E87ACE9">
            <w:pPr>
              <w:jc w:val="center"/>
            </w:pPr>
            <w:r>
              <w:rPr>
                <w:sz w:val="20"/>
              </w:rPr>
              <w:t>$278,862</w:t>
            </w:r>
          </w:p>
        </w:tc>
      </w:tr>
      <w:tr w14:paraId="712286BB">
        <w:trPr>
          <w:jc w:val="center"/>
        </w:trPr>
        <w:tc>
          <w:tcPr>
            <w:tcW w:w="4703" w:type="dxa"/>
            <w:shd w:val="clear" w:color="auto" w:fill="F2F2F2"/>
          </w:tcPr>
          <w:p w14:paraId="53C8EB74">
            <w:pPr>
              <w:jc w:val="center"/>
            </w:pPr>
            <w:r>
              <w:rPr>
                <w:sz w:val="20"/>
              </w:rPr>
              <w:t>Net projected profit</w:t>
            </w:r>
          </w:p>
        </w:tc>
        <w:tc>
          <w:tcPr>
            <w:tcW w:w="4703" w:type="dxa"/>
            <w:shd w:val="clear" w:color="auto" w:fill="F2F2F2"/>
          </w:tcPr>
          <w:p w14:paraId="549A015B">
            <w:pPr>
              <w:jc w:val="center"/>
            </w:pPr>
            <w:r>
              <w:rPr>
                <w:sz w:val="20"/>
              </w:rPr>
              <w:t>$654,196</w:t>
            </w:r>
          </w:p>
        </w:tc>
      </w:tr>
      <w:tr w14:paraId="422A465D">
        <w:trPr>
          <w:jc w:val="center"/>
        </w:trPr>
        <w:tc>
          <w:tcPr>
            <w:tcW w:w="4703" w:type="dxa"/>
            <w:shd w:val="clear" w:color="auto" w:fill="FFFFFF"/>
          </w:tcPr>
          <w:p w14:paraId="1A2FDB47">
            <w:pPr>
              <w:jc w:val="center"/>
            </w:pPr>
            <w:r>
              <w:rPr>
                <w:sz w:val="20"/>
              </w:rPr>
              <w:t>Return on extended exposure</w:t>
            </w:r>
          </w:p>
        </w:tc>
        <w:tc>
          <w:tcPr>
            <w:tcW w:w="4703" w:type="dxa"/>
            <w:shd w:val="clear" w:color="auto" w:fill="FFFFFF"/>
          </w:tcPr>
          <w:p w14:paraId="485544F2">
            <w:pPr>
              <w:jc w:val="center"/>
            </w:pPr>
            <w:r>
              <w:rPr>
                <w:sz w:val="20"/>
              </w:rPr>
              <w:t>1.04%</w:t>
            </w:r>
          </w:p>
        </w:tc>
      </w:tr>
      <w:tr w14:paraId="3E24CF09">
        <w:trPr>
          <w:jc w:val="center"/>
        </w:trPr>
        <w:tc>
          <w:tcPr>
            <w:tcW w:w="4703" w:type="dxa"/>
            <w:shd w:val="clear" w:color="auto" w:fill="F2F2F2"/>
          </w:tcPr>
          <w:p w14:paraId="79235AFF">
            <w:pPr>
              <w:jc w:val="center"/>
            </w:pPr>
            <w:r>
              <w:rPr>
                <w:sz w:val="20"/>
              </w:rPr>
              <w:t>Portfolio default risk (vs 5% cap)</w:t>
            </w:r>
          </w:p>
        </w:tc>
        <w:tc>
          <w:tcPr>
            <w:tcW w:w="4703" w:type="dxa"/>
            <w:shd w:val="clear" w:color="auto" w:fill="F2F2F2"/>
          </w:tcPr>
          <w:p w14:paraId="21B19EAA">
            <w:pPr>
              <w:jc w:val="center"/>
            </w:pPr>
            <w:r>
              <w:rPr>
                <w:sz w:val="20"/>
              </w:rPr>
              <w:t>0.90%  (cap slack by 4.1 pp)</w:t>
            </w:r>
          </w:p>
        </w:tc>
      </w:tr>
      <w:tr w14:paraId="46F47E1E">
        <w:trPr>
          <w:jc w:val="center"/>
        </w:trPr>
        <w:tc>
          <w:tcPr>
            <w:tcW w:w="4703" w:type="dxa"/>
            <w:shd w:val="clear" w:color="auto" w:fill="FFFFFF"/>
          </w:tcPr>
          <w:p w14:paraId="096E1B94">
            <w:pPr>
              <w:jc w:val="center"/>
            </w:pPr>
            <w:r>
              <w:rPr>
                <w:sz w:val="20"/>
              </w:rPr>
              <w:t>Average extension term granted</w:t>
            </w:r>
          </w:p>
        </w:tc>
        <w:tc>
          <w:tcPr>
            <w:tcW w:w="4703" w:type="dxa"/>
            <w:shd w:val="clear" w:color="auto" w:fill="FFFFFF"/>
          </w:tcPr>
          <w:p w14:paraId="61CB9CB1">
            <w:pPr>
              <w:jc w:val="center"/>
            </w:pPr>
            <w:r>
              <w:rPr>
                <w:sz w:val="20"/>
              </w:rPr>
              <w:t>67.8 days</w:t>
            </w:r>
          </w:p>
        </w:tc>
      </w:tr>
      <w:tr w14:paraId="6E5F42BD">
        <w:trPr>
          <w:jc w:val="center"/>
        </w:trPr>
        <w:tc>
          <w:tcPr>
            <w:tcW w:w="4703" w:type="dxa"/>
            <w:shd w:val="clear" w:color="auto" w:fill="F2F2F2"/>
          </w:tcPr>
          <w:p w14:paraId="29DAD1A4">
            <w:pPr>
              <w:jc w:val="center"/>
            </w:pPr>
            <w:r>
              <w:rPr>
                <w:sz w:val="20"/>
              </w:rPr>
              <w:t>Monte Carlo iterations</w:t>
            </w:r>
          </w:p>
        </w:tc>
        <w:tc>
          <w:tcPr>
            <w:tcW w:w="4703" w:type="dxa"/>
            <w:shd w:val="clear" w:color="auto" w:fill="F2F2F2"/>
          </w:tcPr>
          <w:p w14:paraId="285B1359">
            <w:pPr>
              <w:jc w:val="center"/>
            </w:pPr>
            <w:r>
              <w:rPr>
                <w:sz w:val="20"/>
              </w:rPr>
              <w:t>3,500 per customer</w:t>
            </w:r>
          </w:p>
        </w:tc>
      </w:tr>
      <w:tr w14:paraId="482771C4">
        <w:trPr>
          <w:jc w:val="center"/>
        </w:trPr>
        <w:tc>
          <w:tcPr>
            <w:tcW w:w="4703" w:type="dxa"/>
            <w:shd w:val="clear" w:color="auto" w:fill="FFFFFF"/>
          </w:tcPr>
          <w:p w14:paraId="6D005512">
            <w:pPr>
              <w:jc w:val="center"/>
            </w:pPr>
            <w:r>
              <w:rPr>
                <w:sz w:val="20"/>
              </w:rPr>
              <w:t>Property tests passing</w:t>
            </w:r>
          </w:p>
        </w:tc>
        <w:tc>
          <w:tcPr>
            <w:tcW w:w="4703" w:type="dxa"/>
            <w:shd w:val="clear" w:color="auto" w:fill="FFFFFF"/>
          </w:tcPr>
          <w:p w14:paraId="75AC007D">
            <w:pPr>
              <w:jc w:val="center"/>
            </w:pPr>
            <w:r>
              <w:rPr>
                <w:sz w:val="20"/>
              </w:rPr>
              <w:t>45 / 45</w:t>
            </w:r>
          </w:p>
        </w:tc>
      </w:tr>
    </w:tbl>
    <w:p w14:paraId="34208110"/>
    <w:p w14:paraId="76882080">
      <w:pPr>
        <w:spacing w:after="120"/>
        <w:jc w:val="left"/>
      </w:pPr>
      <w:r>
        <w:rPr>
          <w:b w:val="0"/>
          <w:i w:val="0"/>
          <w:sz w:val="21"/>
        </w:rPr>
        <w:t>The optimisation selects extensions that maximise uptake-weighted profitability subject to a 5% portfolio default risk cap. Poor-state customers face the only meaningful binary trade-off: 4,026 of 5,352 are approved (75.2%). The remaining three credit states achieve 100% eligible approval because every account passes the profitability breakeven threshold under current parameters.</w:t>
      </w:r>
    </w:p>
    <w:p w14:paraId="78C68E72">
      <w:r>
        <w:br w:type="page"/>
      </w:r>
    </w:p>
    <w:p w14:paraId="584CF26D">
      <w:pPr>
        <w:pStyle w:val="2"/>
        <w:spacing w:before="280" w:after="80"/>
      </w:pPr>
      <w:r>
        <w:rPr>
          <w:b/>
          <w:color w:val="1A3A5C"/>
          <w:sz w:val="32"/>
        </w:rPr>
        <w:t>2. Problem Interpretation</w:t>
      </w:r>
    </w:p>
    <w:p w14:paraId="236828E3">
      <w:pPr>
        <w:pStyle w:val="3"/>
        <w:spacing w:before="280" w:after="80"/>
      </w:pPr>
      <w:r>
        <w:rPr>
          <w:b/>
          <w:color w:val="2E74B5"/>
          <w:sz w:val="26"/>
        </w:rPr>
        <w:t>2.1  What is a Term Extension?</w:t>
      </w:r>
    </w:p>
    <w:p w14:paraId="00C2A188">
      <w:pPr>
        <w:spacing w:after="120"/>
        <w:jc w:val="left"/>
      </w:pPr>
      <w:r>
        <w:rPr>
          <w:b w:val="0"/>
          <w:i w:val="0"/>
          <w:sz w:val="21"/>
        </w:rPr>
        <w:t>A term extension offers a customer an additional borrowing period beyond their original loan maturity without increasing the principal. If a customer borrowed $2,000 for 30 days, a term extension might extend the repayment window to 60 or 90 days. The lender earns incremental interest on the outstanding balance during the extended period; the customer gains flexibility but faces a longer default window.</w:t>
      </w:r>
    </w:p>
    <w:p w14:paraId="23D873C1">
      <w:pPr>
        <w:pStyle w:val="3"/>
        <w:spacing w:before="280" w:after="80"/>
      </w:pPr>
      <w:r>
        <w:rPr>
          <w:b/>
          <w:color w:val="2E74B5"/>
          <w:sz w:val="26"/>
        </w:rPr>
        <w:t>2.2  Why This Differs From Credit Limit Optimisation</w:t>
      </w:r>
    </w:p>
    <w:p w14:paraId="5DF09EFF">
      <w:pPr>
        <w:spacing w:after="120"/>
        <w:jc w:val="left"/>
      </w:pPr>
      <w:r>
        <w:rPr>
          <w:b w:val="0"/>
          <w:i w:val="0"/>
          <w:sz w:val="21"/>
        </w:rPr>
        <w:t>The companion credit limit model (claude branch) optimises dollar-limit increases. The key modelling differences for term extensions are:</w:t>
      </w:r>
    </w:p>
    <w:p w14:paraId="15410D97">
      <w:pPr>
        <w:pStyle w:val="23"/>
        <w:spacing w:after="60"/>
        <w:ind w:left="360"/>
      </w:pPr>
      <w:r>
        <w:rPr>
          <w:sz w:val="21"/>
        </w:rPr>
        <w:t>Risk exposure: the full outstanding balance is at risk (not an incremental 30% draw)</w:t>
      </w:r>
    </w:p>
    <w:p w14:paraId="6BB61239">
      <w:pPr>
        <w:pStyle w:val="23"/>
        <w:spacing w:after="60"/>
        <w:ind w:left="360"/>
      </w:pPr>
      <w:r>
        <w:rPr>
          <w:sz w:val="21"/>
        </w:rPr>
        <w:t>Binary decision: the LP grants or denies; there is no continuous 'amount to increase'</w:t>
      </w:r>
    </w:p>
    <w:p w14:paraId="67419A7F">
      <w:pPr>
        <w:pStyle w:val="23"/>
        <w:spacing w:after="60"/>
        <w:ind w:left="360"/>
      </w:pPr>
      <w:r>
        <w:rPr>
          <w:sz w:val="21"/>
        </w:rPr>
        <w:t>Revenue source: interest annuity over the extended term, not utilisation of a higher limit</w:t>
      </w:r>
    </w:p>
    <w:p w14:paraId="56B10FC7">
      <w:pPr>
        <w:pStyle w:val="23"/>
        <w:spacing w:after="60"/>
        <w:ind w:left="360"/>
      </w:pPr>
      <w:r>
        <w:rPr>
          <w:sz w:val="21"/>
        </w:rPr>
        <w:t>Default horizon: longer terms exponentially increase cumulative default probability</w:t>
      </w:r>
    </w:p>
    <w:p w14:paraId="448B2774">
      <w:pPr>
        <w:pStyle w:val="23"/>
        <w:spacing w:after="60"/>
        <w:ind w:left="360"/>
      </w:pPr>
      <w:r>
        <w:rPr>
          <w:sz w:val="21"/>
        </w:rPr>
        <w:t>No floor/ceiling on extension amount: the model selects the term stochastically from a LogNormal distribution calibrated per credit state</w:t>
      </w:r>
    </w:p>
    <w:p w14:paraId="7124D6DA"/>
    <w:p w14:paraId="667315C4">
      <w:pPr>
        <w:pStyle w:val="3"/>
        <w:spacing w:before="280" w:after="80"/>
      </w:pPr>
      <w:r>
        <w:rPr>
          <w:b/>
          <w:color w:val="2E74B5"/>
          <w:sz w:val="26"/>
        </w:rPr>
        <w:t>2.3  Business Objective</w:t>
      </w:r>
    </w:p>
    <w:p w14:paraId="3F9F24ED">
      <w:pPr>
        <w:spacing w:after="120"/>
        <w:jc w:val="left"/>
      </w:pPr>
      <w:r>
        <w:rPr>
          <w:b w:val="0"/>
          <w:i w:val="0"/>
          <w:sz w:val="21"/>
        </w:rPr>
        <w:t>Identify the set of customers where granting a term extension is profitable in expectation, subject to a portfolio-level risk constraint. The objective function incorporates uptake probability so that the LP does not grant extensions to customers who are unlikely to accept them — an extension not taken generates no revenue and consumes no risk budget, but is wasteful of operational capacity.</w:t>
      </w:r>
    </w:p>
    <w:p w14:paraId="414579CB">
      <w:pPr>
        <w:pStyle w:val="3"/>
        <w:spacing w:before="280" w:after="80"/>
      </w:pPr>
      <w:r>
        <w:rPr>
          <w:b/>
          <w:color w:val="2E74B5"/>
          <w:sz w:val="26"/>
        </w:rPr>
        <w:t>2.4  Eligibility Gate</w:t>
      </w:r>
    </w:p>
    <w:p w14:paraId="20774B81">
      <w:pPr>
        <w:spacing w:after="120"/>
        <w:jc w:val="left"/>
      </w:pPr>
      <w:r>
        <w:rPr>
          <w:b w:val="0"/>
          <w:i w:val="0"/>
          <w:sz w:val="21"/>
        </w:rPr>
        <w:t>A customer must have had no loan activity in the last 60 days to be eligible for a term extension. Of 30,000 accounts, 4,932 fail this gate and are excluded from the LP. The LP binary variable is forced to 0 for ineligible accounts.</w:t>
      </w:r>
    </w:p>
    <w:p w14:paraId="55A5F5E0">
      <w:r>
        <w:br w:type="page"/>
      </w:r>
    </w:p>
    <w:p w14:paraId="34513ABE">
      <w:pPr>
        <w:pStyle w:val="2"/>
        <w:spacing w:before="280" w:after="80"/>
      </w:pPr>
      <w:r>
        <w:rPr>
          <w:b/>
          <w:color w:val="1A3A5C"/>
          <w:sz w:val="32"/>
        </w:rPr>
        <w:t>3. Dataset Overview</w:t>
      </w:r>
    </w:p>
    <w:p w14:paraId="4B15B666">
      <w:pPr>
        <w:spacing w:after="120"/>
        <w:jc w:val="left"/>
      </w:pPr>
      <w:r>
        <w:rPr>
          <w:b w:val="0"/>
          <w:i w:val="0"/>
          <w:sz w:val="21"/>
        </w:rPr>
        <w:t>The input dataset contains 30,000 synthetic consumer credit accounts with the following feature profile:</w:t>
      </w:r>
    </w:p>
    <w:tbl>
      <w:tblPr>
        <w:tblStyle w:val="12"/>
        <w:tblW w:w="0" w:type="auto"/>
        <w:jc w:val="center"/>
        <w:tblLayout w:type="autofit"/>
        <w:tblCellMar>
          <w:top w:w="0" w:type="dxa"/>
          <w:left w:w="108" w:type="dxa"/>
          <w:bottom w:w="0" w:type="dxa"/>
          <w:right w:w="108" w:type="dxa"/>
        </w:tblCellMar>
      </w:tblPr>
      <w:tblGrid>
        <w:gridCol w:w="2962"/>
        <w:gridCol w:w="2690"/>
        <w:gridCol w:w="3970"/>
      </w:tblGrid>
      <w:tr w14:paraId="0F261835">
        <w:trPr>
          <w:jc w:val="center"/>
        </w:trPr>
        <w:tc>
          <w:tcPr>
            <w:tcW w:w="3168" w:type="dxa"/>
            <w:shd w:val="clear" w:color="auto" w:fill="1A3A5C"/>
          </w:tcPr>
          <w:p w14:paraId="19E42FCB">
            <w:pPr>
              <w:jc w:val="center"/>
            </w:pPr>
            <w:r>
              <w:rPr>
                <w:b/>
                <w:color w:val="FFFFFF"/>
                <w:sz w:val="20"/>
              </w:rPr>
              <w:t>Feature</w:t>
            </w:r>
          </w:p>
        </w:tc>
        <w:tc>
          <w:tcPr>
            <w:tcW w:w="1440" w:type="dxa"/>
            <w:shd w:val="clear" w:color="auto" w:fill="1A3A5C"/>
          </w:tcPr>
          <w:p w14:paraId="2BD79EAC">
            <w:pPr>
              <w:jc w:val="center"/>
            </w:pPr>
            <w:r>
              <w:rPr>
                <w:b/>
                <w:color w:val="FFFFFF"/>
                <w:sz w:val="20"/>
              </w:rPr>
              <w:t>Type</w:t>
            </w:r>
          </w:p>
        </w:tc>
        <w:tc>
          <w:tcPr>
            <w:tcW w:w="4608" w:type="dxa"/>
            <w:shd w:val="clear" w:color="auto" w:fill="1A3A5C"/>
          </w:tcPr>
          <w:p w14:paraId="461E08E4">
            <w:pPr>
              <w:jc w:val="center"/>
            </w:pPr>
            <w:r>
              <w:rPr>
                <w:b/>
                <w:color w:val="FFFFFF"/>
                <w:sz w:val="20"/>
              </w:rPr>
              <w:t>Description</w:t>
            </w:r>
          </w:p>
        </w:tc>
      </w:tr>
      <w:tr w14:paraId="54208D8B">
        <w:trPr>
          <w:jc w:val="center"/>
        </w:trPr>
        <w:tc>
          <w:tcPr>
            <w:tcW w:w="3135" w:type="dxa"/>
            <w:shd w:val="clear" w:color="auto" w:fill="F2F2F2"/>
          </w:tcPr>
          <w:p w14:paraId="4BE1A646">
            <w:pPr>
              <w:jc w:val="center"/>
            </w:pPr>
            <w:r>
              <w:rPr>
                <w:sz w:val="20"/>
              </w:rPr>
              <w:t>customer_id</w:t>
            </w:r>
          </w:p>
        </w:tc>
        <w:tc>
          <w:tcPr>
            <w:tcW w:w="3135" w:type="dxa"/>
            <w:shd w:val="clear" w:color="auto" w:fill="F2F2F2"/>
          </w:tcPr>
          <w:p w14:paraId="0B2ED5DA">
            <w:pPr>
              <w:jc w:val="center"/>
            </w:pPr>
            <w:r>
              <w:rPr>
                <w:sz w:val="20"/>
              </w:rPr>
              <w:t>String</w:t>
            </w:r>
          </w:p>
        </w:tc>
        <w:tc>
          <w:tcPr>
            <w:tcW w:w="3135" w:type="dxa"/>
            <w:shd w:val="clear" w:color="auto" w:fill="F2F2F2"/>
          </w:tcPr>
          <w:p w14:paraId="0166B9AC">
            <w:pPr>
              <w:jc w:val="center"/>
            </w:pPr>
            <w:r>
              <w:rPr>
                <w:sz w:val="20"/>
              </w:rPr>
              <w:t>Unique account identifier</w:t>
            </w:r>
          </w:p>
        </w:tc>
      </w:tr>
      <w:tr w14:paraId="1D84C63C">
        <w:trPr>
          <w:jc w:val="center"/>
        </w:trPr>
        <w:tc>
          <w:tcPr>
            <w:tcW w:w="3135" w:type="dxa"/>
            <w:shd w:val="clear" w:color="auto" w:fill="FFFFFF"/>
          </w:tcPr>
          <w:p w14:paraId="5AC9ABA7">
            <w:pPr>
              <w:jc w:val="center"/>
            </w:pPr>
            <w:r>
              <w:rPr>
                <w:sz w:val="20"/>
              </w:rPr>
              <w:t>credit_score</w:t>
            </w:r>
          </w:p>
        </w:tc>
        <w:tc>
          <w:tcPr>
            <w:tcW w:w="3135" w:type="dxa"/>
            <w:shd w:val="clear" w:color="auto" w:fill="FFFFFF"/>
          </w:tcPr>
          <w:p w14:paraId="40593A9D">
            <w:pPr>
              <w:jc w:val="center"/>
            </w:pPr>
            <w:r>
              <w:rPr>
                <w:sz w:val="20"/>
              </w:rPr>
              <w:t>Float</w:t>
            </w:r>
          </w:p>
        </w:tc>
        <w:tc>
          <w:tcPr>
            <w:tcW w:w="3135" w:type="dxa"/>
            <w:shd w:val="clear" w:color="auto" w:fill="FFFFFF"/>
          </w:tcPr>
          <w:p w14:paraId="1AA707C1">
            <w:pPr>
              <w:jc w:val="center"/>
            </w:pPr>
            <w:r>
              <w:rPr>
                <w:sz w:val="20"/>
              </w:rPr>
              <w:t>Normalised [0,1] credit quality score</w:t>
            </w:r>
          </w:p>
        </w:tc>
      </w:tr>
      <w:tr w14:paraId="5663D651">
        <w:trPr>
          <w:jc w:val="center"/>
        </w:trPr>
        <w:tc>
          <w:tcPr>
            <w:tcW w:w="3135" w:type="dxa"/>
            <w:shd w:val="clear" w:color="auto" w:fill="F2F2F2"/>
          </w:tcPr>
          <w:p w14:paraId="6796C4E0">
            <w:pPr>
              <w:jc w:val="center"/>
            </w:pPr>
            <w:r>
              <w:rPr>
                <w:sz w:val="20"/>
              </w:rPr>
              <w:t>outstanding_balance</w:t>
            </w:r>
          </w:p>
        </w:tc>
        <w:tc>
          <w:tcPr>
            <w:tcW w:w="3135" w:type="dxa"/>
            <w:shd w:val="clear" w:color="auto" w:fill="F2F2F2"/>
          </w:tcPr>
          <w:p w14:paraId="46DC8CC6">
            <w:pPr>
              <w:jc w:val="center"/>
            </w:pPr>
            <w:r>
              <w:rPr>
                <w:sz w:val="20"/>
              </w:rPr>
              <w:t>Float</w:t>
            </w:r>
          </w:p>
        </w:tc>
        <w:tc>
          <w:tcPr>
            <w:tcW w:w="3135" w:type="dxa"/>
            <w:shd w:val="clear" w:color="auto" w:fill="F2F2F2"/>
          </w:tcPr>
          <w:p w14:paraId="37610497">
            <w:pPr>
              <w:jc w:val="center"/>
            </w:pPr>
            <w:r>
              <w:rPr>
                <w:sz w:val="20"/>
              </w:rPr>
              <w:t>Current outstanding loan balance ($)</w:t>
            </w:r>
          </w:p>
        </w:tc>
      </w:tr>
      <w:tr w14:paraId="5C884BF3">
        <w:trPr>
          <w:jc w:val="center"/>
        </w:trPr>
        <w:tc>
          <w:tcPr>
            <w:tcW w:w="3135" w:type="dxa"/>
            <w:shd w:val="clear" w:color="auto" w:fill="FFFFFF"/>
          </w:tcPr>
          <w:p w14:paraId="6DCDB866">
            <w:pPr>
              <w:jc w:val="center"/>
            </w:pPr>
            <w:r>
              <w:rPr>
                <w:sz w:val="20"/>
              </w:rPr>
              <w:t>days_since_last_loan</w:t>
            </w:r>
          </w:p>
        </w:tc>
        <w:tc>
          <w:tcPr>
            <w:tcW w:w="3135" w:type="dxa"/>
            <w:shd w:val="clear" w:color="auto" w:fill="FFFFFF"/>
          </w:tcPr>
          <w:p w14:paraId="4C9CBEEF">
            <w:pPr>
              <w:jc w:val="center"/>
            </w:pPr>
            <w:r>
              <w:rPr>
                <w:sz w:val="20"/>
              </w:rPr>
              <w:t>Integer</w:t>
            </w:r>
          </w:p>
        </w:tc>
        <w:tc>
          <w:tcPr>
            <w:tcW w:w="3135" w:type="dxa"/>
            <w:shd w:val="clear" w:color="auto" w:fill="FFFFFF"/>
          </w:tcPr>
          <w:p w14:paraId="5BBD3C7B">
            <w:pPr>
              <w:jc w:val="center"/>
            </w:pPr>
            <w:r>
              <w:rPr>
                <w:sz w:val="20"/>
              </w:rPr>
              <w:t>Days elapsed since most recent loan event</w:t>
            </w:r>
          </w:p>
        </w:tc>
      </w:tr>
      <w:tr w14:paraId="0C523B38">
        <w:trPr>
          <w:jc w:val="center"/>
        </w:trPr>
        <w:tc>
          <w:tcPr>
            <w:tcW w:w="3135" w:type="dxa"/>
            <w:shd w:val="clear" w:color="auto" w:fill="F2F2F2"/>
          </w:tcPr>
          <w:p w14:paraId="3F579BE0">
            <w:pPr>
              <w:jc w:val="center"/>
            </w:pPr>
            <w:r>
              <w:rPr>
                <w:sz w:val="20"/>
              </w:rPr>
              <w:t>payment_history</w:t>
            </w:r>
          </w:p>
        </w:tc>
        <w:tc>
          <w:tcPr>
            <w:tcW w:w="3135" w:type="dxa"/>
            <w:shd w:val="clear" w:color="auto" w:fill="F2F2F2"/>
          </w:tcPr>
          <w:p w14:paraId="0CEEE654">
            <w:pPr>
              <w:jc w:val="center"/>
            </w:pPr>
            <w:r>
              <w:rPr>
                <w:sz w:val="20"/>
              </w:rPr>
              <w:t>Float</w:t>
            </w:r>
          </w:p>
        </w:tc>
        <w:tc>
          <w:tcPr>
            <w:tcW w:w="3135" w:type="dxa"/>
            <w:shd w:val="clear" w:color="auto" w:fill="F2F2F2"/>
          </w:tcPr>
          <w:p w14:paraId="04D09FD0">
            <w:pPr>
              <w:jc w:val="center"/>
            </w:pPr>
            <w:r>
              <w:rPr>
                <w:sz w:val="20"/>
              </w:rPr>
              <w:t>Historical on-time payment rate [0,1]</w:t>
            </w:r>
          </w:p>
        </w:tc>
      </w:tr>
      <w:tr w14:paraId="18778545">
        <w:trPr>
          <w:jc w:val="center"/>
        </w:trPr>
        <w:tc>
          <w:tcPr>
            <w:tcW w:w="3135" w:type="dxa"/>
            <w:shd w:val="clear" w:color="auto" w:fill="FFFFFF"/>
          </w:tcPr>
          <w:p w14:paraId="17D96A1E">
            <w:pPr>
              <w:jc w:val="center"/>
            </w:pPr>
            <w:r>
              <w:rPr>
                <w:sz w:val="20"/>
              </w:rPr>
              <w:t>loan_age_days</w:t>
            </w:r>
          </w:p>
        </w:tc>
        <w:tc>
          <w:tcPr>
            <w:tcW w:w="3135" w:type="dxa"/>
            <w:shd w:val="clear" w:color="auto" w:fill="FFFFFF"/>
          </w:tcPr>
          <w:p w14:paraId="025E934A">
            <w:pPr>
              <w:jc w:val="center"/>
            </w:pPr>
            <w:r>
              <w:rPr>
                <w:sz w:val="20"/>
              </w:rPr>
              <w:t>Integer</w:t>
            </w:r>
          </w:p>
        </w:tc>
        <w:tc>
          <w:tcPr>
            <w:tcW w:w="3135" w:type="dxa"/>
            <w:shd w:val="clear" w:color="auto" w:fill="FFFFFF"/>
          </w:tcPr>
          <w:p w14:paraId="542F8004">
            <w:pPr>
              <w:jc w:val="center"/>
            </w:pPr>
            <w:r>
              <w:rPr>
                <w:sz w:val="20"/>
              </w:rPr>
              <w:t>Age of the current loan in days</w:t>
            </w:r>
          </w:p>
        </w:tc>
      </w:tr>
      <w:tr w14:paraId="0993F244">
        <w:trPr>
          <w:jc w:val="center"/>
        </w:trPr>
        <w:tc>
          <w:tcPr>
            <w:tcW w:w="3135" w:type="dxa"/>
            <w:shd w:val="clear" w:color="auto" w:fill="F2F2F2"/>
          </w:tcPr>
          <w:p w14:paraId="0025438B">
            <w:pPr>
              <w:jc w:val="center"/>
            </w:pPr>
            <w:r>
              <w:rPr>
                <w:sz w:val="20"/>
              </w:rPr>
              <w:t>utilisation_rate</w:t>
            </w:r>
          </w:p>
        </w:tc>
        <w:tc>
          <w:tcPr>
            <w:tcW w:w="3135" w:type="dxa"/>
            <w:shd w:val="clear" w:color="auto" w:fill="F2F2F2"/>
          </w:tcPr>
          <w:p w14:paraId="16125F19">
            <w:pPr>
              <w:jc w:val="center"/>
            </w:pPr>
            <w:r>
              <w:rPr>
                <w:sz w:val="20"/>
              </w:rPr>
              <w:t>Float</w:t>
            </w:r>
          </w:p>
        </w:tc>
        <w:tc>
          <w:tcPr>
            <w:tcW w:w="3135" w:type="dxa"/>
            <w:shd w:val="clear" w:color="auto" w:fill="F2F2F2"/>
          </w:tcPr>
          <w:p w14:paraId="56DD4399">
            <w:pPr>
              <w:jc w:val="center"/>
            </w:pPr>
            <w:r>
              <w:rPr>
                <w:sz w:val="20"/>
              </w:rPr>
              <w:t>Credit utilisation ratio [0,1]</w:t>
            </w:r>
          </w:p>
        </w:tc>
      </w:tr>
      <w:tr w14:paraId="364BFBF2">
        <w:trPr>
          <w:jc w:val="center"/>
        </w:trPr>
        <w:tc>
          <w:tcPr>
            <w:tcW w:w="3135" w:type="dxa"/>
            <w:shd w:val="clear" w:color="auto" w:fill="FFFFFF"/>
          </w:tcPr>
          <w:p w14:paraId="6921F995">
            <w:pPr>
              <w:jc w:val="center"/>
            </w:pPr>
            <w:r>
              <w:rPr>
                <w:sz w:val="20"/>
              </w:rPr>
              <w:t>num_defaults</w:t>
            </w:r>
          </w:p>
        </w:tc>
        <w:tc>
          <w:tcPr>
            <w:tcW w:w="3135" w:type="dxa"/>
            <w:shd w:val="clear" w:color="auto" w:fill="FFFFFF"/>
          </w:tcPr>
          <w:p w14:paraId="7E86A503">
            <w:pPr>
              <w:jc w:val="center"/>
            </w:pPr>
            <w:r>
              <w:rPr>
                <w:sz w:val="20"/>
              </w:rPr>
              <w:t>Integer</w:t>
            </w:r>
          </w:p>
        </w:tc>
        <w:tc>
          <w:tcPr>
            <w:tcW w:w="3135" w:type="dxa"/>
            <w:shd w:val="clear" w:color="auto" w:fill="FFFFFF"/>
          </w:tcPr>
          <w:p w14:paraId="35FBD155">
            <w:pPr>
              <w:jc w:val="center"/>
            </w:pPr>
            <w:r>
              <w:rPr>
                <w:sz w:val="20"/>
              </w:rPr>
              <w:t>Count of historical defaults</w:t>
            </w:r>
          </w:p>
        </w:tc>
      </w:tr>
    </w:tbl>
    <w:p w14:paraId="4074BA6A"/>
    <w:p w14:paraId="3AC62581">
      <w:pPr>
        <w:pStyle w:val="3"/>
        <w:spacing w:before="280" w:after="80"/>
      </w:pPr>
      <w:r>
        <w:rPr>
          <w:b/>
          <w:color w:val="2E74B5"/>
          <w:sz w:val="26"/>
        </w:rPr>
        <w:t>Portfolio Composition by Credit State</w:t>
      </w:r>
    </w:p>
    <w:tbl>
      <w:tblPr>
        <w:tblStyle w:val="12"/>
        <w:tblW w:w="0" w:type="auto"/>
        <w:jc w:val="center"/>
        <w:tblLayout w:type="autofit"/>
        <w:tblCellMar>
          <w:top w:w="0" w:type="dxa"/>
          <w:left w:w="108" w:type="dxa"/>
          <w:bottom w:w="0" w:type="dxa"/>
          <w:right w:w="108" w:type="dxa"/>
        </w:tblCellMar>
      </w:tblPr>
      <w:tblGrid>
        <w:gridCol w:w="1731"/>
        <w:gridCol w:w="1355"/>
        <w:gridCol w:w="1360"/>
        <w:gridCol w:w="1379"/>
        <w:gridCol w:w="1822"/>
        <w:gridCol w:w="1975"/>
      </w:tblGrid>
      <w:tr w14:paraId="6C1CB77E">
        <w:trPr>
          <w:jc w:val="center"/>
        </w:trPr>
        <w:tc>
          <w:tcPr>
            <w:tcW w:w="2016" w:type="dxa"/>
            <w:shd w:val="clear" w:color="auto" w:fill="1A3A5C"/>
          </w:tcPr>
          <w:p w14:paraId="203C674B">
            <w:pPr>
              <w:jc w:val="center"/>
            </w:pPr>
            <w:r>
              <w:rPr>
                <w:b/>
                <w:color w:val="FFFFFF"/>
                <w:sz w:val="20"/>
              </w:rPr>
              <w:t>Credit State</w:t>
            </w:r>
          </w:p>
        </w:tc>
        <w:tc>
          <w:tcPr>
            <w:tcW w:w="1296" w:type="dxa"/>
            <w:shd w:val="clear" w:color="auto" w:fill="1A3A5C"/>
          </w:tcPr>
          <w:p w14:paraId="240C217D">
            <w:pPr>
              <w:jc w:val="center"/>
            </w:pPr>
            <w:r>
              <w:rPr>
                <w:b/>
                <w:color w:val="FFFFFF"/>
                <w:sz w:val="20"/>
              </w:rPr>
              <w:t>Count</w:t>
            </w:r>
          </w:p>
        </w:tc>
        <w:tc>
          <w:tcPr>
            <w:tcW w:w="1584" w:type="dxa"/>
            <w:shd w:val="clear" w:color="auto" w:fill="1A3A5C"/>
          </w:tcPr>
          <w:p w14:paraId="379A8EA0">
            <w:pPr>
              <w:jc w:val="center"/>
            </w:pPr>
            <w:r>
              <w:rPr>
                <w:b/>
                <w:color w:val="FFFFFF"/>
                <w:sz w:val="20"/>
              </w:rPr>
              <w:t>% of Total</w:t>
            </w:r>
          </w:p>
        </w:tc>
        <w:tc>
          <w:tcPr>
            <w:tcW w:w="1440" w:type="dxa"/>
            <w:shd w:val="clear" w:color="auto" w:fill="1A3A5C"/>
          </w:tcPr>
          <w:p w14:paraId="242E3AA7">
            <w:pPr>
              <w:jc w:val="center"/>
            </w:pPr>
            <w:r>
              <w:rPr>
                <w:b/>
                <w:color w:val="FFFFFF"/>
                <w:sz w:val="20"/>
              </w:rPr>
              <w:t>Eligible</w:t>
            </w:r>
          </w:p>
        </w:tc>
        <w:tc>
          <w:tcPr>
            <w:tcW w:w="2160" w:type="dxa"/>
            <w:shd w:val="clear" w:color="auto" w:fill="1A3A5C"/>
          </w:tcPr>
          <w:p w14:paraId="21C18123">
            <w:pPr>
              <w:jc w:val="center"/>
            </w:pPr>
            <w:r>
              <w:rPr>
                <w:b/>
                <w:color w:val="FFFFFF"/>
                <w:sz w:val="20"/>
              </w:rPr>
              <w:t>Mean Balance ($)</w:t>
            </w:r>
          </w:p>
        </w:tc>
        <w:tc>
          <w:tcPr>
            <w:tcW w:w="2448" w:type="dxa"/>
            <w:shd w:val="clear" w:color="auto" w:fill="1A3A5C"/>
          </w:tcPr>
          <w:p w14:paraId="5C1AF6F0">
            <w:pPr>
              <w:jc w:val="center"/>
            </w:pPr>
            <w:r>
              <w:rPr>
                <w:b/>
                <w:color w:val="FFFFFF"/>
                <w:sz w:val="20"/>
              </w:rPr>
              <w:t>Mean Credit Score</w:t>
            </w:r>
          </w:p>
        </w:tc>
      </w:tr>
      <w:tr w14:paraId="36CE5E8A">
        <w:trPr>
          <w:jc w:val="center"/>
        </w:trPr>
        <w:tc>
          <w:tcPr>
            <w:tcW w:w="1568" w:type="dxa"/>
            <w:shd w:val="clear" w:color="auto" w:fill="F2F2F2"/>
          </w:tcPr>
          <w:p w14:paraId="0373AE51">
            <w:pPr>
              <w:jc w:val="center"/>
            </w:pPr>
            <w:r>
              <w:rPr>
                <w:sz w:val="20"/>
              </w:rPr>
              <w:t>Excellent</w:t>
            </w:r>
          </w:p>
        </w:tc>
        <w:tc>
          <w:tcPr>
            <w:tcW w:w="1568" w:type="dxa"/>
            <w:shd w:val="clear" w:color="auto" w:fill="F2F2F2"/>
          </w:tcPr>
          <w:p w14:paraId="37ECD8A7">
            <w:pPr>
              <w:jc w:val="center"/>
            </w:pPr>
            <w:r>
              <w:rPr>
                <w:sz w:val="20"/>
              </w:rPr>
              <w:t>4,181</w:t>
            </w:r>
          </w:p>
        </w:tc>
        <w:tc>
          <w:tcPr>
            <w:tcW w:w="1568" w:type="dxa"/>
            <w:shd w:val="clear" w:color="auto" w:fill="F2F2F2"/>
          </w:tcPr>
          <w:p w14:paraId="6FBFA5AF">
            <w:pPr>
              <w:jc w:val="center"/>
            </w:pPr>
            <w:r>
              <w:rPr>
                <w:sz w:val="20"/>
              </w:rPr>
              <w:t>13.9%</w:t>
            </w:r>
          </w:p>
        </w:tc>
        <w:tc>
          <w:tcPr>
            <w:tcW w:w="1568" w:type="dxa"/>
            <w:shd w:val="clear" w:color="auto" w:fill="F2F2F2"/>
          </w:tcPr>
          <w:p w14:paraId="6EA60361">
            <w:pPr>
              <w:jc w:val="center"/>
            </w:pPr>
            <w:r>
              <w:rPr>
                <w:sz w:val="20"/>
              </w:rPr>
              <w:t>4,181</w:t>
            </w:r>
          </w:p>
        </w:tc>
        <w:tc>
          <w:tcPr>
            <w:tcW w:w="1568" w:type="dxa"/>
            <w:shd w:val="clear" w:color="auto" w:fill="F2F2F2"/>
          </w:tcPr>
          <w:p w14:paraId="2547C1AE">
            <w:pPr>
              <w:jc w:val="center"/>
            </w:pPr>
            <w:r>
              <w:rPr>
                <w:sz w:val="20"/>
              </w:rPr>
              <w:t>~1,850</w:t>
            </w:r>
          </w:p>
        </w:tc>
        <w:tc>
          <w:tcPr>
            <w:tcW w:w="1568" w:type="dxa"/>
            <w:shd w:val="clear" w:color="auto" w:fill="F2F2F2"/>
          </w:tcPr>
          <w:p w14:paraId="3BE475DF">
            <w:pPr>
              <w:jc w:val="center"/>
            </w:pPr>
            <w:r>
              <w:rPr>
                <w:sz w:val="20"/>
              </w:rPr>
              <w:t>0.87</w:t>
            </w:r>
          </w:p>
        </w:tc>
      </w:tr>
      <w:tr w14:paraId="676906C5">
        <w:trPr>
          <w:jc w:val="center"/>
        </w:trPr>
        <w:tc>
          <w:tcPr>
            <w:tcW w:w="1568" w:type="dxa"/>
            <w:shd w:val="clear" w:color="auto" w:fill="FFFFFF"/>
          </w:tcPr>
          <w:p w14:paraId="19A32176">
            <w:pPr>
              <w:jc w:val="center"/>
            </w:pPr>
            <w:r>
              <w:rPr>
                <w:sz w:val="20"/>
              </w:rPr>
              <w:t>Good</w:t>
            </w:r>
          </w:p>
        </w:tc>
        <w:tc>
          <w:tcPr>
            <w:tcW w:w="1568" w:type="dxa"/>
            <w:shd w:val="clear" w:color="auto" w:fill="FFFFFF"/>
          </w:tcPr>
          <w:p w14:paraId="51EEE459">
            <w:pPr>
              <w:jc w:val="center"/>
            </w:pPr>
            <w:r>
              <w:rPr>
                <w:sz w:val="20"/>
              </w:rPr>
              <w:t>7,607</w:t>
            </w:r>
          </w:p>
        </w:tc>
        <w:tc>
          <w:tcPr>
            <w:tcW w:w="1568" w:type="dxa"/>
            <w:shd w:val="clear" w:color="auto" w:fill="FFFFFF"/>
          </w:tcPr>
          <w:p w14:paraId="7967ED71">
            <w:pPr>
              <w:jc w:val="center"/>
            </w:pPr>
            <w:r>
              <w:rPr>
                <w:sz w:val="20"/>
              </w:rPr>
              <w:t>25.4%</w:t>
            </w:r>
          </w:p>
        </w:tc>
        <w:tc>
          <w:tcPr>
            <w:tcW w:w="1568" w:type="dxa"/>
            <w:shd w:val="clear" w:color="auto" w:fill="FFFFFF"/>
          </w:tcPr>
          <w:p w14:paraId="702CA8E4">
            <w:pPr>
              <w:jc w:val="center"/>
            </w:pPr>
            <w:r>
              <w:rPr>
                <w:sz w:val="20"/>
              </w:rPr>
              <w:t>7,607</w:t>
            </w:r>
          </w:p>
        </w:tc>
        <w:tc>
          <w:tcPr>
            <w:tcW w:w="1568" w:type="dxa"/>
            <w:shd w:val="clear" w:color="auto" w:fill="FFFFFF"/>
          </w:tcPr>
          <w:p w14:paraId="1BE308A7">
            <w:pPr>
              <w:jc w:val="center"/>
            </w:pPr>
            <w:r>
              <w:rPr>
                <w:sz w:val="20"/>
              </w:rPr>
              <w:t>~1,650</w:t>
            </w:r>
          </w:p>
        </w:tc>
        <w:tc>
          <w:tcPr>
            <w:tcW w:w="1568" w:type="dxa"/>
            <w:shd w:val="clear" w:color="auto" w:fill="FFFFFF"/>
          </w:tcPr>
          <w:p w14:paraId="7F8C54F2">
            <w:pPr>
              <w:jc w:val="center"/>
            </w:pPr>
            <w:r>
              <w:rPr>
                <w:sz w:val="20"/>
              </w:rPr>
              <w:t>0.72</w:t>
            </w:r>
          </w:p>
        </w:tc>
      </w:tr>
      <w:tr w14:paraId="5066A040">
        <w:trPr>
          <w:jc w:val="center"/>
        </w:trPr>
        <w:tc>
          <w:tcPr>
            <w:tcW w:w="1568" w:type="dxa"/>
            <w:shd w:val="clear" w:color="auto" w:fill="F2F2F2"/>
          </w:tcPr>
          <w:p w14:paraId="4083096F">
            <w:pPr>
              <w:jc w:val="center"/>
            </w:pPr>
            <w:r>
              <w:rPr>
                <w:sz w:val="20"/>
              </w:rPr>
              <w:t>Fair</w:t>
            </w:r>
          </w:p>
        </w:tc>
        <w:tc>
          <w:tcPr>
            <w:tcW w:w="1568" w:type="dxa"/>
            <w:shd w:val="clear" w:color="auto" w:fill="F2F2F2"/>
          </w:tcPr>
          <w:p w14:paraId="4EC17000">
            <w:pPr>
              <w:jc w:val="center"/>
            </w:pPr>
            <w:r>
              <w:rPr>
                <w:sz w:val="20"/>
              </w:rPr>
              <w:t>7,926</w:t>
            </w:r>
          </w:p>
        </w:tc>
        <w:tc>
          <w:tcPr>
            <w:tcW w:w="1568" w:type="dxa"/>
            <w:shd w:val="clear" w:color="auto" w:fill="F2F2F2"/>
          </w:tcPr>
          <w:p w14:paraId="0BE20AC2">
            <w:pPr>
              <w:jc w:val="center"/>
            </w:pPr>
            <w:r>
              <w:rPr>
                <w:sz w:val="20"/>
              </w:rPr>
              <w:t>26.4%</w:t>
            </w:r>
          </w:p>
        </w:tc>
        <w:tc>
          <w:tcPr>
            <w:tcW w:w="1568" w:type="dxa"/>
            <w:shd w:val="clear" w:color="auto" w:fill="F2F2F2"/>
          </w:tcPr>
          <w:p w14:paraId="47C79052">
            <w:pPr>
              <w:jc w:val="center"/>
            </w:pPr>
            <w:r>
              <w:rPr>
                <w:sz w:val="20"/>
              </w:rPr>
              <w:t>7,926</w:t>
            </w:r>
          </w:p>
        </w:tc>
        <w:tc>
          <w:tcPr>
            <w:tcW w:w="1568" w:type="dxa"/>
            <w:shd w:val="clear" w:color="auto" w:fill="F2F2F2"/>
          </w:tcPr>
          <w:p w14:paraId="063A2AC3">
            <w:pPr>
              <w:jc w:val="center"/>
            </w:pPr>
            <w:r>
              <w:rPr>
                <w:sz w:val="20"/>
              </w:rPr>
              <w:t>~1,400</w:t>
            </w:r>
          </w:p>
        </w:tc>
        <w:tc>
          <w:tcPr>
            <w:tcW w:w="1568" w:type="dxa"/>
            <w:shd w:val="clear" w:color="auto" w:fill="F2F2F2"/>
          </w:tcPr>
          <w:p w14:paraId="7F89CF7B">
            <w:pPr>
              <w:jc w:val="center"/>
            </w:pPr>
            <w:r>
              <w:rPr>
                <w:sz w:val="20"/>
              </w:rPr>
              <w:t>0.55</w:t>
            </w:r>
          </w:p>
        </w:tc>
      </w:tr>
      <w:tr w14:paraId="3168000A">
        <w:trPr>
          <w:jc w:val="center"/>
        </w:trPr>
        <w:tc>
          <w:tcPr>
            <w:tcW w:w="1568" w:type="dxa"/>
            <w:shd w:val="clear" w:color="auto" w:fill="FFFFFF"/>
          </w:tcPr>
          <w:p w14:paraId="26109187">
            <w:pPr>
              <w:jc w:val="center"/>
            </w:pPr>
            <w:r>
              <w:rPr>
                <w:sz w:val="20"/>
              </w:rPr>
              <w:t>Poor</w:t>
            </w:r>
          </w:p>
        </w:tc>
        <w:tc>
          <w:tcPr>
            <w:tcW w:w="1568" w:type="dxa"/>
            <w:shd w:val="clear" w:color="auto" w:fill="FFFFFF"/>
          </w:tcPr>
          <w:p w14:paraId="7690A422">
            <w:pPr>
              <w:jc w:val="center"/>
            </w:pPr>
            <w:r>
              <w:rPr>
                <w:sz w:val="20"/>
              </w:rPr>
              <w:t>5,352</w:t>
            </w:r>
          </w:p>
        </w:tc>
        <w:tc>
          <w:tcPr>
            <w:tcW w:w="1568" w:type="dxa"/>
            <w:shd w:val="clear" w:color="auto" w:fill="FFFFFF"/>
          </w:tcPr>
          <w:p w14:paraId="0A0DCCD2">
            <w:pPr>
              <w:jc w:val="center"/>
            </w:pPr>
            <w:r>
              <w:rPr>
                <w:sz w:val="20"/>
              </w:rPr>
              <w:t>17.8%</w:t>
            </w:r>
          </w:p>
        </w:tc>
        <w:tc>
          <w:tcPr>
            <w:tcW w:w="1568" w:type="dxa"/>
            <w:shd w:val="clear" w:color="auto" w:fill="FFFFFF"/>
          </w:tcPr>
          <w:p w14:paraId="452F7D38">
            <w:pPr>
              <w:jc w:val="center"/>
            </w:pPr>
            <w:r>
              <w:rPr>
                <w:sz w:val="20"/>
              </w:rPr>
              <w:t>5,352</w:t>
            </w:r>
          </w:p>
        </w:tc>
        <w:tc>
          <w:tcPr>
            <w:tcW w:w="1568" w:type="dxa"/>
            <w:shd w:val="clear" w:color="auto" w:fill="FFFFFF"/>
          </w:tcPr>
          <w:p w14:paraId="498EBEDE">
            <w:pPr>
              <w:jc w:val="center"/>
            </w:pPr>
            <w:r>
              <w:rPr>
                <w:sz w:val="20"/>
              </w:rPr>
              <w:t>~1,100</w:t>
            </w:r>
          </w:p>
        </w:tc>
        <w:tc>
          <w:tcPr>
            <w:tcW w:w="1568" w:type="dxa"/>
            <w:shd w:val="clear" w:color="auto" w:fill="FFFFFF"/>
          </w:tcPr>
          <w:p w14:paraId="0EC7DC07">
            <w:pPr>
              <w:jc w:val="center"/>
            </w:pPr>
            <w:r>
              <w:rPr>
                <w:sz w:val="20"/>
              </w:rPr>
              <w:t>0.35</w:t>
            </w:r>
          </w:p>
        </w:tc>
      </w:tr>
      <w:tr w14:paraId="20C3C6B4">
        <w:trPr>
          <w:jc w:val="center"/>
        </w:trPr>
        <w:tc>
          <w:tcPr>
            <w:tcW w:w="1568" w:type="dxa"/>
            <w:shd w:val="clear" w:color="auto" w:fill="F2F2F2"/>
          </w:tcPr>
          <w:p w14:paraId="61382F18">
            <w:pPr>
              <w:jc w:val="center"/>
            </w:pPr>
            <w:r>
              <w:rPr>
                <w:sz w:val="20"/>
              </w:rPr>
              <w:t>Ineligible</w:t>
            </w:r>
          </w:p>
        </w:tc>
        <w:tc>
          <w:tcPr>
            <w:tcW w:w="1568" w:type="dxa"/>
            <w:shd w:val="clear" w:color="auto" w:fill="F2F2F2"/>
          </w:tcPr>
          <w:p w14:paraId="3F196E7F">
            <w:pPr>
              <w:jc w:val="center"/>
            </w:pPr>
            <w:r>
              <w:rPr>
                <w:sz w:val="20"/>
              </w:rPr>
              <w:t>4,932</w:t>
            </w:r>
          </w:p>
        </w:tc>
        <w:tc>
          <w:tcPr>
            <w:tcW w:w="1568" w:type="dxa"/>
            <w:shd w:val="clear" w:color="auto" w:fill="F2F2F2"/>
          </w:tcPr>
          <w:p w14:paraId="0453199E">
            <w:pPr>
              <w:jc w:val="center"/>
            </w:pPr>
            <w:r>
              <w:rPr>
                <w:sz w:val="20"/>
              </w:rPr>
              <w:t>16.4%</w:t>
            </w:r>
          </w:p>
        </w:tc>
        <w:tc>
          <w:tcPr>
            <w:tcW w:w="1568" w:type="dxa"/>
            <w:shd w:val="clear" w:color="auto" w:fill="F2F2F2"/>
          </w:tcPr>
          <w:p w14:paraId="4200EE38">
            <w:pPr>
              <w:jc w:val="center"/>
            </w:pPr>
            <w:r>
              <w:rPr>
                <w:sz w:val="20"/>
              </w:rPr>
              <w:t>0</w:t>
            </w:r>
          </w:p>
        </w:tc>
        <w:tc>
          <w:tcPr>
            <w:tcW w:w="1568" w:type="dxa"/>
            <w:shd w:val="clear" w:color="auto" w:fill="F2F2F2"/>
          </w:tcPr>
          <w:p w14:paraId="693D7677">
            <w:pPr>
              <w:jc w:val="center"/>
            </w:pPr>
            <w:r>
              <w:rPr>
                <w:sz w:val="20"/>
              </w:rPr>
              <w:t>—</w:t>
            </w:r>
          </w:p>
        </w:tc>
        <w:tc>
          <w:tcPr>
            <w:tcW w:w="1568" w:type="dxa"/>
            <w:shd w:val="clear" w:color="auto" w:fill="F2F2F2"/>
          </w:tcPr>
          <w:p w14:paraId="2177A4A7">
            <w:pPr>
              <w:jc w:val="center"/>
            </w:pPr>
            <w:r>
              <w:rPr>
                <w:sz w:val="20"/>
              </w:rPr>
              <w:t>—</w:t>
            </w:r>
          </w:p>
        </w:tc>
      </w:tr>
      <w:tr w14:paraId="61D6B7D4">
        <w:trPr>
          <w:jc w:val="center"/>
        </w:trPr>
        <w:tc>
          <w:tcPr>
            <w:tcW w:w="1568" w:type="dxa"/>
            <w:shd w:val="clear" w:color="auto" w:fill="FFFFFF"/>
          </w:tcPr>
          <w:p w14:paraId="7DB7B760">
            <w:pPr>
              <w:jc w:val="center"/>
            </w:pPr>
            <w:r>
              <w:rPr>
                <w:sz w:val="20"/>
              </w:rPr>
              <w:t>Total</w:t>
            </w:r>
          </w:p>
        </w:tc>
        <w:tc>
          <w:tcPr>
            <w:tcW w:w="1568" w:type="dxa"/>
            <w:shd w:val="clear" w:color="auto" w:fill="FFFFFF"/>
          </w:tcPr>
          <w:p w14:paraId="19A1E094">
            <w:pPr>
              <w:jc w:val="center"/>
            </w:pPr>
            <w:r>
              <w:rPr>
                <w:sz w:val="20"/>
              </w:rPr>
              <w:t>30,000</w:t>
            </w:r>
          </w:p>
        </w:tc>
        <w:tc>
          <w:tcPr>
            <w:tcW w:w="1568" w:type="dxa"/>
            <w:shd w:val="clear" w:color="auto" w:fill="FFFFFF"/>
          </w:tcPr>
          <w:p w14:paraId="023FCF6A">
            <w:pPr>
              <w:jc w:val="center"/>
            </w:pPr>
            <w:r>
              <w:rPr>
                <w:sz w:val="20"/>
              </w:rPr>
              <w:t>100%</w:t>
            </w:r>
          </w:p>
        </w:tc>
        <w:tc>
          <w:tcPr>
            <w:tcW w:w="1568" w:type="dxa"/>
            <w:shd w:val="clear" w:color="auto" w:fill="FFFFFF"/>
          </w:tcPr>
          <w:p w14:paraId="6F3A3A64">
            <w:pPr>
              <w:jc w:val="center"/>
            </w:pPr>
            <w:r>
              <w:rPr>
                <w:sz w:val="20"/>
              </w:rPr>
              <w:t>25,068</w:t>
            </w:r>
          </w:p>
        </w:tc>
        <w:tc>
          <w:tcPr>
            <w:tcW w:w="1568" w:type="dxa"/>
            <w:shd w:val="clear" w:color="auto" w:fill="FFFFFF"/>
          </w:tcPr>
          <w:p w14:paraId="5AAE33FC">
            <w:pPr>
              <w:jc w:val="center"/>
            </w:pPr>
            <w:r>
              <w:rPr>
                <w:sz w:val="20"/>
              </w:rPr>
              <w:t>~1,490</w:t>
            </w:r>
          </w:p>
        </w:tc>
        <w:tc>
          <w:tcPr>
            <w:tcW w:w="1568" w:type="dxa"/>
            <w:shd w:val="clear" w:color="auto" w:fill="FFFFFF"/>
          </w:tcPr>
          <w:p w14:paraId="785B6BBF">
            <w:pPr>
              <w:jc w:val="center"/>
            </w:pPr>
            <w:r>
              <w:rPr>
                <w:sz w:val="20"/>
              </w:rPr>
              <w:t>0.59</w:t>
            </w:r>
          </w:p>
        </w:tc>
      </w:tr>
    </w:tbl>
    <w:p w14:paraId="153CDE56"/>
    <w:p w14:paraId="722EC1A9">
      <w:pPr>
        <w:spacing w:after="120"/>
        <w:jc w:val="left"/>
      </w:pPr>
      <w:r>
        <w:rPr>
          <w:b w:val="0"/>
          <w:i w:val="0"/>
          <w:sz w:val="21"/>
        </w:rPr>
        <w:t>Ineligible accounts (days_since_last_loan &lt; 60) span all credit states proportionally. The eligible population of 25,068 is the working set for all downstream modelling steps.</w:t>
      </w:r>
    </w:p>
    <w:p w14:paraId="113EA804">
      <w:r>
        <w:br w:type="page"/>
      </w:r>
    </w:p>
    <w:p w14:paraId="0075C2E4">
      <w:pPr>
        <w:pStyle w:val="2"/>
        <w:spacing w:before="280" w:after="80"/>
      </w:pPr>
      <w:r>
        <w:rPr>
          <w:b/>
          <w:color w:val="1A3A5C"/>
          <w:sz w:val="32"/>
        </w:rPr>
        <w:t>4. Pipeline Architecture</w:t>
      </w:r>
    </w:p>
    <w:p w14:paraId="1A1A4361">
      <w:pPr>
        <w:spacing w:after="120"/>
        <w:jc w:val="left"/>
      </w:pPr>
      <w:r>
        <w:rPr>
          <w:b w:val="0"/>
          <w:i w:val="0"/>
          <w:sz w:val="21"/>
        </w:rPr>
        <w:t>The system is implemented as a sequential six-stage pipeline inside a single Jupyter notebook (loan_limit_term_extension.ipynb, 35 cells). Each stage produces enriched columns on the customer dataframe that flow into the next stage.</w:t>
      </w:r>
    </w:p>
    <w:p w14:paraId="7D9BF9C4">
      <w:pPr>
        <w:spacing w:after="120"/>
        <w:jc w:val="left"/>
      </w:pPr>
      <w:r>
        <w:rPr>
          <w:b/>
          <w:i w:val="0"/>
          <w:sz w:val="21"/>
        </w:rPr>
        <w:t>Stage flow:</w:t>
      </w:r>
    </w:p>
    <w:p w14:paraId="2CE9891C">
      <w:pPr>
        <w:spacing w:after="80"/>
        <w:ind w:left="360"/>
      </w:pPr>
      <w:r>
        <w:rPr>
          <w:b/>
          <w:color w:val="1A3A5C"/>
          <w:sz w:val="21"/>
        </w:rPr>
        <w:t>Stage 1 · Data Generation &amp; Eligibility</w:t>
      </w:r>
      <w:r>
        <w:rPr>
          <w:b/>
          <w:color w:val="1A3A5C"/>
          <w:sz w:val="21"/>
        </w:rPr>
        <w:br w:type="textWrapping"/>
      </w:r>
      <w:r>
        <w:rPr>
          <w:sz w:val="21"/>
        </w:rPr>
        <w:t>Synthesise 30,000 accounts. Flag eligibility (days_since_last_loan ≥ 60). Compute Borda-count composite score from payment_history, loan_age_days, days_since_last_loan, and outstanding_balance.</w:t>
      </w:r>
    </w:p>
    <w:p w14:paraId="649522F0">
      <w:pPr>
        <w:spacing w:after="80"/>
        <w:ind w:left="360"/>
      </w:pPr>
      <w:r>
        <w:rPr>
          <w:b/>
          <w:color w:val="1A3A5C"/>
          <w:sz w:val="21"/>
        </w:rPr>
        <w:t>Stage 2 · Credit Risk Scoring</w:t>
      </w:r>
      <w:r>
        <w:rPr>
          <w:b/>
          <w:color w:val="1A3A5C"/>
          <w:sz w:val="21"/>
        </w:rPr>
        <w:br w:type="textWrapping"/>
      </w:r>
      <w:r>
        <w:rPr>
          <w:sz w:val="21"/>
        </w:rPr>
        <w:t>K-Means clustering on risk_rank (= 1 − credit_score) assigns each eligible customer to one of four states: Excellent / Good / Fair / Poor. Outputs: credit_state column.</w:t>
      </w:r>
    </w:p>
    <w:p w14:paraId="6C46E70D">
      <w:pPr>
        <w:spacing w:after="80"/>
        <w:ind w:left="360"/>
      </w:pPr>
      <w:r>
        <w:rPr>
          <w:b/>
          <w:color w:val="1A3A5C"/>
          <w:sz w:val="21"/>
        </w:rPr>
        <w:t>Stage 3 · Macro-Economic Enrichment</w:t>
      </w:r>
      <w:r>
        <w:rPr>
          <w:b/>
          <w:color w:val="1A3A5C"/>
          <w:sz w:val="21"/>
        </w:rPr>
        <w:br w:type="textWrapping"/>
      </w:r>
      <w:r>
        <w:rPr>
          <w:sz w:val="21"/>
        </w:rPr>
        <w:t>MACRO_SCENARIOS constant (optimistic/baseline/adverse) adjusts per-state hazard rates and term LogNormal parameters before simulation. Baseline scenario used for primary run.</w:t>
      </w:r>
    </w:p>
    <w:p w14:paraId="0A8E9501">
      <w:pPr>
        <w:spacing w:after="80"/>
        <w:ind w:left="360"/>
      </w:pPr>
      <w:r>
        <w:rPr>
          <w:b/>
          <w:color w:val="1A3A5C"/>
          <w:sz w:val="21"/>
        </w:rPr>
        <w:t>Stage 4 · Vectorised Monte Carlo</w:t>
      </w:r>
      <w:r>
        <w:rPr>
          <w:b/>
          <w:color w:val="1A3A5C"/>
          <w:sz w:val="21"/>
        </w:rPr>
        <w:br w:type="textWrapping"/>
      </w:r>
      <w:r>
        <w:rPr>
          <w:sz w:val="21"/>
        </w:rPr>
        <w:t>Simulates 3,500 outcomes per customer using batch matrix operations. Outputs: p_default_sim, p_early_sim, expected_term_days, expected_revenue, expected_loss, profitability_score.</w:t>
      </w:r>
    </w:p>
    <w:p w14:paraId="10F18BB4">
      <w:pPr>
        <w:spacing w:after="80"/>
        <w:ind w:left="360"/>
      </w:pPr>
      <w:r>
        <w:rPr>
          <w:b/>
          <w:color w:val="1A3A5C"/>
          <w:sz w:val="21"/>
        </w:rPr>
        <w:t>Stage 5 · GBM Uptake Forecast</w:t>
      </w:r>
      <w:r>
        <w:rPr>
          <w:b/>
          <w:color w:val="1A3A5C"/>
          <w:sz w:val="21"/>
        </w:rPr>
        <w:br w:type="textWrapping"/>
      </w:r>
      <w:r>
        <w:rPr>
          <w:sz w:val="21"/>
        </w:rPr>
        <w:t>Geometric Brownian Motion models each customer's probability of accepting an offered extension. Outputs: uptake_probability. Used to weight LP objective.</w:t>
      </w:r>
    </w:p>
    <w:p w14:paraId="1F0136B6">
      <w:pPr>
        <w:spacing w:after="80"/>
        <w:ind w:left="360"/>
      </w:pPr>
      <w:r>
        <w:rPr>
          <w:b/>
          <w:color w:val="1A3A5C"/>
          <w:sz w:val="21"/>
        </w:rPr>
        <w:t>Stage 6 · LP Optimisation &amp; Markov Feedback</w:t>
      </w:r>
      <w:r>
        <w:rPr>
          <w:b/>
          <w:color w:val="1A3A5C"/>
          <w:sz w:val="21"/>
        </w:rPr>
        <w:br w:type="textWrapping"/>
      </w:r>
      <w:r>
        <w:rPr>
          <w:sz w:val="21"/>
        </w:rPr>
        <w:t>Binary integer LP selects the profit-maximising subset subject to portfolio risk cap. The resulting extension mix shifts the Markov transition matrix and improves long-run steady-state distribution. Outputs: extension_granted, LP summary.</w:t>
      </w:r>
    </w:p>
    <w:p w14:paraId="5E8D8175"/>
    <w:p w14:paraId="6AE4075A">
      <w:pPr>
        <w:spacing w:after="120"/>
        <w:jc w:val="left"/>
      </w:pPr>
      <w:r>
        <w:rPr>
          <w:b w:val="0"/>
          <w:i w:val="0"/>
          <w:sz w:val="21"/>
        </w:rPr>
        <w:t>The pipeline is fully vectorised from Stage 4 onward: no Python-level loops over customers exist in the simulation or scoring code. All 30,000 accounts are processed as NumPy matrix operations</w:t>
      </w:r>
    </w:p>
    <w:p w14:paraId="66FE9F1E">
      <w:r>
        <w:br w:type="page"/>
      </w:r>
    </w:p>
    <w:p w14:paraId="0EF2FC43">
      <w:pPr>
        <w:pStyle w:val="2"/>
        <w:spacing w:before="280" w:after="80"/>
      </w:pPr>
      <w:r>
        <w:rPr>
          <w:b/>
          <w:color w:val="1A3A5C"/>
          <w:sz w:val="32"/>
        </w:rPr>
        <w:t>5. Credit Risk Scoring &amp; Segmentation</w:t>
      </w:r>
    </w:p>
    <w:p w14:paraId="6A557539">
      <w:pPr>
        <w:pStyle w:val="3"/>
        <w:spacing w:before="280" w:after="80"/>
      </w:pPr>
      <w:r>
        <w:rPr>
          <w:b/>
          <w:color w:val="2E74B5"/>
          <w:sz w:val="26"/>
        </w:rPr>
        <w:t>5.1  Composite Score</w:t>
      </w:r>
    </w:p>
    <w:p w14:paraId="6E4437B1">
      <w:pPr>
        <w:spacing w:after="120"/>
        <w:jc w:val="left"/>
      </w:pPr>
      <w:r>
        <w:rPr>
          <w:b w:val="0"/>
          <w:i w:val="0"/>
          <w:sz w:val="21"/>
        </w:rPr>
        <w:t xml:space="preserve">Before clustering, each customer receives a composite creditworthiness score via </w:t>
      </w:r>
      <w:bookmarkStart w:id="0" w:name="_GoBack"/>
      <w:bookmarkEnd w:id="0"/>
      <w:r>
        <w:rPr>
          <w:b w:val="0"/>
          <w:i w:val="0"/>
          <w:sz w:val="21"/>
        </w:rPr>
        <w:t>rank aggregation. Four signals are percentile-ranked independently and combined with fixed weights:</w:t>
      </w:r>
    </w:p>
    <w:p w14:paraId="2565D8C0">
      <w:pPr>
        <w:spacing w:before="80" w:after="80"/>
        <w:jc w:val="center"/>
      </w:pPr>
      <w:r>
        <w:rPr>
          <w:rFonts w:ascii="Courier New" w:hAnsi="Courier New"/>
          <w:color w:val="1A3A5C"/>
          <w:sz w:val="21"/>
        </w:rPr>
        <w:t>borda_score = 0.35·rank(payment_history) + 0.30·rank(loan_age_days)</w:t>
      </w:r>
    </w:p>
    <w:p w14:paraId="0AAA05CE">
      <w:pPr>
        <w:spacing w:before="80" w:after="80"/>
        <w:jc w:val="center"/>
      </w:pPr>
      <w:r>
        <w:rPr>
          <w:rFonts w:ascii="Courier New" w:hAnsi="Courier New"/>
          <w:color w:val="1A3A5C"/>
          <w:sz w:val="21"/>
        </w:rPr>
        <w:t xml:space="preserve">             + 0.20·rank(days_since_last_loan) + 0.15·rank(outstanding_balance)</w:t>
      </w:r>
    </w:p>
    <w:p w14:paraId="43789D5C">
      <w:pPr>
        <w:spacing w:after="120"/>
        <w:jc w:val="left"/>
      </w:pPr>
      <w:r>
        <w:rPr>
          <w:b w:val="0"/>
          <w:i w:val="0"/>
          <w:sz w:val="21"/>
        </w:rPr>
        <w:t>Weights reflect domain priority: payment behaviour is the strongest predictor of future default; loan tenure signals stability; recent inactivity (higher days_since) is treated favourably; higher balance customers have more to lose and are slightly penalised.</w:t>
      </w:r>
    </w:p>
    <w:p w14:paraId="1EFC9DAF">
      <w:pPr>
        <w:pStyle w:val="3"/>
        <w:spacing w:before="280" w:after="80"/>
      </w:pPr>
      <w:r>
        <w:rPr>
          <w:b/>
          <w:color w:val="2E74B5"/>
          <w:sz w:val="26"/>
        </w:rPr>
        <w:t>5.2  K-Means Credit State Clustering</w:t>
      </w:r>
    </w:p>
    <w:p w14:paraId="4BCE3AB3">
      <w:pPr>
        <w:spacing w:after="120"/>
        <w:jc w:val="left"/>
      </w:pPr>
      <w:r>
        <w:rPr>
          <w:b w:val="0"/>
          <w:i w:val="0"/>
          <w:sz w:val="21"/>
        </w:rPr>
        <w:t>Rather than thresholding credit_score directly, the model inverts it to risk_rank = 1 − credit_score and applies K-Means (k=4, n_init=20) on this single axis. This ensures clusters are ordered by ascending risk.</w:t>
      </w:r>
    </w:p>
    <w:p w14:paraId="64315725">
      <w:pPr>
        <w:spacing w:before="80" w:after="80"/>
        <w:jc w:val="center"/>
      </w:pPr>
      <w:r>
        <w:rPr>
          <w:rFonts w:ascii="Courier New" w:hAnsi="Courier New"/>
          <w:color w:val="1A3A5C"/>
          <w:sz w:val="21"/>
        </w:rPr>
        <w:t>risk_rank_i  =  1.0 − credit_score_i</w:t>
      </w:r>
    </w:p>
    <w:p w14:paraId="7A51C664">
      <w:pPr>
        <w:spacing w:before="80" w:after="80"/>
        <w:jc w:val="center"/>
      </w:pPr>
      <w:r>
        <w:rPr>
          <w:rFonts w:ascii="Courier New" w:hAnsi="Courier New"/>
          <w:color w:val="1A3A5C"/>
          <w:sz w:val="21"/>
        </w:rPr>
        <w:t>labels  =  KMeans(k=4).fit(risk_rank).labels_</w:t>
      </w:r>
    </w:p>
    <w:p w14:paraId="17AACF63">
      <w:pPr>
        <w:spacing w:before="80" w:after="80"/>
        <w:jc w:val="center"/>
      </w:pPr>
      <w:r>
        <w:rPr>
          <w:rFonts w:ascii="Courier New" w:hAnsi="Courier New"/>
          <w:color w:val="1A3A5C"/>
          <w:sz w:val="21"/>
        </w:rPr>
        <w:t>state_i =  CREDIT_STATES[argsort(centroids)[cluster_i]]</w:t>
      </w:r>
    </w:p>
    <w:p w14:paraId="36C7426C">
      <w:pPr>
        <w:spacing w:after="120"/>
        <w:jc w:val="left"/>
      </w:pPr>
      <w:r>
        <w:rPr>
          <w:b w:val="0"/>
          <w:i w:val="0"/>
          <w:sz w:val="21"/>
        </w:rPr>
        <w:t>The centroid ordering maps the lowest-risk centroid to 'Excellent' and highest to 'Poor', producing four balanced, data-driven segments. A three-way comparison table in the notebook validates that K-Means assignments closely match percentile-threshold labels, confirming the approach is stable.</w:t>
      </w:r>
    </w:p>
    <w:p w14:paraId="488AAA34">
      <w:pPr>
        <w:jc w:val="center"/>
      </w:pPr>
      <w:r>
        <w:drawing>
          <wp:inline distT="0" distB="0" distL="114300" distR="114300">
            <wp:extent cx="5303520" cy="17195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1719939"/>
                    </a:xfrm>
                    <a:prstGeom prst="rect">
                      <a:avLst/>
                    </a:prstGeom>
                  </pic:spPr>
                </pic:pic>
              </a:graphicData>
            </a:graphic>
          </wp:inline>
        </w:drawing>
      </w:r>
    </w:p>
    <w:p w14:paraId="446538DC">
      <w:pPr>
        <w:spacing w:after="200"/>
        <w:jc w:val="center"/>
      </w:pPr>
      <w:r>
        <w:rPr>
          <w:i/>
          <w:color w:val="BFBFBF"/>
          <w:sz w:val="18"/>
        </w:rPr>
        <w:t>Figure 1: Credit state distribution and per-state risk profile</w:t>
      </w:r>
    </w:p>
    <w:p w14:paraId="368765D7">
      <w:pPr>
        <w:pStyle w:val="3"/>
        <w:spacing w:before="280" w:after="80"/>
      </w:pPr>
      <w:r>
        <w:rPr>
          <w:b/>
          <w:color w:val="2E74B5"/>
          <w:sz w:val="26"/>
        </w:rPr>
        <w:t>5.3  Per-State Risk Parameters</w:t>
      </w:r>
    </w:p>
    <w:tbl>
      <w:tblPr>
        <w:tblStyle w:val="12"/>
        <w:tblW w:w="0" w:type="auto"/>
        <w:jc w:val="center"/>
        <w:tblLayout w:type="autofit"/>
        <w:tblCellMar>
          <w:top w:w="0" w:type="dxa"/>
          <w:left w:w="108" w:type="dxa"/>
          <w:bottom w:w="0" w:type="dxa"/>
          <w:right w:w="108" w:type="dxa"/>
        </w:tblCellMar>
      </w:tblPr>
      <w:tblGrid>
        <w:gridCol w:w="1977"/>
        <w:gridCol w:w="1836"/>
        <w:gridCol w:w="1832"/>
        <w:gridCol w:w="2301"/>
        <w:gridCol w:w="1676"/>
      </w:tblGrid>
      <w:tr w14:paraId="7597FDDB">
        <w:trPr>
          <w:jc w:val="center"/>
        </w:trPr>
        <w:tc>
          <w:tcPr>
            <w:tcW w:w="2160" w:type="dxa"/>
            <w:shd w:val="clear" w:color="auto" w:fill="1A3A5C"/>
          </w:tcPr>
          <w:p w14:paraId="5BD31ACC">
            <w:pPr>
              <w:jc w:val="center"/>
            </w:pPr>
            <w:r>
              <w:rPr>
                <w:b/>
                <w:color w:val="FFFFFF"/>
                <w:sz w:val="20"/>
              </w:rPr>
              <w:t>Credit State</w:t>
            </w:r>
          </w:p>
        </w:tc>
        <w:tc>
          <w:tcPr>
            <w:tcW w:w="2016" w:type="dxa"/>
            <w:shd w:val="clear" w:color="auto" w:fill="1A3A5C"/>
          </w:tcPr>
          <w:p w14:paraId="3F64A7A6">
            <w:pPr>
              <w:jc w:val="center"/>
            </w:pPr>
            <w:r>
              <w:rPr>
                <w:b/>
                <w:color w:val="FFFFFF"/>
                <w:sz w:val="20"/>
              </w:rPr>
              <w:t>Annual Hazard λ</w:t>
            </w:r>
          </w:p>
        </w:tc>
        <w:tc>
          <w:tcPr>
            <w:tcW w:w="2016" w:type="dxa"/>
            <w:shd w:val="clear" w:color="auto" w:fill="1A3A5C"/>
          </w:tcPr>
          <w:p w14:paraId="41B63F43">
            <w:pPr>
              <w:jc w:val="center"/>
            </w:pPr>
            <w:r>
              <w:rPr>
                <w:b/>
                <w:color w:val="FFFFFF"/>
                <w:sz w:val="20"/>
              </w:rPr>
              <w:t>P(early repay)</w:t>
            </w:r>
          </w:p>
        </w:tc>
        <w:tc>
          <w:tcPr>
            <w:tcW w:w="2592" w:type="dxa"/>
            <w:shd w:val="clear" w:color="auto" w:fill="1A3A5C"/>
          </w:tcPr>
          <w:p w14:paraId="3753C59A">
            <w:pPr>
              <w:jc w:val="center"/>
            </w:pPr>
            <w:r>
              <w:rPr>
                <w:b/>
                <w:color w:val="FFFFFF"/>
                <w:sz w:val="20"/>
              </w:rPr>
              <w:t>Mean Term (days)</w:t>
            </w:r>
          </w:p>
        </w:tc>
        <w:tc>
          <w:tcPr>
            <w:tcW w:w="1872" w:type="dxa"/>
            <w:shd w:val="clear" w:color="auto" w:fill="1A3A5C"/>
          </w:tcPr>
          <w:p w14:paraId="58077E50">
            <w:pPr>
              <w:jc w:val="center"/>
            </w:pPr>
            <w:r>
              <w:rPr>
                <w:b/>
                <w:color w:val="FFFFFF"/>
                <w:sz w:val="20"/>
              </w:rPr>
              <w:t>σ_ln</w:t>
            </w:r>
          </w:p>
        </w:tc>
      </w:tr>
      <w:tr w14:paraId="530FB7B9">
        <w:trPr>
          <w:jc w:val="center"/>
        </w:trPr>
        <w:tc>
          <w:tcPr>
            <w:tcW w:w="1881" w:type="dxa"/>
            <w:shd w:val="clear" w:color="auto" w:fill="F2F2F2"/>
          </w:tcPr>
          <w:p w14:paraId="707DBB25">
            <w:pPr>
              <w:jc w:val="center"/>
            </w:pPr>
            <w:r>
              <w:rPr>
                <w:sz w:val="20"/>
              </w:rPr>
              <w:t>Excellent</w:t>
            </w:r>
          </w:p>
        </w:tc>
        <w:tc>
          <w:tcPr>
            <w:tcW w:w="1881" w:type="dxa"/>
            <w:shd w:val="clear" w:color="auto" w:fill="F2F2F2"/>
          </w:tcPr>
          <w:p w14:paraId="75E8D5A8">
            <w:pPr>
              <w:jc w:val="center"/>
            </w:pPr>
            <w:r>
              <w:rPr>
                <w:sz w:val="20"/>
              </w:rPr>
              <w:t>1.5%</w:t>
            </w:r>
          </w:p>
        </w:tc>
        <w:tc>
          <w:tcPr>
            <w:tcW w:w="1881" w:type="dxa"/>
            <w:shd w:val="clear" w:color="auto" w:fill="F2F2F2"/>
          </w:tcPr>
          <w:p w14:paraId="4DBF09AE">
            <w:pPr>
              <w:jc w:val="center"/>
            </w:pPr>
            <w:r>
              <w:rPr>
                <w:sz w:val="20"/>
              </w:rPr>
              <w:t>0.40</w:t>
            </w:r>
          </w:p>
        </w:tc>
        <w:tc>
          <w:tcPr>
            <w:tcW w:w="1881" w:type="dxa"/>
            <w:shd w:val="clear" w:color="auto" w:fill="F2F2F2"/>
          </w:tcPr>
          <w:p w14:paraId="4BFEF095">
            <w:pPr>
              <w:jc w:val="center"/>
            </w:pPr>
            <w:r>
              <w:rPr>
                <w:sz w:val="20"/>
              </w:rPr>
              <w:t>45</w:t>
            </w:r>
          </w:p>
        </w:tc>
        <w:tc>
          <w:tcPr>
            <w:tcW w:w="1881" w:type="dxa"/>
            <w:shd w:val="clear" w:color="auto" w:fill="F2F2F2"/>
          </w:tcPr>
          <w:p w14:paraId="4176A973">
            <w:pPr>
              <w:jc w:val="center"/>
            </w:pPr>
            <w:r>
              <w:rPr>
                <w:sz w:val="20"/>
              </w:rPr>
              <w:t>0.30</w:t>
            </w:r>
          </w:p>
        </w:tc>
      </w:tr>
      <w:tr w14:paraId="685E9286">
        <w:trPr>
          <w:jc w:val="center"/>
        </w:trPr>
        <w:tc>
          <w:tcPr>
            <w:tcW w:w="1881" w:type="dxa"/>
            <w:shd w:val="clear" w:color="auto" w:fill="FFFFFF"/>
          </w:tcPr>
          <w:p w14:paraId="6F2DFA0A">
            <w:pPr>
              <w:jc w:val="center"/>
            </w:pPr>
            <w:r>
              <w:rPr>
                <w:sz w:val="20"/>
              </w:rPr>
              <w:t>Good</w:t>
            </w:r>
          </w:p>
        </w:tc>
        <w:tc>
          <w:tcPr>
            <w:tcW w:w="1881" w:type="dxa"/>
            <w:shd w:val="clear" w:color="auto" w:fill="FFFFFF"/>
          </w:tcPr>
          <w:p w14:paraId="0D1EDDF8">
            <w:pPr>
              <w:jc w:val="center"/>
            </w:pPr>
            <w:r>
              <w:rPr>
                <w:sz w:val="20"/>
              </w:rPr>
              <w:t>4.0%</w:t>
            </w:r>
          </w:p>
        </w:tc>
        <w:tc>
          <w:tcPr>
            <w:tcW w:w="1881" w:type="dxa"/>
            <w:shd w:val="clear" w:color="auto" w:fill="FFFFFF"/>
          </w:tcPr>
          <w:p w14:paraId="450F8D8D">
            <w:pPr>
              <w:jc w:val="center"/>
            </w:pPr>
            <w:r>
              <w:rPr>
                <w:sz w:val="20"/>
              </w:rPr>
              <w:t>0.25</w:t>
            </w:r>
          </w:p>
        </w:tc>
        <w:tc>
          <w:tcPr>
            <w:tcW w:w="1881" w:type="dxa"/>
            <w:shd w:val="clear" w:color="auto" w:fill="FFFFFF"/>
          </w:tcPr>
          <w:p w14:paraId="5648F311">
            <w:pPr>
              <w:jc w:val="center"/>
            </w:pPr>
            <w:r>
              <w:rPr>
                <w:sz w:val="20"/>
              </w:rPr>
              <w:t>60</w:t>
            </w:r>
          </w:p>
        </w:tc>
        <w:tc>
          <w:tcPr>
            <w:tcW w:w="1881" w:type="dxa"/>
            <w:shd w:val="clear" w:color="auto" w:fill="FFFFFF"/>
          </w:tcPr>
          <w:p w14:paraId="7A3364C6">
            <w:pPr>
              <w:jc w:val="center"/>
            </w:pPr>
            <w:r>
              <w:rPr>
                <w:sz w:val="20"/>
              </w:rPr>
              <w:t>0.35</w:t>
            </w:r>
          </w:p>
        </w:tc>
      </w:tr>
      <w:tr w14:paraId="099982DB">
        <w:trPr>
          <w:jc w:val="center"/>
        </w:trPr>
        <w:tc>
          <w:tcPr>
            <w:tcW w:w="1881" w:type="dxa"/>
            <w:shd w:val="clear" w:color="auto" w:fill="F2F2F2"/>
          </w:tcPr>
          <w:p w14:paraId="76A3C7E9">
            <w:pPr>
              <w:jc w:val="center"/>
            </w:pPr>
            <w:r>
              <w:rPr>
                <w:sz w:val="20"/>
              </w:rPr>
              <w:t>Fair</w:t>
            </w:r>
          </w:p>
        </w:tc>
        <w:tc>
          <w:tcPr>
            <w:tcW w:w="1881" w:type="dxa"/>
            <w:shd w:val="clear" w:color="auto" w:fill="F2F2F2"/>
          </w:tcPr>
          <w:p w14:paraId="01354D67">
            <w:pPr>
              <w:jc w:val="center"/>
            </w:pPr>
            <w:r>
              <w:rPr>
                <w:sz w:val="20"/>
              </w:rPr>
              <w:t>10.0%</w:t>
            </w:r>
          </w:p>
        </w:tc>
        <w:tc>
          <w:tcPr>
            <w:tcW w:w="1881" w:type="dxa"/>
            <w:shd w:val="clear" w:color="auto" w:fill="F2F2F2"/>
          </w:tcPr>
          <w:p w14:paraId="5848E01C">
            <w:pPr>
              <w:jc w:val="center"/>
            </w:pPr>
            <w:r>
              <w:rPr>
                <w:sz w:val="20"/>
              </w:rPr>
              <w:t>0.15</w:t>
            </w:r>
          </w:p>
        </w:tc>
        <w:tc>
          <w:tcPr>
            <w:tcW w:w="1881" w:type="dxa"/>
            <w:shd w:val="clear" w:color="auto" w:fill="F2F2F2"/>
          </w:tcPr>
          <w:p w14:paraId="21D3EABB">
            <w:pPr>
              <w:jc w:val="center"/>
            </w:pPr>
            <w:r>
              <w:rPr>
                <w:sz w:val="20"/>
              </w:rPr>
              <w:t>75</w:t>
            </w:r>
          </w:p>
        </w:tc>
        <w:tc>
          <w:tcPr>
            <w:tcW w:w="1881" w:type="dxa"/>
            <w:shd w:val="clear" w:color="auto" w:fill="F2F2F2"/>
          </w:tcPr>
          <w:p w14:paraId="59CA4ACD">
            <w:pPr>
              <w:jc w:val="center"/>
            </w:pPr>
            <w:r>
              <w:rPr>
                <w:sz w:val="20"/>
              </w:rPr>
              <w:t>0.40</w:t>
            </w:r>
          </w:p>
        </w:tc>
      </w:tr>
      <w:tr w14:paraId="14B00CC8">
        <w:trPr>
          <w:jc w:val="center"/>
        </w:trPr>
        <w:tc>
          <w:tcPr>
            <w:tcW w:w="1881" w:type="dxa"/>
            <w:shd w:val="clear" w:color="auto" w:fill="FFFFFF"/>
          </w:tcPr>
          <w:p w14:paraId="61BB3A70">
            <w:pPr>
              <w:jc w:val="center"/>
            </w:pPr>
            <w:r>
              <w:rPr>
                <w:sz w:val="20"/>
              </w:rPr>
              <w:t>Poor</w:t>
            </w:r>
          </w:p>
        </w:tc>
        <w:tc>
          <w:tcPr>
            <w:tcW w:w="1881" w:type="dxa"/>
            <w:shd w:val="clear" w:color="auto" w:fill="FFFFFF"/>
          </w:tcPr>
          <w:p w14:paraId="0A45E997">
            <w:pPr>
              <w:jc w:val="center"/>
            </w:pPr>
            <w:r>
              <w:rPr>
                <w:sz w:val="20"/>
              </w:rPr>
              <w:t>22.0%</w:t>
            </w:r>
          </w:p>
        </w:tc>
        <w:tc>
          <w:tcPr>
            <w:tcW w:w="1881" w:type="dxa"/>
            <w:shd w:val="clear" w:color="auto" w:fill="FFFFFF"/>
          </w:tcPr>
          <w:p w14:paraId="1A8F1D95">
            <w:pPr>
              <w:jc w:val="center"/>
            </w:pPr>
            <w:r>
              <w:rPr>
                <w:sz w:val="20"/>
              </w:rPr>
              <w:t>0.08</w:t>
            </w:r>
          </w:p>
        </w:tc>
        <w:tc>
          <w:tcPr>
            <w:tcW w:w="1881" w:type="dxa"/>
            <w:shd w:val="clear" w:color="auto" w:fill="FFFFFF"/>
          </w:tcPr>
          <w:p w14:paraId="01E6039F">
            <w:pPr>
              <w:jc w:val="center"/>
            </w:pPr>
            <w:r>
              <w:rPr>
                <w:sz w:val="20"/>
              </w:rPr>
              <w:t>90</w:t>
            </w:r>
          </w:p>
        </w:tc>
        <w:tc>
          <w:tcPr>
            <w:tcW w:w="1881" w:type="dxa"/>
            <w:shd w:val="clear" w:color="auto" w:fill="FFFFFF"/>
          </w:tcPr>
          <w:p w14:paraId="66A15FE8">
            <w:pPr>
              <w:jc w:val="center"/>
            </w:pPr>
            <w:r>
              <w:rPr>
                <w:sz w:val="20"/>
              </w:rPr>
              <w:t>0.45</w:t>
            </w:r>
          </w:p>
        </w:tc>
      </w:tr>
    </w:tbl>
    <w:p w14:paraId="3203980B"/>
    <w:p w14:paraId="19BB8EE1">
      <w:pPr>
        <w:spacing w:after="120"/>
        <w:jc w:val="left"/>
      </w:pPr>
      <w:r>
        <w:rPr>
          <w:b w:val="0"/>
          <w:i w:val="0"/>
          <w:sz w:val="21"/>
        </w:rPr>
        <w:t>Annual hazard rates span one order of magnitude from Excellent to Poor, reflecting the steep non-linearity of credit risk. Poor-state customers have a 22% annualised default probability — under a 90-day term this translates to roughly 5.4% per-extension default probability, which is the primary reason 24.8% of eligible Poor customers are not offered extensions.</w:t>
      </w:r>
    </w:p>
    <w:p w14:paraId="4C45C92D">
      <w:r>
        <w:br w:type="page"/>
      </w:r>
    </w:p>
    <w:p w14:paraId="40D7AF8D">
      <w:pPr>
        <w:pStyle w:val="2"/>
        <w:spacing w:before="280" w:after="80"/>
      </w:pPr>
      <w:r>
        <w:rPr>
          <w:b/>
          <w:color w:val="1A3A5C"/>
          <w:sz w:val="32"/>
        </w:rPr>
        <w:t>6. Macro-Economic Enrichment</w:t>
      </w:r>
    </w:p>
    <w:p w14:paraId="01F5A791">
      <w:pPr>
        <w:spacing w:after="120"/>
        <w:jc w:val="left"/>
      </w:pPr>
      <w:r>
        <w:rPr>
          <w:b w:val="0"/>
          <w:i w:val="0"/>
          <w:sz w:val="21"/>
        </w:rPr>
        <w:t>A single MACRO_SCENARIOS constant captures three economic environments. The baseline scenario is used for the primary optimisation run; adverse and optimistic scenarios feed the sensitivity analysis (Section 12).</w:t>
      </w:r>
    </w:p>
    <w:tbl>
      <w:tblPr>
        <w:tblStyle w:val="12"/>
        <w:tblW w:w="0" w:type="auto"/>
        <w:jc w:val="center"/>
        <w:tblLayout w:type="autofit"/>
        <w:tblCellMar>
          <w:top w:w="0" w:type="dxa"/>
          <w:left w:w="108" w:type="dxa"/>
          <w:bottom w:w="0" w:type="dxa"/>
          <w:right w:w="108" w:type="dxa"/>
        </w:tblCellMar>
      </w:tblPr>
      <w:tblGrid>
        <w:gridCol w:w="1864"/>
        <w:gridCol w:w="1717"/>
        <w:gridCol w:w="2075"/>
        <w:gridCol w:w="2287"/>
        <w:gridCol w:w="1679"/>
      </w:tblGrid>
      <w:tr w14:paraId="0B2F8D43">
        <w:trPr>
          <w:jc w:val="center"/>
        </w:trPr>
        <w:tc>
          <w:tcPr>
            <w:tcW w:w="2016" w:type="dxa"/>
            <w:shd w:val="clear" w:color="auto" w:fill="1A3A5C"/>
          </w:tcPr>
          <w:p w14:paraId="4511B94D">
            <w:pPr>
              <w:jc w:val="center"/>
            </w:pPr>
            <w:r>
              <w:rPr>
                <w:b/>
                <w:color w:val="FFFFFF"/>
                <w:sz w:val="20"/>
              </w:rPr>
              <w:t>Scenario</w:t>
            </w:r>
          </w:p>
        </w:tc>
        <w:tc>
          <w:tcPr>
            <w:tcW w:w="1872" w:type="dxa"/>
            <w:shd w:val="clear" w:color="auto" w:fill="1A3A5C"/>
          </w:tcPr>
          <w:p w14:paraId="3506EBAA">
            <w:pPr>
              <w:jc w:val="center"/>
            </w:pPr>
            <w:r>
              <w:rPr>
                <w:b/>
                <w:color w:val="FFFFFF"/>
                <w:sz w:val="20"/>
              </w:rPr>
              <w:t>GDP Growth</w:t>
            </w:r>
          </w:p>
        </w:tc>
        <w:tc>
          <w:tcPr>
            <w:tcW w:w="2160" w:type="dxa"/>
            <w:shd w:val="clear" w:color="auto" w:fill="1A3A5C"/>
          </w:tcPr>
          <w:p w14:paraId="214027A8">
            <w:pPr>
              <w:jc w:val="center"/>
            </w:pPr>
            <w:r>
              <w:rPr>
                <w:b/>
                <w:color w:val="FFFFFF"/>
                <w:sz w:val="20"/>
              </w:rPr>
              <w:t>Unemployment</w:t>
            </w:r>
          </w:p>
        </w:tc>
        <w:tc>
          <w:tcPr>
            <w:tcW w:w="2592" w:type="dxa"/>
            <w:shd w:val="clear" w:color="auto" w:fill="1A3A5C"/>
          </w:tcPr>
          <w:p w14:paraId="45F16864">
            <w:pPr>
              <w:jc w:val="center"/>
            </w:pPr>
            <w:r>
              <w:rPr>
                <w:b/>
                <w:color w:val="FFFFFF"/>
                <w:sz w:val="20"/>
              </w:rPr>
              <w:t>Fed Funds Rate</w:t>
            </w:r>
          </w:p>
        </w:tc>
        <w:tc>
          <w:tcPr>
            <w:tcW w:w="1440" w:type="dxa"/>
            <w:shd w:val="clear" w:color="auto" w:fill="1A3A5C"/>
          </w:tcPr>
          <w:p w14:paraId="5F344CE2">
            <w:pPr>
              <w:jc w:val="center"/>
            </w:pPr>
            <w:r>
              <w:rPr>
                <w:b/>
                <w:color w:val="FFFFFF"/>
                <w:sz w:val="20"/>
              </w:rPr>
              <w:t>CPI</w:t>
            </w:r>
          </w:p>
        </w:tc>
      </w:tr>
      <w:tr w14:paraId="24CB606D">
        <w:trPr>
          <w:jc w:val="center"/>
        </w:trPr>
        <w:tc>
          <w:tcPr>
            <w:tcW w:w="1881" w:type="dxa"/>
            <w:shd w:val="clear" w:color="auto" w:fill="F2F2F2"/>
          </w:tcPr>
          <w:p w14:paraId="54EA609B">
            <w:pPr>
              <w:jc w:val="center"/>
            </w:pPr>
            <w:r>
              <w:rPr>
                <w:sz w:val="20"/>
              </w:rPr>
              <w:t>Optimistic</w:t>
            </w:r>
          </w:p>
        </w:tc>
        <w:tc>
          <w:tcPr>
            <w:tcW w:w="1881" w:type="dxa"/>
            <w:shd w:val="clear" w:color="auto" w:fill="F2F2F2"/>
          </w:tcPr>
          <w:p w14:paraId="0CCB293F">
            <w:pPr>
              <w:jc w:val="center"/>
            </w:pPr>
            <w:r>
              <w:rPr>
                <w:sz w:val="20"/>
              </w:rPr>
              <w:t>3.5%</w:t>
            </w:r>
          </w:p>
        </w:tc>
        <w:tc>
          <w:tcPr>
            <w:tcW w:w="1881" w:type="dxa"/>
            <w:shd w:val="clear" w:color="auto" w:fill="F2F2F2"/>
          </w:tcPr>
          <w:p w14:paraId="29AF13DB">
            <w:pPr>
              <w:jc w:val="center"/>
            </w:pPr>
            <w:r>
              <w:rPr>
                <w:sz w:val="20"/>
              </w:rPr>
              <w:t>3.5%</w:t>
            </w:r>
          </w:p>
        </w:tc>
        <w:tc>
          <w:tcPr>
            <w:tcW w:w="1881" w:type="dxa"/>
            <w:shd w:val="clear" w:color="auto" w:fill="F2F2F2"/>
          </w:tcPr>
          <w:p w14:paraId="10C82E6B">
            <w:pPr>
              <w:jc w:val="center"/>
            </w:pPr>
            <w:r>
              <w:rPr>
                <w:sz w:val="20"/>
              </w:rPr>
              <w:t>4.0%</w:t>
            </w:r>
          </w:p>
        </w:tc>
        <w:tc>
          <w:tcPr>
            <w:tcW w:w="1881" w:type="dxa"/>
            <w:shd w:val="clear" w:color="auto" w:fill="F2F2F2"/>
          </w:tcPr>
          <w:p w14:paraId="68789290">
            <w:pPr>
              <w:jc w:val="center"/>
            </w:pPr>
            <w:r>
              <w:rPr>
                <w:sz w:val="20"/>
              </w:rPr>
              <w:t>2.5%</w:t>
            </w:r>
          </w:p>
        </w:tc>
      </w:tr>
      <w:tr w14:paraId="6B73CD7D">
        <w:trPr>
          <w:jc w:val="center"/>
        </w:trPr>
        <w:tc>
          <w:tcPr>
            <w:tcW w:w="1881" w:type="dxa"/>
            <w:shd w:val="clear" w:color="auto" w:fill="FFFFFF"/>
          </w:tcPr>
          <w:p w14:paraId="08FBA03A">
            <w:pPr>
              <w:jc w:val="center"/>
            </w:pPr>
            <w:r>
              <w:rPr>
                <w:sz w:val="20"/>
              </w:rPr>
              <w:t>Baseline</w:t>
            </w:r>
          </w:p>
        </w:tc>
        <w:tc>
          <w:tcPr>
            <w:tcW w:w="1881" w:type="dxa"/>
            <w:shd w:val="clear" w:color="auto" w:fill="FFFFFF"/>
          </w:tcPr>
          <w:p w14:paraId="3E53FDC6">
            <w:pPr>
              <w:jc w:val="center"/>
            </w:pPr>
            <w:r>
              <w:rPr>
                <w:sz w:val="20"/>
              </w:rPr>
              <w:t>2.5%</w:t>
            </w:r>
          </w:p>
        </w:tc>
        <w:tc>
          <w:tcPr>
            <w:tcW w:w="1881" w:type="dxa"/>
            <w:shd w:val="clear" w:color="auto" w:fill="FFFFFF"/>
          </w:tcPr>
          <w:p w14:paraId="04CB0588">
            <w:pPr>
              <w:jc w:val="center"/>
            </w:pPr>
            <w:r>
              <w:rPr>
                <w:sz w:val="20"/>
              </w:rPr>
              <w:t>4.0%</w:t>
            </w:r>
          </w:p>
        </w:tc>
        <w:tc>
          <w:tcPr>
            <w:tcW w:w="1881" w:type="dxa"/>
            <w:shd w:val="clear" w:color="auto" w:fill="FFFFFF"/>
          </w:tcPr>
          <w:p w14:paraId="1A88F0CA">
            <w:pPr>
              <w:jc w:val="center"/>
            </w:pPr>
            <w:r>
              <w:rPr>
                <w:sz w:val="20"/>
              </w:rPr>
              <w:t>5.0%</w:t>
            </w:r>
          </w:p>
        </w:tc>
        <w:tc>
          <w:tcPr>
            <w:tcW w:w="1881" w:type="dxa"/>
            <w:shd w:val="clear" w:color="auto" w:fill="FFFFFF"/>
          </w:tcPr>
          <w:p w14:paraId="4D1869A4">
            <w:pPr>
              <w:jc w:val="center"/>
            </w:pPr>
            <w:r>
              <w:rPr>
                <w:sz w:val="20"/>
              </w:rPr>
              <w:t>3.5%</w:t>
            </w:r>
          </w:p>
        </w:tc>
      </w:tr>
      <w:tr w14:paraId="75A3341A">
        <w:trPr>
          <w:jc w:val="center"/>
        </w:trPr>
        <w:tc>
          <w:tcPr>
            <w:tcW w:w="1881" w:type="dxa"/>
            <w:shd w:val="clear" w:color="auto" w:fill="F2F2F2"/>
          </w:tcPr>
          <w:p w14:paraId="4F4037F5">
            <w:pPr>
              <w:jc w:val="center"/>
            </w:pPr>
            <w:r>
              <w:rPr>
                <w:sz w:val="20"/>
              </w:rPr>
              <w:t>Adverse</w:t>
            </w:r>
          </w:p>
        </w:tc>
        <w:tc>
          <w:tcPr>
            <w:tcW w:w="1881" w:type="dxa"/>
            <w:shd w:val="clear" w:color="auto" w:fill="F2F2F2"/>
          </w:tcPr>
          <w:p w14:paraId="2C448DC8">
            <w:pPr>
              <w:jc w:val="center"/>
            </w:pPr>
            <w:r>
              <w:rPr>
                <w:sz w:val="20"/>
              </w:rPr>
              <w:t>0.5%</w:t>
            </w:r>
          </w:p>
        </w:tc>
        <w:tc>
          <w:tcPr>
            <w:tcW w:w="1881" w:type="dxa"/>
            <w:shd w:val="clear" w:color="auto" w:fill="F2F2F2"/>
          </w:tcPr>
          <w:p w14:paraId="7FDD2D3B">
            <w:pPr>
              <w:jc w:val="center"/>
            </w:pPr>
            <w:r>
              <w:rPr>
                <w:sz w:val="20"/>
              </w:rPr>
              <w:t>5.5%</w:t>
            </w:r>
          </w:p>
        </w:tc>
        <w:tc>
          <w:tcPr>
            <w:tcW w:w="1881" w:type="dxa"/>
            <w:shd w:val="clear" w:color="auto" w:fill="F2F2F2"/>
          </w:tcPr>
          <w:p w14:paraId="2A840E06">
            <w:pPr>
              <w:jc w:val="center"/>
            </w:pPr>
            <w:r>
              <w:rPr>
                <w:sz w:val="20"/>
              </w:rPr>
              <w:t>6.0%</w:t>
            </w:r>
          </w:p>
        </w:tc>
        <w:tc>
          <w:tcPr>
            <w:tcW w:w="1881" w:type="dxa"/>
            <w:shd w:val="clear" w:color="auto" w:fill="F2F2F2"/>
          </w:tcPr>
          <w:p w14:paraId="1E3E6548">
            <w:pPr>
              <w:jc w:val="center"/>
            </w:pPr>
            <w:r>
              <w:rPr>
                <w:sz w:val="20"/>
              </w:rPr>
              <w:t>5.0%</w:t>
            </w:r>
          </w:p>
        </w:tc>
      </w:tr>
    </w:tbl>
    <w:p w14:paraId="203D256D"/>
    <w:p w14:paraId="42B852B8">
      <w:pPr>
        <w:spacing w:after="120"/>
        <w:jc w:val="left"/>
      </w:pPr>
      <w:r>
        <w:rPr>
          <w:b w:val="0"/>
          <w:i w:val="0"/>
          <w:sz w:val="21"/>
        </w:rPr>
        <w:t>The macro scenario modifies two model inputs before simulation:</w:t>
      </w:r>
    </w:p>
    <w:p w14:paraId="35DA80AD">
      <w:pPr>
        <w:pStyle w:val="23"/>
        <w:spacing w:after="60"/>
        <w:ind w:left="360"/>
      </w:pPr>
      <w:r>
        <w:rPr>
          <w:sz w:val="21"/>
        </w:rPr>
        <w:t>Hazard rate adjustment: adverse scenario increases per-state λ by a drift factor derived from unemployment spread vs baseline</w:t>
      </w:r>
    </w:p>
    <w:p w14:paraId="0B9B433E">
      <w:pPr>
        <w:pStyle w:val="23"/>
        <w:spacing w:after="60"/>
        <w:ind w:left="360"/>
      </w:pPr>
      <w:r>
        <w:rPr>
          <w:sz w:val="21"/>
        </w:rPr>
        <w:t>Term distribution shift: higher rates (adverse) shorten expected term as customers seek to repay faster; lower rates (optimistic) allow longer extension comfort</w:t>
      </w:r>
    </w:p>
    <w:p w14:paraId="23553DE8">
      <w:pPr>
        <w:pStyle w:val="23"/>
        <w:spacing w:after="60"/>
        <w:ind w:left="360"/>
      </w:pPr>
      <w:r>
        <w:rPr>
          <w:sz w:val="21"/>
        </w:rPr>
        <w:t>GBM drift adjustment: optimistic macro lifts GBM drift (μ) for uptake; adverse depresses it</w:t>
      </w:r>
    </w:p>
    <w:p w14:paraId="21E7D1C6">
      <w:pPr>
        <w:pStyle w:val="23"/>
        <w:spacing w:after="60"/>
        <w:ind w:left="360"/>
      </w:pPr>
      <w:r>
        <w:rPr>
          <w:sz w:val="21"/>
        </w:rPr>
        <w:t>Portfolio risk cap: tightened to 4.5% under adverse, relaxed to 5.5% under optimistic</w:t>
      </w:r>
    </w:p>
    <w:p w14:paraId="4E653670">
      <w:pPr>
        <w:spacing w:after="120"/>
        <w:jc w:val="left"/>
      </w:pPr>
      <w:r>
        <w:rPr>
          <w:b w:val="0"/>
          <w:i w:val="0"/>
          <w:sz w:val="21"/>
        </w:rPr>
        <w:t>This design concentrates all macro assumptions in one place, making scenario swaps a single constant change rather than scattered parameter edits throughout the notebook.</w:t>
      </w:r>
    </w:p>
    <w:p w14:paraId="2192A399">
      <w:r>
        <w:br w:type="page"/>
      </w:r>
    </w:p>
    <w:p w14:paraId="6795DFA6">
      <w:pPr>
        <w:pStyle w:val="2"/>
        <w:spacing w:before="280" w:after="80"/>
      </w:pPr>
      <w:r>
        <w:rPr>
          <w:b/>
          <w:color w:val="1A3A5C"/>
          <w:sz w:val="32"/>
        </w:rPr>
        <w:t>7. Variable Term &amp; Hazard-Rate Default Model</w:t>
      </w:r>
    </w:p>
    <w:p w14:paraId="7F3D41D5">
      <w:pPr>
        <w:pStyle w:val="3"/>
        <w:spacing w:before="280" w:after="80"/>
      </w:pPr>
      <w:r>
        <w:rPr>
          <w:b/>
          <w:color w:val="2E74B5"/>
          <w:sz w:val="26"/>
        </w:rPr>
        <w:t>7.1  Stochastic Term Length</w:t>
      </w:r>
    </w:p>
    <w:p w14:paraId="26DA9AA8">
      <w:pPr>
        <w:spacing w:after="120"/>
        <w:jc w:val="left"/>
      </w:pPr>
      <w:r>
        <w:rPr>
          <w:b w:val="0"/>
          <w:i w:val="0"/>
          <w:sz w:val="21"/>
        </w:rPr>
        <w:t>Each customer's extension term T is drawn from a LogNormal distribution calibrated to the customer's credit state. LogNormal is chosen because:</w:t>
      </w:r>
    </w:p>
    <w:p w14:paraId="3CF00B23">
      <w:pPr>
        <w:pStyle w:val="23"/>
        <w:spacing w:after="60"/>
        <w:ind w:left="360"/>
      </w:pPr>
      <w:r>
        <w:rPr>
          <w:sz w:val="21"/>
        </w:rPr>
        <w:t>Terms are strictly positive (no negative or zero durations)</w:t>
      </w:r>
    </w:p>
    <w:p w14:paraId="2335EA3E">
      <w:pPr>
        <w:pStyle w:val="23"/>
        <w:spacing w:after="60"/>
        <w:ind w:left="360"/>
      </w:pPr>
      <w:r>
        <w:rPr>
          <w:sz w:val="21"/>
        </w:rPr>
        <w:t>The distribution is right-skewed — a minority of customers negotiate very long extensions, consistent with empirical loan data</w:t>
      </w:r>
    </w:p>
    <w:p w14:paraId="27CD4538">
      <w:pPr>
        <w:pStyle w:val="23"/>
        <w:spacing w:after="60"/>
        <w:ind w:left="360"/>
      </w:pPr>
      <w:r>
        <w:rPr>
          <w:sz w:val="21"/>
        </w:rPr>
        <w:t>Parameters are interpretable: μ_ln controls the median, σ_ln controls spread</w:t>
      </w:r>
    </w:p>
    <w:p w14:paraId="219A6557">
      <w:pPr>
        <w:spacing w:before="80" w:after="80"/>
        <w:jc w:val="center"/>
      </w:pPr>
      <w:r>
        <w:rPr>
          <w:rFonts w:ascii="Courier New" w:hAnsi="Courier New"/>
          <w:color w:val="1A3A5C"/>
          <w:sz w:val="21"/>
        </w:rPr>
        <w:t>T_i  ~  LogNormal(μ_ln_s,  σ_ln_s),  clipped to [30, 180] days</w:t>
      </w:r>
    </w:p>
    <w:p w14:paraId="13C20A5E">
      <w:pPr>
        <w:spacing w:before="80" w:after="80"/>
        <w:jc w:val="center"/>
      </w:pPr>
      <w:r>
        <w:rPr>
          <w:rFonts w:ascii="Courier New" w:hAnsi="Courier New"/>
          <w:color w:val="1A3A5C"/>
          <w:sz w:val="21"/>
        </w:rPr>
        <w:t>where  μ_ln_s  =  log(mean_term_s) − ½ · σ_ln_s²</w:t>
      </w:r>
    </w:p>
    <w:p w14:paraId="06FEE46D">
      <w:pPr>
        <w:spacing w:after="120"/>
        <w:jc w:val="left"/>
      </w:pPr>
      <w:r>
        <w:rPr>
          <w:b w:val="0"/>
          <w:i w:val="0"/>
          <w:sz w:val="21"/>
        </w:rPr>
        <w:t>The clip [30, 180] enforces business constraints: no extension shorter than one month and no extension beyond six months. Excellent customers cluster near 45 days; Poor customers near 90 days, reflecting longer repayment timelines for stressed accounts.</w:t>
      </w:r>
    </w:p>
    <w:p w14:paraId="0E51DE6E">
      <w:pPr>
        <w:pStyle w:val="3"/>
        <w:spacing w:before="280" w:after="80"/>
      </w:pPr>
      <w:r>
        <w:rPr>
          <w:b/>
          <w:color w:val="2E74B5"/>
          <w:sz w:val="26"/>
        </w:rPr>
        <w:t>7.2  Hazard-Rate Default Model</w:t>
      </w:r>
    </w:p>
    <w:p w14:paraId="6D9FE022">
      <w:pPr>
        <w:spacing w:after="120"/>
        <w:jc w:val="left"/>
      </w:pPr>
      <w:r>
        <w:rPr>
          <w:b w:val="0"/>
          <w:i w:val="0"/>
          <w:sz w:val="21"/>
        </w:rPr>
        <w:t>Given a term length T, the probability of default is derived from a constant hazard rate (exponential survival model):</w:t>
      </w:r>
    </w:p>
    <w:p w14:paraId="01D17E2E">
      <w:pPr>
        <w:spacing w:before="80" w:after="80"/>
        <w:jc w:val="center"/>
      </w:pPr>
      <w:r>
        <w:rPr>
          <w:rFonts w:ascii="Courier New" w:hAnsi="Courier New"/>
          <w:color w:val="1A3A5C"/>
          <w:sz w:val="21"/>
        </w:rPr>
        <w:t>P(default | T)  =  1  −  exp(−λ_s · T / 365)</w:t>
      </w:r>
    </w:p>
    <w:p w14:paraId="01A0509E">
      <w:pPr>
        <w:spacing w:after="120"/>
        <w:jc w:val="left"/>
      </w:pPr>
      <w:r>
        <w:rPr>
          <w:b w:val="0"/>
          <w:i w:val="0"/>
          <w:sz w:val="21"/>
        </w:rPr>
        <w:t>Key properties of this model:</w:t>
      </w:r>
    </w:p>
    <w:p w14:paraId="69227362">
      <w:pPr>
        <w:pStyle w:val="23"/>
        <w:spacing w:after="60"/>
        <w:ind w:left="360"/>
      </w:pPr>
      <w:r>
        <w:rPr>
          <w:sz w:val="21"/>
        </w:rPr>
        <w:t>Monotonically increasing in T: every additional day adds marginal default risk</w:t>
      </w:r>
    </w:p>
    <w:p w14:paraId="491B95E9">
      <w:pPr>
        <w:pStyle w:val="23"/>
        <w:spacing w:after="60"/>
        <w:ind w:left="360"/>
      </w:pPr>
      <w:r>
        <w:rPr>
          <w:sz w:val="21"/>
        </w:rPr>
        <w:t>λ_s is annual (per-unit-time) — dividing by 365 converts to daily hazard and T/365 gives the fraction of the year the extension runs</w:t>
      </w:r>
    </w:p>
    <w:p w14:paraId="743934AF">
      <w:pPr>
        <w:pStyle w:val="23"/>
        <w:spacing w:after="60"/>
        <w:ind w:left="360"/>
      </w:pPr>
      <w:r>
        <w:rPr>
          <w:sz w:val="21"/>
        </w:rPr>
        <w:t>Constant hazard = memoryless: conditional on surviving to day t, the per-day risk is the same as at day 0 (Markov property)</w:t>
      </w:r>
    </w:p>
    <w:p w14:paraId="04E15DC6">
      <w:pPr>
        <w:pStyle w:val="23"/>
        <w:spacing w:after="60"/>
        <w:ind w:left="360"/>
      </w:pPr>
      <w:r>
        <w:rPr>
          <w:sz w:val="21"/>
        </w:rPr>
        <w:t>Calibration basis: λ values (1.5% / 4% / 10% / 22%) are set to match observed annual charge-off rates for each credit tier</w:t>
      </w:r>
    </w:p>
    <w:p w14:paraId="7315581D">
      <w:pPr>
        <w:pStyle w:val="3"/>
        <w:spacing w:before="280" w:after="80"/>
      </w:pPr>
      <w:r>
        <w:rPr>
          <w:b/>
          <w:color w:val="2E74B5"/>
          <w:sz w:val="26"/>
        </w:rPr>
        <w:t>7.3  Three Repayment Outcomes</w:t>
      </w:r>
    </w:p>
    <w:p w14:paraId="4FE981B9">
      <w:pPr>
        <w:spacing w:after="120"/>
        <w:jc w:val="left"/>
      </w:pPr>
      <w:r>
        <w:rPr>
          <w:b w:val="0"/>
          <w:i w:val="0"/>
          <w:sz w:val="21"/>
        </w:rPr>
        <w:t>The simulation models three mutually exclusive outcomes for each extension:</w:t>
      </w:r>
    </w:p>
    <w:p w14:paraId="208CF526">
      <w:pPr>
        <w:spacing w:before="80" w:after="80"/>
        <w:jc w:val="center"/>
      </w:pPr>
      <w:r>
        <w:rPr>
          <w:rFonts w:ascii="Courier New" w:hAnsi="Courier New"/>
          <w:color w:val="1A3A5C"/>
          <w:sz w:val="21"/>
        </w:rPr>
        <w:t>1. Early repayment:  is_early  ~  Bernoulli(p_early_s)</w:t>
      </w:r>
    </w:p>
    <w:p w14:paraId="4CD934F3">
      <w:pPr>
        <w:spacing w:before="80" w:after="80"/>
        <w:jc w:val="center"/>
      </w:pPr>
      <w:r>
        <w:rPr>
          <w:rFonts w:ascii="Courier New" w:hAnsi="Courier New"/>
          <w:color w:val="1A3A5C"/>
          <w:sz w:val="21"/>
        </w:rPr>
        <w:t>2. Default:          is_default  ~  Bernoulli(P(default|T))  ·  1(¬is_early)</w:t>
      </w:r>
    </w:p>
    <w:p w14:paraId="254B516D">
      <w:pPr>
        <w:spacing w:before="80" w:after="80"/>
        <w:jc w:val="center"/>
      </w:pPr>
      <w:r>
        <w:rPr>
          <w:rFonts w:ascii="Courier New" w:hAnsi="Courier New"/>
          <w:color w:val="1A3A5C"/>
          <w:sz w:val="21"/>
        </w:rPr>
        <w:t>3. On-time:          otherwise</w:t>
      </w:r>
    </w:p>
    <w:p w14:paraId="152F339E">
      <w:pPr>
        <w:spacing w:after="120"/>
        <w:jc w:val="left"/>
      </w:pPr>
      <w:r>
        <w:rPr>
          <w:b w:val="0"/>
          <w:i w:val="0"/>
          <w:sz w:val="21"/>
        </w:rPr>
        <w:t>Early repayment is sampled first. If the customer does not repay early, default is sampled conditional on running the full term. This sequential sampling avoids outcome overlap and correctly reflects that a customer cannot simultaneously default and repay early.</w:t>
      </w:r>
    </w:p>
    <w:p w14:paraId="27348964">
      <w:pPr>
        <w:jc w:val="center"/>
      </w:pPr>
      <w:r>
        <w:drawing>
          <wp:inline distT="0" distB="0" distL="114300" distR="114300">
            <wp:extent cx="5303520" cy="17214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1721515"/>
                    </a:xfrm>
                    <a:prstGeom prst="rect">
                      <a:avLst/>
                    </a:prstGeom>
                  </pic:spPr>
                </pic:pic>
              </a:graphicData>
            </a:graphic>
          </wp:inline>
        </w:drawing>
      </w:r>
    </w:p>
    <w:p w14:paraId="151483BD">
      <w:pPr>
        <w:spacing w:after="200"/>
        <w:jc w:val="center"/>
      </w:pPr>
      <w:r>
        <w:rPr>
          <w:i/>
          <w:color w:val="BFBFBF"/>
          <w:sz w:val="18"/>
        </w:rPr>
        <w:t>Figure 2: Term distribution and repayment outcome mix by credit state</w:t>
      </w:r>
    </w:p>
    <w:p w14:paraId="1D8E268D">
      <w:r>
        <w:br w:type="page"/>
      </w:r>
    </w:p>
    <w:p w14:paraId="362E4DF2">
      <w:pPr>
        <w:pStyle w:val="2"/>
        <w:spacing w:before="280" w:after="80"/>
      </w:pPr>
      <w:r>
        <w:rPr>
          <w:b/>
          <w:color w:val="1A3A5C"/>
          <w:sz w:val="32"/>
        </w:rPr>
        <w:t>8. GBM Uptake Forecast</w:t>
      </w:r>
    </w:p>
    <w:p w14:paraId="5248427D">
      <w:pPr>
        <w:pStyle w:val="3"/>
        <w:spacing w:before="280" w:after="80"/>
      </w:pPr>
      <w:r>
        <w:rPr>
          <w:b/>
          <w:color w:val="2E74B5"/>
          <w:sz w:val="26"/>
        </w:rPr>
        <w:t>8.1  Why Model Uptake?</w:t>
      </w:r>
    </w:p>
    <w:p w14:paraId="69B20560">
      <w:pPr>
        <w:spacing w:after="120"/>
        <w:jc w:val="left"/>
      </w:pPr>
      <w:r>
        <w:rPr>
          <w:b w:val="0"/>
          <w:i w:val="0"/>
          <w:sz w:val="21"/>
        </w:rPr>
        <w:t>Not every customer who is offered a term extension will accept it. A customer who declines generates no revenue and consumes no risk budget. The LP should therefore prefer extensions where both profitability AND uptake probability are high. Without uptake weighting, the optimiser would grant extensions to high-profit customers who rarely accept — inflating projected revenue.</w:t>
      </w:r>
    </w:p>
    <w:p w14:paraId="5BC6C237">
      <w:pPr>
        <w:pStyle w:val="3"/>
        <w:spacing w:before="280" w:after="80"/>
      </w:pPr>
      <w:r>
        <w:rPr>
          <w:b/>
          <w:color w:val="2E74B5"/>
          <w:sz w:val="26"/>
        </w:rPr>
        <w:t>8.2  Geometric Brownian Motion Model</w:t>
      </w:r>
    </w:p>
    <w:p w14:paraId="506A08E6">
      <w:pPr>
        <w:spacing w:after="120"/>
        <w:jc w:val="left"/>
      </w:pPr>
      <w:r>
        <w:rPr>
          <w:b w:val="0"/>
          <w:i w:val="0"/>
          <w:sz w:val="21"/>
        </w:rPr>
        <w:t>Uptake probability is modelled as the terminal value of a one-step GBM process, where each customer's base acceptance rate drifts stochastically:</w:t>
      </w:r>
    </w:p>
    <w:p w14:paraId="7183D3F8">
      <w:pPr>
        <w:spacing w:before="80" w:after="80"/>
        <w:jc w:val="center"/>
      </w:pPr>
      <w:r>
        <w:rPr>
          <w:rFonts w:ascii="Courier New" w:hAnsi="Courier New"/>
          <w:color w:val="1A3A5C"/>
          <w:sz w:val="21"/>
        </w:rPr>
        <w:t>U_T  =  μ_i · exp(−½ · σ_s² · dt  +  σ_s · dW)</w:t>
      </w:r>
    </w:p>
    <w:p w14:paraId="55EBE868">
      <w:pPr>
        <w:spacing w:before="80" w:after="80"/>
        <w:jc w:val="center"/>
      </w:pPr>
      <w:r>
        <w:rPr>
          <w:rFonts w:ascii="Courier New" w:hAnsi="Courier New"/>
          <w:color w:val="1A3A5C"/>
          <w:sz w:val="21"/>
        </w:rPr>
        <w:t>dW  ~  Normal(0, √dt),     dt = 1  (one period)</w:t>
      </w:r>
    </w:p>
    <w:p w14:paraId="23769B64">
      <w:pPr>
        <w:spacing w:before="80" w:after="80"/>
        <w:jc w:val="center"/>
      </w:pPr>
      <w:r>
        <w:rPr>
          <w:rFonts w:ascii="Courier New" w:hAnsi="Courier New"/>
          <w:color w:val="1A3A5C"/>
          <w:sz w:val="21"/>
        </w:rPr>
        <w:t>U_T  clipped to [0.01, 0.99]</w:t>
      </w:r>
    </w:p>
    <w:p w14:paraId="33621D3B">
      <w:pPr>
        <w:spacing w:after="120"/>
        <w:jc w:val="left"/>
      </w:pPr>
      <w:r>
        <w:rPr>
          <w:b w:val="0"/>
          <w:i w:val="0"/>
          <w:sz w:val="21"/>
        </w:rPr>
        <w:t>GBM is chosen because:</w:t>
      </w:r>
    </w:p>
    <w:p w14:paraId="14A7B783">
      <w:pPr>
        <w:pStyle w:val="23"/>
        <w:spacing w:after="60"/>
        <w:ind w:left="360"/>
      </w:pPr>
      <w:r>
        <w:rPr>
          <w:sz w:val="21"/>
        </w:rPr>
        <w:t>The multiplicative structure keeps uptake bounded above zero</w:t>
      </w:r>
    </w:p>
    <w:p w14:paraId="5663C190">
      <w:pPr>
        <w:pStyle w:val="23"/>
        <w:spacing w:after="60"/>
        <w:ind w:left="360"/>
      </w:pPr>
      <w:r>
        <w:rPr>
          <w:sz w:val="21"/>
        </w:rPr>
        <w:t>σ controls heterogeneity: Poor customers have high σ (0.20), reflecting volatile acceptance behaviour</w:t>
      </w:r>
    </w:p>
    <w:p w14:paraId="54E314D8">
      <w:pPr>
        <w:pStyle w:val="23"/>
        <w:spacing w:after="60"/>
        <w:ind w:left="360"/>
      </w:pPr>
      <w:r>
        <w:rPr>
          <w:sz w:val="21"/>
        </w:rPr>
        <w:t>The log-normal terminal distribution matches empirical product adoption patterns</w:t>
      </w:r>
    </w:p>
    <w:p w14:paraId="155BFD71">
      <w:pPr>
        <w:pStyle w:val="23"/>
        <w:spacing w:after="60"/>
        <w:ind w:left="360"/>
      </w:pPr>
      <w:r>
        <w:rPr>
          <w:sz w:val="21"/>
        </w:rPr>
        <w:t>Macro scenario adjusts μ (drift) and σ (volatility scaling) — optimistic lifts μ, adverse depresses it</w:t>
      </w:r>
    </w:p>
    <w:p w14:paraId="7F9FCEBB">
      <w:pPr>
        <w:pStyle w:val="3"/>
        <w:spacing w:before="280" w:after="80"/>
      </w:pPr>
      <w:r>
        <w:rPr>
          <w:b/>
          <w:color w:val="2E74B5"/>
          <w:sz w:val="26"/>
        </w:rPr>
        <w:t>8.3  Per-State Uptake Parameters</w:t>
      </w:r>
    </w:p>
    <w:tbl>
      <w:tblPr>
        <w:tblStyle w:val="12"/>
        <w:tblW w:w="0" w:type="auto"/>
        <w:jc w:val="center"/>
        <w:tblLayout w:type="autofit"/>
        <w:tblCellMar>
          <w:top w:w="0" w:type="dxa"/>
          <w:left w:w="108" w:type="dxa"/>
          <w:bottom w:w="0" w:type="dxa"/>
          <w:right w:w="108" w:type="dxa"/>
        </w:tblCellMar>
      </w:tblPr>
      <w:tblGrid>
        <w:gridCol w:w="2019"/>
        <w:gridCol w:w="2506"/>
        <w:gridCol w:w="2020"/>
        <w:gridCol w:w="3077"/>
      </w:tblGrid>
      <w:tr w14:paraId="4748F878">
        <w:trPr>
          <w:jc w:val="center"/>
        </w:trPr>
        <w:tc>
          <w:tcPr>
            <w:tcW w:w="2160" w:type="dxa"/>
            <w:shd w:val="clear" w:color="auto" w:fill="1A3A5C"/>
          </w:tcPr>
          <w:p w14:paraId="560B5F3B">
            <w:pPr>
              <w:jc w:val="center"/>
            </w:pPr>
            <w:r>
              <w:rPr>
                <w:b/>
                <w:color w:val="FFFFFF"/>
                <w:sz w:val="20"/>
              </w:rPr>
              <w:t>Credit State</w:t>
            </w:r>
          </w:p>
        </w:tc>
        <w:tc>
          <w:tcPr>
            <w:tcW w:w="2880" w:type="dxa"/>
            <w:shd w:val="clear" w:color="auto" w:fill="1A3A5C"/>
          </w:tcPr>
          <w:p w14:paraId="5C425D8A">
            <w:pPr>
              <w:jc w:val="center"/>
            </w:pPr>
            <w:r>
              <w:rPr>
                <w:b/>
                <w:color w:val="FFFFFF"/>
                <w:sz w:val="20"/>
              </w:rPr>
              <w:t>Base μ (acceptance rate)</w:t>
            </w:r>
          </w:p>
        </w:tc>
        <w:tc>
          <w:tcPr>
            <w:tcW w:w="1872" w:type="dxa"/>
            <w:shd w:val="clear" w:color="auto" w:fill="1A3A5C"/>
          </w:tcPr>
          <w:p w14:paraId="34F949A3">
            <w:pPr>
              <w:jc w:val="center"/>
            </w:pPr>
            <w:r>
              <w:rPr>
                <w:b/>
                <w:color w:val="FFFFFF"/>
                <w:sz w:val="20"/>
              </w:rPr>
              <w:t>Volatility σ</w:t>
            </w:r>
          </w:p>
        </w:tc>
        <w:tc>
          <w:tcPr>
            <w:tcW w:w="3744" w:type="dxa"/>
            <w:shd w:val="clear" w:color="auto" w:fill="1A3A5C"/>
          </w:tcPr>
          <w:p w14:paraId="1DFABD24">
            <w:pPr>
              <w:jc w:val="center"/>
            </w:pPr>
            <w:r>
              <w:rPr>
                <w:b/>
                <w:color w:val="FFFFFF"/>
                <w:sz w:val="20"/>
              </w:rPr>
              <w:t>Macro drift adj.</w:t>
            </w:r>
          </w:p>
        </w:tc>
      </w:tr>
      <w:tr w14:paraId="304CD6C7">
        <w:trPr>
          <w:jc w:val="center"/>
        </w:trPr>
        <w:tc>
          <w:tcPr>
            <w:tcW w:w="2351" w:type="dxa"/>
            <w:shd w:val="clear" w:color="auto" w:fill="F2F2F2"/>
          </w:tcPr>
          <w:p w14:paraId="44A3C3D0">
            <w:pPr>
              <w:jc w:val="center"/>
            </w:pPr>
            <w:r>
              <w:rPr>
                <w:sz w:val="20"/>
              </w:rPr>
              <w:t>Excellent</w:t>
            </w:r>
          </w:p>
        </w:tc>
        <w:tc>
          <w:tcPr>
            <w:tcW w:w="2351" w:type="dxa"/>
            <w:shd w:val="clear" w:color="auto" w:fill="F2F2F2"/>
          </w:tcPr>
          <w:p w14:paraId="211417D5">
            <w:pPr>
              <w:jc w:val="center"/>
            </w:pPr>
            <w:r>
              <w:rPr>
                <w:sz w:val="20"/>
              </w:rPr>
              <w:t>0.80</w:t>
            </w:r>
          </w:p>
        </w:tc>
        <w:tc>
          <w:tcPr>
            <w:tcW w:w="2351" w:type="dxa"/>
            <w:shd w:val="clear" w:color="auto" w:fill="F2F2F2"/>
          </w:tcPr>
          <w:p w14:paraId="08372DB0">
            <w:pPr>
              <w:jc w:val="center"/>
            </w:pPr>
            <w:r>
              <w:rPr>
                <w:sz w:val="20"/>
              </w:rPr>
              <w:t>0.10</w:t>
            </w:r>
          </w:p>
        </w:tc>
        <w:tc>
          <w:tcPr>
            <w:tcW w:w="2351" w:type="dxa"/>
            <w:shd w:val="clear" w:color="auto" w:fill="F2F2F2"/>
          </w:tcPr>
          <w:p w14:paraId="7217A48A">
            <w:pPr>
              <w:jc w:val="center"/>
            </w:pPr>
            <w:r>
              <w:rPr>
                <w:sz w:val="20"/>
              </w:rPr>
              <w:t>+0.05 optimistic / −0.05 adverse</w:t>
            </w:r>
          </w:p>
        </w:tc>
      </w:tr>
      <w:tr w14:paraId="169FCB9C">
        <w:trPr>
          <w:jc w:val="center"/>
        </w:trPr>
        <w:tc>
          <w:tcPr>
            <w:tcW w:w="2351" w:type="dxa"/>
            <w:shd w:val="clear" w:color="auto" w:fill="FFFFFF"/>
          </w:tcPr>
          <w:p w14:paraId="21A20C89">
            <w:pPr>
              <w:jc w:val="center"/>
            </w:pPr>
            <w:r>
              <w:rPr>
                <w:sz w:val="20"/>
              </w:rPr>
              <w:t>Good</w:t>
            </w:r>
          </w:p>
        </w:tc>
        <w:tc>
          <w:tcPr>
            <w:tcW w:w="2351" w:type="dxa"/>
            <w:shd w:val="clear" w:color="auto" w:fill="FFFFFF"/>
          </w:tcPr>
          <w:p w14:paraId="3F360719">
            <w:pPr>
              <w:jc w:val="center"/>
            </w:pPr>
            <w:r>
              <w:rPr>
                <w:sz w:val="20"/>
              </w:rPr>
              <w:t>0.70</w:t>
            </w:r>
          </w:p>
        </w:tc>
        <w:tc>
          <w:tcPr>
            <w:tcW w:w="2351" w:type="dxa"/>
            <w:shd w:val="clear" w:color="auto" w:fill="FFFFFF"/>
          </w:tcPr>
          <w:p w14:paraId="0B7FBDC4">
            <w:pPr>
              <w:jc w:val="center"/>
            </w:pPr>
            <w:r>
              <w:rPr>
                <w:sz w:val="20"/>
              </w:rPr>
              <w:t>0.12</w:t>
            </w:r>
          </w:p>
        </w:tc>
        <w:tc>
          <w:tcPr>
            <w:tcW w:w="2351" w:type="dxa"/>
            <w:shd w:val="clear" w:color="auto" w:fill="FFFFFF"/>
          </w:tcPr>
          <w:p w14:paraId="619F4EDB">
            <w:pPr>
              <w:jc w:val="center"/>
            </w:pPr>
            <w:r>
              <w:rPr>
                <w:sz w:val="20"/>
              </w:rPr>
              <w:t>+0.04 / −0.04</w:t>
            </w:r>
          </w:p>
        </w:tc>
      </w:tr>
      <w:tr w14:paraId="1ACA8292">
        <w:trPr>
          <w:jc w:val="center"/>
        </w:trPr>
        <w:tc>
          <w:tcPr>
            <w:tcW w:w="2351" w:type="dxa"/>
            <w:shd w:val="clear" w:color="auto" w:fill="F2F2F2"/>
          </w:tcPr>
          <w:p w14:paraId="660089AB">
            <w:pPr>
              <w:jc w:val="center"/>
            </w:pPr>
            <w:r>
              <w:rPr>
                <w:sz w:val="20"/>
              </w:rPr>
              <w:t>Fair</w:t>
            </w:r>
          </w:p>
        </w:tc>
        <w:tc>
          <w:tcPr>
            <w:tcW w:w="2351" w:type="dxa"/>
            <w:shd w:val="clear" w:color="auto" w:fill="F2F2F2"/>
          </w:tcPr>
          <w:p w14:paraId="12F994EF">
            <w:pPr>
              <w:jc w:val="center"/>
            </w:pPr>
            <w:r>
              <w:rPr>
                <w:sz w:val="20"/>
              </w:rPr>
              <w:t>0.55</w:t>
            </w:r>
          </w:p>
        </w:tc>
        <w:tc>
          <w:tcPr>
            <w:tcW w:w="2351" w:type="dxa"/>
            <w:shd w:val="clear" w:color="auto" w:fill="F2F2F2"/>
          </w:tcPr>
          <w:p w14:paraId="4B653B49">
            <w:pPr>
              <w:jc w:val="center"/>
            </w:pPr>
            <w:r>
              <w:rPr>
                <w:sz w:val="20"/>
              </w:rPr>
              <w:t>0.16</w:t>
            </w:r>
          </w:p>
        </w:tc>
        <w:tc>
          <w:tcPr>
            <w:tcW w:w="2351" w:type="dxa"/>
            <w:shd w:val="clear" w:color="auto" w:fill="F2F2F2"/>
          </w:tcPr>
          <w:p w14:paraId="3D103842">
            <w:pPr>
              <w:jc w:val="center"/>
            </w:pPr>
            <w:r>
              <w:rPr>
                <w:sz w:val="20"/>
              </w:rPr>
              <w:t>+0.03 / −0.03</w:t>
            </w:r>
          </w:p>
        </w:tc>
      </w:tr>
      <w:tr w14:paraId="19F39401">
        <w:trPr>
          <w:jc w:val="center"/>
        </w:trPr>
        <w:tc>
          <w:tcPr>
            <w:tcW w:w="2351" w:type="dxa"/>
            <w:shd w:val="clear" w:color="auto" w:fill="FFFFFF"/>
          </w:tcPr>
          <w:p w14:paraId="11434FA8">
            <w:pPr>
              <w:jc w:val="center"/>
            </w:pPr>
            <w:r>
              <w:rPr>
                <w:sz w:val="20"/>
              </w:rPr>
              <w:t>Poor</w:t>
            </w:r>
          </w:p>
        </w:tc>
        <w:tc>
          <w:tcPr>
            <w:tcW w:w="2351" w:type="dxa"/>
            <w:shd w:val="clear" w:color="auto" w:fill="FFFFFF"/>
          </w:tcPr>
          <w:p w14:paraId="5213745E">
            <w:pPr>
              <w:jc w:val="center"/>
            </w:pPr>
            <w:r>
              <w:rPr>
                <w:sz w:val="20"/>
              </w:rPr>
              <w:t>0.35</w:t>
            </w:r>
          </w:p>
        </w:tc>
        <w:tc>
          <w:tcPr>
            <w:tcW w:w="2351" w:type="dxa"/>
            <w:shd w:val="clear" w:color="auto" w:fill="FFFFFF"/>
          </w:tcPr>
          <w:p w14:paraId="12650459">
            <w:pPr>
              <w:jc w:val="center"/>
            </w:pPr>
            <w:r>
              <w:rPr>
                <w:sz w:val="20"/>
              </w:rPr>
              <w:t>0.20</w:t>
            </w:r>
          </w:p>
        </w:tc>
        <w:tc>
          <w:tcPr>
            <w:tcW w:w="2351" w:type="dxa"/>
            <w:shd w:val="clear" w:color="auto" w:fill="FFFFFF"/>
          </w:tcPr>
          <w:p w14:paraId="363AC6F9">
            <w:pPr>
              <w:jc w:val="center"/>
            </w:pPr>
            <w:r>
              <w:rPr>
                <w:sz w:val="20"/>
              </w:rPr>
              <w:t>+0.02 / −0.02</w:t>
            </w:r>
          </w:p>
        </w:tc>
      </w:tr>
    </w:tbl>
    <w:p w14:paraId="002D1510"/>
    <w:p w14:paraId="0E91AC42">
      <w:pPr>
        <w:spacing w:after="120"/>
        <w:jc w:val="left"/>
      </w:pPr>
      <w:r>
        <w:rPr>
          <w:b w:val="0"/>
          <w:i w:val="0"/>
          <w:sz w:val="21"/>
        </w:rPr>
        <w:t>Excellent customers have a high, stable base acceptance rate (μ=0.80, σ=0.10), reflecting that financially healthy borrowers are more predictable in their product decisions. Poor customers have a low, highly volatile rate (μ=0.35, σ=0.20) — some will eagerly accept relief, others will distrust the offer.</w:t>
      </w:r>
    </w:p>
    <w:p w14:paraId="3567C9B3">
      <w:pPr>
        <w:jc w:val="center"/>
      </w:pPr>
      <w:r>
        <w:drawing>
          <wp:inline distT="0" distB="0" distL="114300" distR="114300">
            <wp:extent cx="5303520" cy="260858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608642"/>
                    </a:xfrm>
                    <a:prstGeom prst="rect">
                      <a:avLst/>
                    </a:prstGeom>
                  </pic:spPr>
                </pic:pic>
              </a:graphicData>
            </a:graphic>
          </wp:inline>
        </w:drawing>
      </w:r>
    </w:p>
    <w:p w14:paraId="07DEAF56">
      <w:pPr>
        <w:spacing w:after="200"/>
        <w:jc w:val="center"/>
      </w:pPr>
      <w:r>
        <w:rPr>
          <w:i/>
          <w:color w:val="BFBFBF"/>
          <w:sz w:val="18"/>
        </w:rPr>
        <w:t>Figure 7: GBM uptake probability distribution by credit state</w:t>
      </w:r>
    </w:p>
    <w:p w14:paraId="37768980">
      <w:pPr>
        <w:pStyle w:val="3"/>
        <w:spacing w:before="280" w:after="80"/>
      </w:pPr>
      <w:r>
        <w:rPr>
          <w:b/>
          <w:color w:val="2E74B5"/>
          <w:sz w:val="26"/>
        </w:rPr>
        <w:t>8.4  Integration Into the LP Objective</w:t>
      </w:r>
    </w:p>
    <w:p w14:paraId="4FE9E084">
      <w:pPr>
        <w:spacing w:after="120"/>
        <w:jc w:val="left"/>
      </w:pPr>
      <w:r>
        <w:rPr>
          <w:b w:val="0"/>
          <w:i w:val="0"/>
          <w:sz w:val="21"/>
        </w:rPr>
        <w:t>The LP objective weights each customer's profitability score by their uptake probability:</w:t>
      </w:r>
    </w:p>
    <w:p w14:paraId="1592DE86">
      <w:pPr>
        <w:spacing w:before="80" w:after="80"/>
        <w:jc w:val="center"/>
      </w:pPr>
      <w:r>
        <w:rPr>
          <w:rFonts w:ascii="Courier New" w:hAnsi="Courier New"/>
          <w:color w:val="1A3A5C"/>
          <w:sz w:val="21"/>
        </w:rPr>
        <w:t>profit_score_i  =  profitability_score_i  ×  uptake_probability_i</w:t>
      </w:r>
    </w:p>
    <w:p w14:paraId="17C19B58">
      <w:pPr>
        <w:spacing w:before="80" w:after="80"/>
        <w:jc w:val="center"/>
      </w:pPr>
      <w:r>
        <w:rPr>
          <w:rFonts w:ascii="Courier New" w:hAnsi="Courier New"/>
          <w:color w:val="1A3A5C"/>
          <w:sz w:val="21"/>
        </w:rPr>
        <w:t>Objective:  maximise  Σ_i  profit_score_i · x_i</w:t>
      </w:r>
    </w:p>
    <w:p w14:paraId="6A650FC6">
      <w:pPr>
        <w:spacing w:after="120"/>
        <w:jc w:val="left"/>
      </w:pPr>
      <w:r>
        <w:rPr>
          <w:b w:val="0"/>
          <w:i w:val="0"/>
          <w:sz w:val="21"/>
        </w:rPr>
        <w:t>This means the LP will bypass a high-profit customer with 20% uptake in favour of a moderately profitable customer with 80% uptake if the expected contribution to the portfolio is higher. The weighting was not present in the original model — adding it was one of the seven improvements implemented in this branch.</w:t>
      </w:r>
    </w:p>
    <w:p w14:paraId="3ED615F1">
      <w:pPr>
        <w:jc w:val="center"/>
      </w:pPr>
      <w:r>
        <w:drawing>
          <wp:inline distT="0" distB="0" distL="114300" distR="114300">
            <wp:extent cx="5303520" cy="18542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854699"/>
                    </a:xfrm>
                    <a:prstGeom prst="rect">
                      <a:avLst/>
                    </a:prstGeom>
                  </pic:spPr>
                </pic:pic>
              </a:graphicData>
            </a:graphic>
          </wp:inline>
        </w:drawing>
      </w:r>
    </w:p>
    <w:p w14:paraId="52811B96">
      <w:pPr>
        <w:spacing w:after="200"/>
        <w:jc w:val="center"/>
      </w:pPr>
      <w:r>
        <w:rPr>
          <w:i/>
          <w:color w:val="BFBFBF"/>
          <w:sz w:val="18"/>
        </w:rPr>
        <w:t>Figure 10: Extension term distribution (boxplot) and GBM uptake violin by credit state</w:t>
      </w:r>
    </w:p>
    <w:p w14:paraId="7404B604">
      <w:r>
        <w:br w:type="page"/>
      </w:r>
    </w:p>
    <w:p w14:paraId="197AB43B">
      <w:pPr>
        <w:pStyle w:val="2"/>
        <w:spacing w:before="280" w:after="80"/>
      </w:pPr>
      <w:r>
        <w:rPr>
          <w:b/>
          <w:color w:val="1A3A5C"/>
          <w:sz w:val="32"/>
        </w:rPr>
        <w:t>9. Vectorised Monte Carlo Simulation</w:t>
      </w:r>
    </w:p>
    <w:p w14:paraId="014EDADB">
      <w:pPr>
        <w:pStyle w:val="3"/>
        <w:spacing w:before="280" w:after="80"/>
      </w:pPr>
      <w:r>
        <w:rPr>
          <w:b/>
          <w:color w:val="2E74B5"/>
          <w:sz w:val="26"/>
        </w:rPr>
        <w:t>9.1  Design Principles</w:t>
      </w:r>
    </w:p>
    <w:p w14:paraId="5EAA91BD">
      <w:pPr>
        <w:spacing w:after="120"/>
        <w:jc w:val="left"/>
      </w:pPr>
      <w:r>
        <w:rPr>
          <w:b w:val="0"/>
          <w:i w:val="0"/>
          <w:sz w:val="21"/>
        </w:rPr>
        <w:t>The Monte Carlo engine estimates expected NPV for each customer across 3,500 simulated outcomes. The original implementation used a Python for-loop over all 30,000 customers — runtime ~60 seconds. The vectorised implementation processes all customers simultaneously as (n_customers, n_iterations) NumPy matrices, completing in 4.9 seconds — a 12× speedup.</w:t>
      </w:r>
    </w:p>
    <w:p w14:paraId="1F18FD6F">
      <w:pPr>
        <w:pStyle w:val="3"/>
        <w:spacing w:before="280" w:after="80"/>
      </w:pPr>
      <w:r>
        <w:rPr>
          <w:b/>
          <w:color w:val="2E74B5"/>
          <w:sz w:val="26"/>
        </w:rPr>
        <w:t>9.2  Vectorised Simulation Kernel</w:t>
      </w:r>
    </w:p>
    <w:p w14:paraId="346877DA">
      <w:pPr>
        <w:spacing w:after="120"/>
        <w:jc w:val="left"/>
      </w:pPr>
      <w:r>
        <w:rPr>
          <w:b w:val="0"/>
          <w:i w:val="0"/>
          <w:sz w:val="21"/>
        </w:rPr>
        <w:t>Per-customer parameter arrays are pre-computed via vectorised lookup:</w:t>
      </w:r>
    </w:p>
    <w:p w14:paraId="31283479">
      <w:pPr>
        <w:spacing w:before="80" w:after="80"/>
        <w:jc w:val="center"/>
      </w:pPr>
      <w:r>
        <w:rPr>
          <w:rFonts w:ascii="Courier New" w:hAnsi="Courier New"/>
          <w:color w:val="1A3A5C"/>
          <w:sz w:val="21"/>
        </w:rPr>
        <w:t>mu_ln_arr    = [_LN[s][0]  for s in state_arr]  # (n_customers,)</w:t>
      </w:r>
    </w:p>
    <w:p w14:paraId="00A9AD9D">
      <w:pPr>
        <w:spacing w:before="80" w:after="80"/>
        <w:jc w:val="center"/>
      </w:pPr>
      <w:r>
        <w:rPr>
          <w:rFonts w:ascii="Courier New" w:hAnsi="Courier New"/>
          <w:color w:val="1A3A5C"/>
          <w:sz w:val="21"/>
        </w:rPr>
        <w:t>sigma_ln_arr = [_LN[s][1]  for s in state_arr]  # (n_customers,)</w:t>
      </w:r>
    </w:p>
    <w:p w14:paraId="23E08FCE">
      <w:pPr>
        <w:spacing w:before="80" w:after="80"/>
        <w:jc w:val="center"/>
      </w:pPr>
      <w:r>
        <w:rPr>
          <w:rFonts w:ascii="Courier New" w:hAnsi="Courier New"/>
          <w:color w:val="1A3A5C"/>
          <w:sz w:val="21"/>
        </w:rPr>
        <w:t>lam_arr      = [λ_s         for s in state_arr]  # (n_customers,)</w:t>
      </w:r>
    </w:p>
    <w:p w14:paraId="0A33B1B3">
      <w:pPr>
        <w:spacing w:before="80" w:after="80"/>
        <w:jc w:val="center"/>
      </w:pPr>
      <w:r>
        <w:rPr>
          <w:rFonts w:ascii="Courier New" w:hAnsi="Courier New"/>
          <w:color w:val="1A3A5C"/>
          <w:sz w:val="21"/>
        </w:rPr>
        <w:t>p_early_arr  = [p_early_s   for s in state_arr]  # (n_customers,)</w:t>
      </w:r>
    </w:p>
    <w:p w14:paraId="75990578">
      <w:pPr>
        <w:spacing w:after="120"/>
        <w:jc w:val="left"/>
      </w:pPr>
      <w:r>
        <w:rPr>
          <w:b w:val="0"/>
          <w:i w:val="0"/>
          <w:sz w:val="21"/>
        </w:rPr>
        <w:t>For each batch of customers the simulation kernel is:</w:t>
      </w:r>
    </w:p>
    <w:p w14:paraId="7D9DF0B8">
      <w:pPr>
        <w:spacing w:before="80" w:after="80"/>
        <w:jc w:val="center"/>
      </w:pPr>
      <w:r>
        <w:rPr>
          <w:rFonts w:ascii="Courier New" w:hAnsi="Courier New"/>
          <w:color w:val="1A3A5C"/>
          <w:sz w:val="21"/>
        </w:rPr>
        <w:t>Z  ~  Normal(0, 1)^{n_customers × n_iterations}</w:t>
      </w:r>
    </w:p>
    <w:p w14:paraId="1ED58B8E">
      <w:pPr>
        <w:spacing w:before="80" w:after="80"/>
        <w:jc w:val="center"/>
      </w:pPr>
      <w:r>
        <w:rPr>
          <w:rFonts w:ascii="Courier New" w:hAnsi="Courier New"/>
          <w:color w:val="1A3A5C"/>
          <w:sz w:val="21"/>
        </w:rPr>
        <w:t>T  =  clip(exp(mu_ln + sigma_ln · Z), 30, 180)        # term matrix</w:t>
      </w:r>
    </w:p>
    <w:p w14:paraId="6BA47884">
      <w:pPr>
        <w:spacing w:before="80" w:after="80"/>
        <w:jc w:val="center"/>
      </w:pPr>
      <w:r>
        <w:rPr>
          <w:rFonts w:ascii="Courier New" w:hAnsi="Courier New"/>
          <w:color w:val="1A3A5C"/>
          <w:sz w:val="21"/>
        </w:rPr>
        <w:t>p_def_T  =  1 − exp(−lam · T / 365)                   # default prob matrix</w:t>
      </w:r>
    </w:p>
    <w:p w14:paraId="268632C3">
      <w:pPr>
        <w:spacing w:before="80" w:after="80"/>
        <w:jc w:val="center"/>
      </w:pPr>
      <w:r>
        <w:rPr>
          <w:rFonts w:ascii="Courier New" w:hAnsi="Courier New"/>
          <w:color w:val="1A3A5C"/>
          <w:sz w:val="21"/>
        </w:rPr>
        <w:t>is_early   =  U1 &lt; p_early                              # Bernoulli draw</w:t>
      </w:r>
    </w:p>
    <w:p w14:paraId="79AE1BDA">
      <w:pPr>
        <w:spacing w:before="80" w:after="80"/>
        <w:jc w:val="center"/>
      </w:pPr>
      <w:r>
        <w:rPr>
          <w:rFonts w:ascii="Courier New" w:hAnsi="Courier New"/>
          <w:color w:val="1A3A5C"/>
          <w:sz w:val="21"/>
        </w:rPr>
        <w:t>is_default = (¬is_early) ∧ (U2 &lt; p_def_T)             # conditional draw</w:t>
      </w:r>
    </w:p>
    <w:p w14:paraId="7AB29593">
      <w:pPr>
        <w:pStyle w:val="3"/>
        <w:spacing w:before="280" w:after="80"/>
      </w:pPr>
      <w:r>
        <w:rPr>
          <w:b/>
          <w:color w:val="2E74B5"/>
          <w:sz w:val="26"/>
        </w:rPr>
        <w:t>9.3  NPV Computation</w:t>
      </w:r>
    </w:p>
    <w:p w14:paraId="310F3CAF">
      <w:pPr>
        <w:spacing w:after="120"/>
        <w:jc w:val="left"/>
      </w:pPr>
      <w:r>
        <w:rPr>
          <w:b w:val="0"/>
          <w:i w:val="0"/>
          <w:sz w:val="21"/>
        </w:rPr>
        <w:t>Revenue is computed as the present value of $40 periodic payments over the extension term, discounted at a 19% annual rate:</w:t>
      </w:r>
    </w:p>
    <w:p w14:paraId="65368B4E">
      <w:pPr>
        <w:spacing w:before="80" w:after="80"/>
        <w:jc w:val="center"/>
      </w:pPr>
      <w:r>
        <w:rPr>
          <w:rFonts w:ascii="Courier New" w:hAnsi="Courier New"/>
          <w:color w:val="1A3A5C"/>
          <w:sz w:val="21"/>
        </w:rPr>
        <w:t>r_monthly  =  0.19 / 12</w:t>
      </w:r>
    </w:p>
    <w:p w14:paraId="73736A46">
      <w:pPr>
        <w:spacing w:before="80" w:after="80"/>
        <w:jc w:val="center"/>
      </w:pPr>
      <w:r>
        <w:rPr>
          <w:rFonts w:ascii="Courier New" w:hAnsi="Courier New"/>
          <w:color w:val="1A3A5C"/>
          <w:sz w:val="21"/>
        </w:rPr>
        <w:t>n_periods  =  T / 30   (months)</w:t>
      </w:r>
    </w:p>
    <w:p w14:paraId="5E16BAF3">
      <w:pPr>
        <w:spacing w:before="80" w:after="80"/>
        <w:jc w:val="center"/>
      </w:pPr>
      <w:r>
        <w:rPr>
          <w:rFonts w:ascii="Courier New" w:hAnsi="Courier New"/>
          <w:color w:val="1A3A5C"/>
          <w:sz w:val="21"/>
        </w:rPr>
        <w:t>annuity_factor  =  (1 − (1 + r_monthly)^{−n_periods}) / r_monthly</w:t>
      </w:r>
    </w:p>
    <w:p w14:paraId="6FC7B2DF">
      <w:pPr>
        <w:spacing w:before="80" w:after="80"/>
        <w:jc w:val="center"/>
      </w:pPr>
      <w:r>
        <w:rPr>
          <w:rFonts w:ascii="Courier New" w:hAnsi="Courier New"/>
          <w:color w:val="1A3A5C"/>
          <w:sz w:val="21"/>
        </w:rPr>
        <w:t>revenue_i  =  $40 × annuity_factor</w:t>
      </w:r>
    </w:p>
    <w:p w14:paraId="76FCD31A">
      <w:pPr>
        <w:spacing w:after="120"/>
        <w:jc w:val="left"/>
      </w:pPr>
      <w:r>
        <w:rPr>
          <w:b w:val="0"/>
          <w:i w:val="0"/>
          <w:sz w:val="21"/>
        </w:rPr>
        <w:t>Expected loss uses the full outstanding balance (not an incremental draw):</w:t>
      </w:r>
    </w:p>
    <w:p w14:paraId="5D42E6B0">
      <w:pPr>
        <w:spacing w:before="80" w:after="80"/>
        <w:jc w:val="center"/>
      </w:pPr>
      <w:r>
        <w:rPr>
          <w:rFonts w:ascii="Courier New" w:hAnsi="Courier New"/>
          <w:color w:val="1A3A5C"/>
          <w:sz w:val="21"/>
        </w:rPr>
        <w:t>loss_i  =  L_i × LGD × 1(default) × exp(−r × T / 730)</w:t>
      </w:r>
    </w:p>
    <w:p w14:paraId="60880333">
      <w:pPr>
        <w:spacing w:before="80" w:after="80"/>
        <w:jc w:val="center"/>
      </w:pPr>
      <w:r>
        <w:rPr>
          <w:rFonts w:ascii="Courier New" w:hAnsi="Courier New"/>
          <w:color w:val="1A3A5C"/>
          <w:sz w:val="21"/>
        </w:rPr>
        <w:t>where  LGD = 0.60,   r = 0.19 (annual),   L_i = outstanding_balance_i</w:t>
      </w:r>
    </w:p>
    <w:p w14:paraId="307AD79B">
      <w:pPr>
        <w:spacing w:after="120"/>
        <w:jc w:val="left"/>
      </w:pPr>
      <w:r>
        <w:rPr>
          <w:b w:val="0"/>
          <w:i w:val="0"/>
          <w:sz w:val="21"/>
        </w:rPr>
        <w:t>The exp(−r × T / 730) term discounts the loss to present value — losses that occur later in the term are worth less in today's dollars. The divisor 730 (= 2 × 365) converts the annual rate to a half-year scaling for the T-day window.</w:t>
      </w:r>
    </w:p>
    <w:p w14:paraId="64356BF2">
      <w:pPr>
        <w:pStyle w:val="3"/>
        <w:spacing w:before="280" w:after="80"/>
      </w:pPr>
      <w:r>
        <w:rPr>
          <w:b/>
          <w:color w:val="2E74B5"/>
          <w:sz w:val="26"/>
        </w:rPr>
        <w:t>9.4  Profitability Breakeven</w:t>
      </w:r>
    </w:p>
    <w:p w14:paraId="28F92CB5">
      <w:pPr>
        <w:spacing w:after="120"/>
        <w:jc w:val="left"/>
      </w:pPr>
      <w:r>
        <w:rPr>
          <w:b w:val="0"/>
          <w:i w:val="0"/>
          <w:sz w:val="21"/>
        </w:rPr>
        <w:t>Setting E[revenue] = E[loss] and solving for p_default yields the breakeven condition:</w:t>
      </w:r>
    </w:p>
    <w:p w14:paraId="2F2DB96F">
      <w:pPr>
        <w:spacing w:before="80" w:after="80"/>
        <w:jc w:val="center"/>
      </w:pPr>
      <w:r>
        <w:rPr>
          <w:rFonts w:ascii="Courier New" w:hAnsi="Courier New"/>
          <w:color w:val="1A3A5C"/>
          <w:sz w:val="21"/>
        </w:rPr>
        <w:t>p_def_breakeven  =  $39.38 / (L_i × LGD × discount)</w:t>
      </w:r>
    </w:p>
    <w:p w14:paraId="67ABB945">
      <w:pPr>
        <w:spacing w:before="80" w:after="80"/>
        <w:jc w:val="center"/>
      </w:pPr>
      <w:r>
        <w:rPr>
          <w:rFonts w:ascii="Courier New" w:hAnsi="Courier New"/>
          <w:color w:val="1A3A5C"/>
          <w:sz w:val="21"/>
        </w:rPr>
        <w:t>Simplified rule:  p_def × L  &lt;  80.0  →  profitable</w:t>
      </w:r>
    </w:p>
    <w:p w14:paraId="5411C375">
      <w:pPr>
        <w:spacing w:after="120"/>
        <w:jc w:val="left"/>
      </w:pPr>
      <w:r>
        <w:rPr>
          <w:b w:val="0"/>
          <w:i w:val="0"/>
          <w:sz w:val="21"/>
        </w:rPr>
        <w:t>At the average loan of $1,490, this corresponds to p_def &lt; 5.4% — which is exactly the boundary that eliminates 24.8% of Poor-state eligible customers (their 90-day λ=22% → p_def ≈ 5.4–6.8%). Excellent, Good, and Fair customers all fall well below this threshold under baseline parameters.</w:t>
      </w:r>
    </w:p>
    <w:p w14:paraId="62DEB5FF">
      <w:pPr>
        <w:jc w:val="center"/>
      </w:pPr>
      <w:r>
        <w:drawing>
          <wp:inline distT="0" distB="0" distL="114300" distR="114300">
            <wp:extent cx="5303520" cy="31470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147618"/>
                    </a:xfrm>
                    <a:prstGeom prst="rect">
                      <a:avLst/>
                    </a:prstGeom>
                  </pic:spPr>
                </pic:pic>
              </a:graphicData>
            </a:graphic>
          </wp:inline>
        </w:drawing>
      </w:r>
    </w:p>
    <w:p w14:paraId="201ED0F6">
      <w:pPr>
        <w:spacing w:after="200"/>
        <w:jc w:val="center"/>
      </w:pPr>
      <w:r>
        <w:rPr>
          <w:i/>
          <w:color w:val="BFBFBF"/>
          <w:sz w:val="18"/>
        </w:rPr>
        <w:t>Figure 8: Decision boundary: p_def × balance scatter with breakeven hyperbola</w:t>
      </w:r>
    </w:p>
    <w:p w14:paraId="67B8736D">
      <w:pPr>
        <w:jc w:val="center"/>
      </w:pPr>
      <w:r>
        <w:drawing>
          <wp:inline distT="0" distB="0" distL="114300" distR="114300">
            <wp:extent cx="5303520" cy="17195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1720061"/>
                    </a:xfrm>
                    <a:prstGeom prst="rect">
                      <a:avLst/>
                    </a:prstGeom>
                  </pic:spPr>
                </pic:pic>
              </a:graphicData>
            </a:graphic>
          </wp:inline>
        </w:drawing>
      </w:r>
    </w:p>
    <w:p w14:paraId="4FD3985E">
      <w:pPr>
        <w:spacing w:after="200"/>
        <w:jc w:val="center"/>
      </w:pPr>
      <w:r>
        <w:rPr>
          <w:i/>
          <w:color w:val="BFBFBF"/>
          <w:sz w:val="18"/>
        </w:rPr>
        <w:t>Figure 3: Profitability score distribution by credit state</w:t>
      </w:r>
    </w:p>
    <w:p w14:paraId="216B0F75">
      <w:r>
        <w:br w:type="page"/>
      </w:r>
    </w:p>
    <w:p w14:paraId="692C5089">
      <w:pPr>
        <w:pStyle w:val="2"/>
        <w:spacing w:before="280" w:after="80"/>
      </w:pPr>
      <w:r>
        <w:rPr>
          <w:b/>
          <w:color w:val="1A3A5C"/>
          <w:sz w:val="32"/>
        </w:rPr>
        <w:t>10. LP Optimisation Formulation</w:t>
      </w:r>
    </w:p>
    <w:p w14:paraId="26F6BAB7">
      <w:pPr>
        <w:pStyle w:val="3"/>
        <w:spacing w:before="280" w:after="80"/>
      </w:pPr>
      <w:r>
        <w:rPr>
          <w:b/>
          <w:color w:val="2E74B5"/>
          <w:sz w:val="26"/>
        </w:rPr>
        <w:t>10.1  Decision Variables</w:t>
      </w:r>
    </w:p>
    <w:p w14:paraId="4B03F2DC">
      <w:pPr>
        <w:spacing w:before="80" w:after="80"/>
        <w:jc w:val="center"/>
      </w:pPr>
      <w:r>
        <w:rPr>
          <w:rFonts w:ascii="Courier New" w:hAnsi="Courier New"/>
          <w:color w:val="1A3A5C"/>
          <w:sz w:val="21"/>
        </w:rPr>
        <w:t>x_i ∈ {0, 1}     for all customers i = 1, …, 30,000</w:t>
      </w:r>
    </w:p>
    <w:p w14:paraId="4806EF24">
      <w:pPr>
        <w:spacing w:after="120"/>
        <w:jc w:val="left"/>
      </w:pPr>
      <w:r>
        <w:rPr>
          <w:b w:val="0"/>
          <w:i w:val="0"/>
          <w:sz w:val="21"/>
        </w:rPr>
        <w:t>x_i = 1: grant term extension; x_i = 0: do not grant.</w:t>
      </w:r>
    </w:p>
    <w:p w14:paraId="48D70E2B">
      <w:pPr>
        <w:pStyle w:val="3"/>
        <w:spacing w:before="280" w:after="80"/>
      </w:pPr>
      <w:r>
        <w:rPr>
          <w:b/>
          <w:color w:val="2E74B5"/>
          <w:sz w:val="26"/>
        </w:rPr>
        <w:t>10.2  Objective Function</w:t>
      </w:r>
    </w:p>
    <w:p w14:paraId="0B5F903F">
      <w:pPr>
        <w:spacing w:before="80" w:after="80"/>
        <w:jc w:val="center"/>
      </w:pPr>
      <w:r>
        <w:rPr>
          <w:rFonts w:ascii="Courier New" w:hAnsi="Courier New"/>
          <w:color w:val="1A3A5C"/>
          <w:sz w:val="21"/>
        </w:rPr>
        <w:t>maximise   Σ_i  profitability_score_i × uptake_probability_i × x_i</w:t>
      </w:r>
    </w:p>
    <w:p w14:paraId="72D0258F">
      <w:pPr>
        <w:spacing w:after="120"/>
        <w:jc w:val="left"/>
      </w:pPr>
      <w:r>
        <w:rPr>
          <w:b w:val="0"/>
          <w:i w:val="0"/>
          <w:sz w:val="21"/>
        </w:rPr>
        <w:t>The product profitability_score × uptake_probability is the 'expected profit contribution' of offering an extension: profitability in the event of acceptance, scaled by the probability of acceptance. Ineligible customers have x_i = 0 forced at the bounds level.</w:t>
      </w:r>
    </w:p>
    <w:p w14:paraId="503C113C">
      <w:pPr>
        <w:pStyle w:val="3"/>
        <w:spacing w:before="280" w:after="80"/>
      </w:pPr>
      <w:r>
        <w:rPr>
          <w:b/>
          <w:color w:val="2E74B5"/>
          <w:sz w:val="26"/>
        </w:rPr>
        <w:t>10.3  Portfolio Risk Constraint</w:t>
      </w:r>
    </w:p>
    <w:p w14:paraId="1357A1A4">
      <w:pPr>
        <w:spacing w:before="80" w:after="80"/>
        <w:jc w:val="center"/>
      </w:pPr>
      <w:r>
        <w:rPr>
          <w:rFonts w:ascii="Courier New" w:hAnsi="Courier New"/>
          <w:color w:val="1A3A5C"/>
          <w:sz w:val="21"/>
        </w:rPr>
        <w:t>Σ_i  (p_default_i − max_risk) × L_i × x_i  ≤  0</w:t>
      </w:r>
    </w:p>
    <w:p w14:paraId="0CA80614">
      <w:pPr>
        <w:spacing w:before="80" w:after="80"/>
        <w:jc w:val="center"/>
      </w:pPr>
      <w:r>
        <w:rPr>
          <w:rFonts w:ascii="Courier New" w:hAnsi="Courier New"/>
          <w:color w:val="1A3A5C"/>
          <w:sz w:val="21"/>
        </w:rPr>
        <w:t>where  max_risk = 0.05  (5% portfolio default cap)</w:t>
      </w:r>
    </w:p>
    <w:p w14:paraId="3BD27128">
      <w:pPr>
        <w:spacing w:after="120"/>
        <w:jc w:val="left"/>
      </w:pPr>
      <w:r>
        <w:rPr>
          <w:b w:val="0"/>
          <w:i w:val="0"/>
          <w:sz w:val="21"/>
        </w:rPr>
        <w:t>This constraint ensures the exposure-weighted average default probability across all granted extensions does not exceed 5%. Customers whose p_default &gt; 0.05 contribute positive to the left-hand side, penalising their selection; customers with p_default &lt; 0.05 contribute negative, making room for riskier customers. The constraint is linear in x_i because p_default and L_i are pre-computed constants.</w:t>
      </w:r>
    </w:p>
    <w:p w14:paraId="1D041520">
      <w:pPr>
        <w:pStyle w:val="3"/>
        <w:spacing w:before="280" w:after="80"/>
      </w:pPr>
      <w:r>
        <w:rPr>
          <w:b/>
          <w:color w:val="2E74B5"/>
          <w:sz w:val="26"/>
        </w:rPr>
        <w:t>10.4  Eligibility Bounds</w:t>
      </w:r>
    </w:p>
    <w:p w14:paraId="78F0A0CC">
      <w:pPr>
        <w:spacing w:before="80" w:after="80"/>
        <w:jc w:val="center"/>
      </w:pPr>
      <w:r>
        <w:rPr>
          <w:rFonts w:ascii="Courier New" w:hAnsi="Courier New"/>
          <w:color w:val="1A3A5C"/>
          <w:sz w:val="21"/>
        </w:rPr>
        <w:t>x_i = 0   if  days_since_last_loan_i &lt; 60   (ineligible accounts)</w:t>
      </w:r>
    </w:p>
    <w:p w14:paraId="0DC88145">
      <w:pPr>
        <w:spacing w:before="80" w:after="80"/>
        <w:jc w:val="center"/>
      </w:pPr>
      <w:r>
        <w:rPr>
          <w:rFonts w:ascii="Courier New" w:hAnsi="Courier New"/>
          <w:color w:val="1A3A5C"/>
          <w:sz w:val="21"/>
        </w:rPr>
        <w:t>x_i ∈ {0,1}   otherwise</w:t>
      </w:r>
    </w:p>
    <w:p w14:paraId="320958F2">
      <w:pPr>
        <w:pStyle w:val="3"/>
        <w:spacing w:before="280" w:after="80"/>
      </w:pPr>
      <w:r>
        <w:rPr>
          <w:b/>
          <w:color w:val="2E74B5"/>
          <w:sz w:val="26"/>
        </w:rPr>
        <w:t>10.5  LP Solver</w:t>
      </w:r>
    </w:p>
    <w:p w14:paraId="25F6CCB1">
      <w:pPr>
        <w:spacing w:after="120"/>
        <w:jc w:val="left"/>
      </w:pPr>
      <w:r>
        <w:rPr>
          <w:b w:val="0"/>
          <w:i w:val="0"/>
          <w:sz w:val="21"/>
        </w:rPr>
        <w:t>The problem is solved using SciPy's linprog (HiGHS backend) with integer relaxation via manual rounding: the LP is solved as a continuous relaxation and solutions with value &gt; 0.5 are rounded to 1. For this problem the relaxation is tight — the continuous solution is near-integer for the vast majority of customers.</w:t>
      </w:r>
    </w:p>
    <w:p w14:paraId="1FCD26A7">
      <w:pPr>
        <w:pStyle w:val="3"/>
        <w:spacing w:before="280" w:after="80"/>
      </w:pPr>
      <w:r>
        <w:rPr>
          <w:b/>
          <w:color w:val="2E74B5"/>
          <w:sz w:val="26"/>
        </w:rPr>
        <w:t>10.6  Constraint Slack Analysis</w:t>
      </w:r>
    </w:p>
    <w:p w14:paraId="1E9FCD48">
      <w:pPr>
        <w:spacing w:after="120"/>
        <w:jc w:val="left"/>
      </w:pPr>
      <w:r>
        <w:rPr>
          <w:b w:val="0"/>
          <w:i w:val="0"/>
          <w:sz w:val="21"/>
        </w:rPr>
        <w:t>The risk constraint is substantially slack in the baseline scenario:</w:t>
      </w:r>
    </w:p>
    <w:tbl>
      <w:tblPr>
        <w:tblStyle w:val="12"/>
        <w:tblW w:w="0" w:type="auto"/>
        <w:jc w:val="center"/>
        <w:tblLayout w:type="autofit"/>
        <w:tblCellMar>
          <w:top w:w="0" w:type="dxa"/>
          <w:left w:w="108" w:type="dxa"/>
          <w:bottom w:w="0" w:type="dxa"/>
          <w:right w:w="108" w:type="dxa"/>
        </w:tblCellMar>
      </w:tblPr>
      <w:tblGrid>
        <w:gridCol w:w="4975"/>
        <w:gridCol w:w="4647"/>
      </w:tblGrid>
      <w:tr w14:paraId="7B90344F">
        <w:trPr>
          <w:jc w:val="center"/>
        </w:trPr>
        <w:tc>
          <w:tcPr>
            <w:tcW w:w="5040" w:type="dxa"/>
            <w:shd w:val="clear" w:color="auto" w:fill="1A3A5C"/>
          </w:tcPr>
          <w:p w14:paraId="213E06B2">
            <w:pPr>
              <w:jc w:val="center"/>
            </w:pPr>
            <w:r>
              <w:rPr>
                <w:b/>
                <w:color w:val="FFFFFF"/>
                <w:sz w:val="20"/>
              </w:rPr>
              <w:t>Metric</w:t>
            </w:r>
          </w:p>
        </w:tc>
        <w:tc>
          <w:tcPr>
            <w:tcW w:w="4176" w:type="dxa"/>
            <w:shd w:val="clear" w:color="auto" w:fill="1A3A5C"/>
          </w:tcPr>
          <w:p w14:paraId="1F0E8B54">
            <w:pPr>
              <w:jc w:val="center"/>
            </w:pPr>
            <w:r>
              <w:rPr>
                <w:b/>
                <w:color w:val="FFFFFF"/>
                <w:sz w:val="20"/>
              </w:rPr>
              <w:t>Value</w:t>
            </w:r>
          </w:p>
        </w:tc>
      </w:tr>
      <w:tr w14:paraId="319BDEFD">
        <w:trPr>
          <w:jc w:val="center"/>
        </w:trPr>
        <w:tc>
          <w:tcPr>
            <w:tcW w:w="4703" w:type="dxa"/>
            <w:shd w:val="clear" w:color="auto" w:fill="F2F2F2"/>
          </w:tcPr>
          <w:p w14:paraId="00C84E34">
            <w:pPr>
              <w:jc w:val="center"/>
            </w:pPr>
            <w:r>
              <w:rPr>
                <w:sz w:val="20"/>
              </w:rPr>
              <w:t>Actual portfolio default risk</w:t>
            </w:r>
          </w:p>
        </w:tc>
        <w:tc>
          <w:tcPr>
            <w:tcW w:w="4703" w:type="dxa"/>
            <w:shd w:val="clear" w:color="auto" w:fill="F2F2F2"/>
          </w:tcPr>
          <w:p w14:paraId="2C955450">
            <w:pPr>
              <w:jc w:val="center"/>
            </w:pPr>
            <w:r>
              <w:rPr>
                <w:sz w:val="20"/>
              </w:rPr>
              <w:t>0.90%</w:t>
            </w:r>
          </w:p>
        </w:tc>
      </w:tr>
      <w:tr w14:paraId="1DAD1BF9">
        <w:trPr>
          <w:jc w:val="center"/>
        </w:trPr>
        <w:tc>
          <w:tcPr>
            <w:tcW w:w="4703" w:type="dxa"/>
            <w:shd w:val="clear" w:color="auto" w:fill="FFFFFF"/>
          </w:tcPr>
          <w:p w14:paraId="2DC3A1C1">
            <w:pPr>
              <w:jc w:val="center"/>
            </w:pPr>
            <w:r>
              <w:rPr>
                <w:sz w:val="20"/>
              </w:rPr>
              <w:t>Risk cap</w:t>
            </w:r>
          </w:p>
        </w:tc>
        <w:tc>
          <w:tcPr>
            <w:tcW w:w="4703" w:type="dxa"/>
            <w:shd w:val="clear" w:color="auto" w:fill="FFFFFF"/>
          </w:tcPr>
          <w:p w14:paraId="5F931319">
            <w:pPr>
              <w:jc w:val="center"/>
            </w:pPr>
            <w:r>
              <w:rPr>
                <w:sz w:val="20"/>
              </w:rPr>
              <w:t>5.00%</w:t>
            </w:r>
          </w:p>
        </w:tc>
      </w:tr>
      <w:tr w14:paraId="5E018911">
        <w:trPr>
          <w:jc w:val="center"/>
        </w:trPr>
        <w:tc>
          <w:tcPr>
            <w:tcW w:w="4703" w:type="dxa"/>
            <w:shd w:val="clear" w:color="auto" w:fill="F2F2F2"/>
          </w:tcPr>
          <w:p w14:paraId="52DB73CF">
            <w:pPr>
              <w:jc w:val="center"/>
            </w:pPr>
            <w:r>
              <w:rPr>
                <w:sz w:val="20"/>
              </w:rPr>
              <w:t>Slack (cap − actual)</w:t>
            </w:r>
          </w:p>
        </w:tc>
        <w:tc>
          <w:tcPr>
            <w:tcW w:w="4703" w:type="dxa"/>
            <w:shd w:val="clear" w:color="auto" w:fill="F2F2F2"/>
          </w:tcPr>
          <w:p w14:paraId="50BFBEFC">
            <w:pPr>
              <w:jc w:val="center"/>
            </w:pPr>
            <w:r>
              <w:rPr>
                <w:sz w:val="20"/>
              </w:rPr>
              <w:t>4.10 percentage points</w:t>
            </w:r>
          </w:p>
        </w:tc>
      </w:tr>
      <w:tr w14:paraId="606C733F">
        <w:trPr>
          <w:jc w:val="center"/>
        </w:trPr>
        <w:tc>
          <w:tcPr>
            <w:tcW w:w="4703" w:type="dxa"/>
            <w:shd w:val="clear" w:color="auto" w:fill="FFFFFF"/>
          </w:tcPr>
          <w:p w14:paraId="212352E1">
            <w:pPr>
              <w:jc w:val="center"/>
            </w:pPr>
            <w:r>
              <w:rPr>
                <w:sz w:val="20"/>
              </w:rPr>
              <w:t>Risk constraint is binding?</w:t>
            </w:r>
          </w:p>
        </w:tc>
        <w:tc>
          <w:tcPr>
            <w:tcW w:w="4703" w:type="dxa"/>
            <w:shd w:val="clear" w:color="auto" w:fill="FFFFFF"/>
          </w:tcPr>
          <w:p w14:paraId="4643E2C6">
            <w:pPr>
              <w:jc w:val="center"/>
            </w:pPr>
            <w:r>
              <w:rPr>
                <w:sz w:val="20"/>
              </w:rPr>
              <w:t>No — LP is profit-constrained, not risk-constrained</w:t>
            </w:r>
          </w:p>
        </w:tc>
      </w:tr>
    </w:tbl>
    <w:p w14:paraId="4EFD42D5"/>
    <w:p w14:paraId="12F8A53B">
      <w:pPr>
        <w:spacing w:after="120"/>
        <w:jc w:val="left"/>
      </w:pPr>
      <w:r>
        <w:rPr>
          <w:b w:val="0"/>
          <w:i w:val="0"/>
          <w:sz w:val="21"/>
        </w:rPr>
        <w:t>The 4.1 pp slack reveals that the binding constraint is profitability, not risk. Every eligible Excellent, Good, and Fair customer passes the breakeven test under baseline parameters. Only Poor customers face a genuine binary trade-off driven by the profit constraint. The risk cap would only become binding under an adverse scenario with aggressive default rates.</w:t>
      </w:r>
    </w:p>
    <w:p w14:paraId="483E426D">
      <w:pPr>
        <w:jc w:val="center"/>
      </w:pPr>
      <w:r>
        <w:drawing>
          <wp:inline distT="0" distB="0" distL="114300" distR="114300">
            <wp:extent cx="5303520" cy="1716405"/>
            <wp:effectExtent l="0" t="0" r="508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1717031"/>
                    </a:xfrm>
                    <a:prstGeom prst="rect">
                      <a:avLst/>
                    </a:prstGeom>
                  </pic:spPr>
                </pic:pic>
              </a:graphicData>
            </a:graphic>
          </wp:inline>
        </w:drawing>
      </w:r>
    </w:p>
    <w:p w14:paraId="4C785115">
      <w:pPr>
        <w:spacing w:after="200"/>
        <w:jc w:val="center"/>
      </w:pPr>
      <w:r>
        <w:rPr>
          <w:i/>
          <w:color w:val="BFBFBF"/>
          <w:sz w:val="18"/>
        </w:rPr>
        <w:t>Figure 4: LP results: approval rates and exposure by credit state</w:t>
      </w:r>
    </w:p>
    <w:p w14:paraId="18760EEF">
      <w:pPr>
        <w:jc w:val="center"/>
      </w:pPr>
      <w:r>
        <w:drawing>
          <wp:inline distT="0" distB="0" distL="114300" distR="114300">
            <wp:extent cx="5303520" cy="2611120"/>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611296"/>
                    </a:xfrm>
                    <a:prstGeom prst="rect">
                      <a:avLst/>
                    </a:prstGeom>
                  </pic:spPr>
                </pic:pic>
              </a:graphicData>
            </a:graphic>
          </wp:inline>
        </w:drawing>
      </w:r>
    </w:p>
    <w:p w14:paraId="758F083C">
      <w:pPr>
        <w:spacing w:after="200"/>
        <w:jc w:val="center"/>
      </w:pPr>
      <w:r>
        <w:rPr>
          <w:i/>
          <w:color w:val="BFBFBF"/>
          <w:sz w:val="18"/>
        </w:rPr>
        <w:t>Figure 12: Risk-exposure product distribution and portfolio risk cap slack</w:t>
      </w:r>
    </w:p>
    <w:p w14:paraId="71B340BD">
      <w:r>
        <w:br w:type="page"/>
      </w:r>
    </w:p>
    <w:p w14:paraId="6317625A">
      <w:pPr>
        <w:pStyle w:val="2"/>
        <w:spacing w:before="280" w:after="80"/>
      </w:pPr>
      <w:r>
        <w:rPr>
          <w:b/>
          <w:color w:val="1A3A5C"/>
          <w:sz w:val="32"/>
        </w:rPr>
        <w:t>11. Results &amp; Performance</w:t>
      </w:r>
    </w:p>
    <w:p w14:paraId="63FD105F">
      <w:pPr>
        <w:pStyle w:val="3"/>
        <w:spacing w:before="280" w:after="80"/>
      </w:pPr>
      <w:r>
        <w:rPr>
          <w:b/>
          <w:color w:val="2E74B5"/>
          <w:sz w:val="26"/>
        </w:rPr>
        <w:t>11.1  Extension Grant Summary</w:t>
      </w:r>
    </w:p>
    <w:tbl>
      <w:tblPr>
        <w:tblStyle w:val="12"/>
        <w:tblW w:w="0" w:type="auto"/>
        <w:jc w:val="center"/>
        <w:tblLayout w:type="autofit"/>
        <w:tblCellMar>
          <w:top w:w="0" w:type="dxa"/>
          <w:left w:w="108" w:type="dxa"/>
          <w:bottom w:w="0" w:type="dxa"/>
          <w:right w:w="108" w:type="dxa"/>
        </w:tblCellMar>
      </w:tblPr>
      <w:tblGrid>
        <w:gridCol w:w="1728"/>
        <w:gridCol w:w="1377"/>
        <w:gridCol w:w="1399"/>
        <w:gridCol w:w="1508"/>
        <w:gridCol w:w="1759"/>
        <w:gridCol w:w="1851"/>
      </w:tblGrid>
      <w:tr w14:paraId="0CB74478">
        <w:trPr>
          <w:jc w:val="center"/>
        </w:trPr>
        <w:tc>
          <w:tcPr>
            <w:tcW w:w="2016" w:type="dxa"/>
            <w:shd w:val="clear" w:color="auto" w:fill="1A3A5C"/>
          </w:tcPr>
          <w:p w14:paraId="3A667866">
            <w:pPr>
              <w:jc w:val="center"/>
            </w:pPr>
            <w:r>
              <w:rPr>
                <w:b/>
                <w:color w:val="FFFFFF"/>
                <w:sz w:val="20"/>
              </w:rPr>
              <w:t>Credit State</w:t>
            </w:r>
          </w:p>
        </w:tc>
        <w:tc>
          <w:tcPr>
            <w:tcW w:w="1440" w:type="dxa"/>
            <w:shd w:val="clear" w:color="auto" w:fill="1A3A5C"/>
          </w:tcPr>
          <w:p w14:paraId="1926D068">
            <w:pPr>
              <w:jc w:val="center"/>
            </w:pPr>
            <w:r>
              <w:rPr>
                <w:b/>
                <w:color w:val="FFFFFF"/>
                <w:sz w:val="20"/>
              </w:rPr>
              <w:t>Eligible</w:t>
            </w:r>
          </w:p>
        </w:tc>
        <w:tc>
          <w:tcPr>
            <w:tcW w:w="1440" w:type="dxa"/>
            <w:shd w:val="clear" w:color="auto" w:fill="1A3A5C"/>
          </w:tcPr>
          <w:p w14:paraId="0F53A980">
            <w:pPr>
              <w:jc w:val="center"/>
            </w:pPr>
            <w:r>
              <w:rPr>
                <w:b/>
                <w:color w:val="FFFFFF"/>
                <w:sz w:val="20"/>
              </w:rPr>
              <w:t>Granted</w:t>
            </w:r>
          </w:p>
        </w:tc>
        <w:tc>
          <w:tcPr>
            <w:tcW w:w="1584" w:type="dxa"/>
            <w:shd w:val="clear" w:color="auto" w:fill="1A3A5C"/>
          </w:tcPr>
          <w:p w14:paraId="664FEA06">
            <w:pPr>
              <w:jc w:val="center"/>
            </w:pPr>
            <w:r>
              <w:rPr>
                <w:b/>
                <w:color w:val="FFFFFF"/>
                <w:sz w:val="20"/>
              </w:rPr>
              <w:t>Approval %</w:t>
            </w:r>
          </w:p>
        </w:tc>
        <w:tc>
          <w:tcPr>
            <w:tcW w:w="2160" w:type="dxa"/>
            <w:shd w:val="clear" w:color="auto" w:fill="1A3A5C"/>
          </w:tcPr>
          <w:p w14:paraId="42B99E68">
            <w:pPr>
              <w:jc w:val="center"/>
            </w:pPr>
            <w:r>
              <w:rPr>
                <w:b/>
                <w:color w:val="FFFFFF"/>
                <w:sz w:val="20"/>
              </w:rPr>
              <w:t>Avg Term (days)</w:t>
            </w:r>
          </w:p>
        </w:tc>
        <w:tc>
          <w:tcPr>
            <w:tcW w:w="2160" w:type="dxa"/>
            <w:shd w:val="clear" w:color="auto" w:fill="1A3A5C"/>
          </w:tcPr>
          <w:p w14:paraId="12D00624">
            <w:pPr>
              <w:jc w:val="center"/>
            </w:pPr>
            <w:r>
              <w:rPr>
                <w:b/>
                <w:color w:val="FFFFFF"/>
                <w:sz w:val="20"/>
              </w:rPr>
              <w:t>Avg p_default</w:t>
            </w:r>
          </w:p>
        </w:tc>
      </w:tr>
      <w:tr w14:paraId="300EE182">
        <w:trPr>
          <w:jc w:val="center"/>
        </w:trPr>
        <w:tc>
          <w:tcPr>
            <w:tcW w:w="1568" w:type="dxa"/>
            <w:shd w:val="clear" w:color="auto" w:fill="F2F2F2"/>
          </w:tcPr>
          <w:p w14:paraId="725E4F1A">
            <w:pPr>
              <w:jc w:val="center"/>
            </w:pPr>
            <w:r>
              <w:rPr>
                <w:sz w:val="20"/>
              </w:rPr>
              <w:t>Excellent</w:t>
            </w:r>
          </w:p>
        </w:tc>
        <w:tc>
          <w:tcPr>
            <w:tcW w:w="1568" w:type="dxa"/>
            <w:shd w:val="clear" w:color="auto" w:fill="F2F2F2"/>
          </w:tcPr>
          <w:p w14:paraId="30092F66">
            <w:pPr>
              <w:jc w:val="center"/>
            </w:pPr>
            <w:r>
              <w:rPr>
                <w:sz w:val="20"/>
              </w:rPr>
              <w:t>4,181</w:t>
            </w:r>
          </w:p>
        </w:tc>
        <w:tc>
          <w:tcPr>
            <w:tcW w:w="1568" w:type="dxa"/>
            <w:shd w:val="clear" w:color="auto" w:fill="F2F2F2"/>
          </w:tcPr>
          <w:p w14:paraId="253EFFDC">
            <w:pPr>
              <w:jc w:val="center"/>
            </w:pPr>
            <w:r>
              <w:rPr>
                <w:sz w:val="20"/>
              </w:rPr>
              <w:t>4,181</w:t>
            </w:r>
          </w:p>
        </w:tc>
        <w:tc>
          <w:tcPr>
            <w:tcW w:w="1568" w:type="dxa"/>
            <w:shd w:val="clear" w:color="auto" w:fill="F2F2F2"/>
          </w:tcPr>
          <w:p w14:paraId="05FD8500">
            <w:pPr>
              <w:jc w:val="center"/>
            </w:pPr>
            <w:r>
              <w:rPr>
                <w:sz w:val="20"/>
              </w:rPr>
              <w:t>100.0%</w:t>
            </w:r>
          </w:p>
        </w:tc>
        <w:tc>
          <w:tcPr>
            <w:tcW w:w="1568" w:type="dxa"/>
            <w:shd w:val="clear" w:color="auto" w:fill="F2F2F2"/>
          </w:tcPr>
          <w:p w14:paraId="031899A6">
            <w:pPr>
              <w:jc w:val="center"/>
            </w:pPr>
            <w:r>
              <w:rPr>
                <w:sz w:val="20"/>
              </w:rPr>
              <w:t>45</w:t>
            </w:r>
          </w:p>
        </w:tc>
        <w:tc>
          <w:tcPr>
            <w:tcW w:w="1568" w:type="dxa"/>
            <w:shd w:val="clear" w:color="auto" w:fill="F2F2F2"/>
          </w:tcPr>
          <w:p w14:paraId="51326378">
            <w:pPr>
              <w:jc w:val="center"/>
            </w:pPr>
            <w:r>
              <w:rPr>
                <w:sz w:val="20"/>
              </w:rPr>
              <w:t>0.6%</w:t>
            </w:r>
          </w:p>
        </w:tc>
      </w:tr>
      <w:tr w14:paraId="5058C69F">
        <w:trPr>
          <w:jc w:val="center"/>
        </w:trPr>
        <w:tc>
          <w:tcPr>
            <w:tcW w:w="1568" w:type="dxa"/>
            <w:shd w:val="clear" w:color="auto" w:fill="FFFFFF"/>
          </w:tcPr>
          <w:p w14:paraId="40949842">
            <w:pPr>
              <w:jc w:val="center"/>
            </w:pPr>
            <w:r>
              <w:rPr>
                <w:sz w:val="20"/>
              </w:rPr>
              <w:t>Good</w:t>
            </w:r>
          </w:p>
        </w:tc>
        <w:tc>
          <w:tcPr>
            <w:tcW w:w="1568" w:type="dxa"/>
            <w:shd w:val="clear" w:color="auto" w:fill="FFFFFF"/>
          </w:tcPr>
          <w:p w14:paraId="77D73740">
            <w:pPr>
              <w:jc w:val="center"/>
            </w:pPr>
            <w:r>
              <w:rPr>
                <w:sz w:val="20"/>
              </w:rPr>
              <w:t>7,607</w:t>
            </w:r>
          </w:p>
        </w:tc>
        <w:tc>
          <w:tcPr>
            <w:tcW w:w="1568" w:type="dxa"/>
            <w:shd w:val="clear" w:color="auto" w:fill="FFFFFF"/>
          </w:tcPr>
          <w:p w14:paraId="2D2262D2">
            <w:pPr>
              <w:jc w:val="center"/>
            </w:pPr>
            <w:r>
              <w:rPr>
                <w:sz w:val="20"/>
              </w:rPr>
              <w:t>7,607</w:t>
            </w:r>
          </w:p>
        </w:tc>
        <w:tc>
          <w:tcPr>
            <w:tcW w:w="1568" w:type="dxa"/>
            <w:shd w:val="clear" w:color="auto" w:fill="FFFFFF"/>
          </w:tcPr>
          <w:p w14:paraId="568FCF9F">
            <w:pPr>
              <w:jc w:val="center"/>
            </w:pPr>
            <w:r>
              <w:rPr>
                <w:sz w:val="20"/>
              </w:rPr>
              <w:t>100.0%</w:t>
            </w:r>
          </w:p>
        </w:tc>
        <w:tc>
          <w:tcPr>
            <w:tcW w:w="1568" w:type="dxa"/>
            <w:shd w:val="clear" w:color="auto" w:fill="FFFFFF"/>
          </w:tcPr>
          <w:p w14:paraId="591925FA">
            <w:pPr>
              <w:jc w:val="center"/>
            </w:pPr>
            <w:r>
              <w:rPr>
                <w:sz w:val="20"/>
              </w:rPr>
              <w:t>60</w:t>
            </w:r>
          </w:p>
        </w:tc>
        <w:tc>
          <w:tcPr>
            <w:tcW w:w="1568" w:type="dxa"/>
            <w:shd w:val="clear" w:color="auto" w:fill="FFFFFF"/>
          </w:tcPr>
          <w:p w14:paraId="5232EF77">
            <w:pPr>
              <w:jc w:val="center"/>
            </w:pPr>
            <w:r>
              <w:rPr>
                <w:sz w:val="20"/>
              </w:rPr>
              <w:t>1.8%</w:t>
            </w:r>
          </w:p>
        </w:tc>
      </w:tr>
      <w:tr w14:paraId="58860682">
        <w:trPr>
          <w:jc w:val="center"/>
        </w:trPr>
        <w:tc>
          <w:tcPr>
            <w:tcW w:w="1568" w:type="dxa"/>
            <w:shd w:val="clear" w:color="auto" w:fill="F2F2F2"/>
          </w:tcPr>
          <w:p w14:paraId="70D092E3">
            <w:pPr>
              <w:jc w:val="center"/>
            </w:pPr>
            <w:r>
              <w:rPr>
                <w:sz w:val="20"/>
              </w:rPr>
              <w:t>Fair</w:t>
            </w:r>
          </w:p>
        </w:tc>
        <w:tc>
          <w:tcPr>
            <w:tcW w:w="1568" w:type="dxa"/>
            <w:shd w:val="clear" w:color="auto" w:fill="F2F2F2"/>
          </w:tcPr>
          <w:p w14:paraId="69EB49D2">
            <w:pPr>
              <w:jc w:val="center"/>
            </w:pPr>
            <w:r>
              <w:rPr>
                <w:sz w:val="20"/>
              </w:rPr>
              <w:t>7,926</w:t>
            </w:r>
          </w:p>
        </w:tc>
        <w:tc>
          <w:tcPr>
            <w:tcW w:w="1568" w:type="dxa"/>
            <w:shd w:val="clear" w:color="auto" w:fill="F2F2F2"/>
          </w:tcPr>
          <w:p w14:paraId="5AAFDA58">
            <w:pPr>
              <w:jc w:val="center"/>
            </w:pPr>
            <w:r>
              <w:rPr>
                <w:sz w:val="20"/>
              </w:rPr>
              <w:t>7,926</w:t>
            </w:r>
          </w:p>
        </w:tc>
        <w:tc>
          <w:tcPr>
            <w:tcW w:w="1568" w:type="dxa"/>
            <w:shd w:val="clear" w:color="auto" w:fill="F2F2F2"/>
          </w:tcPr>
          <w:p w14:paraId="663235F9">
            <w:pPr>
              <w:jc w:val="center"/>
            </w:pPr>
            <w:r>
              <w:rPr>
                <w:sz w:val="20"/>
              </w:rPr>
              <w:t>100.0%</w:t>
            </w:r>
          </w:p>
        </w:tc>
        <w:tc>
          <w:tcPr>
            <w:tcW w:w="1568" w:type="dxa"/>
            <w:shd w:val="clear" w:color="auto" w:fill="F2F2F2"/>
          </w:tcPr>
          <w:p w14:paraId="4D620D31">
            <w:pPr>
              <w:jc w:val="center"/>
            </w:pPr>
            <w:r>
              <w:rPr>
                <w:sz w:val="20"/>
              </w:rPr>
              <w:t>75</w:t>
            </w:r>
          </w:p>
        </w:tc>
        <w:tc>
          <w:tcPr>
            <w:tcW w:w="1568" w:type="dxa"/>
            <w:shd w:val="clear" w:color="auto" w:fill="F2F2F2"/>
          </w:tcPr>
          <w:p w14:paraId="0CAF0993">
            <w:pPr>
              <w:jc w:val="center"/>
            </w:pPr>
            <w:r>
              <w:rPr>
                <w:sz w:val="20"/>
              </w:rPr>
              <w:t>4.8%</w:t>
            </w:r>
          </w:p>
        </w:tc>
      </w:tr>
      <w:tr w14:paraId="437B757E">
        <w:trPr>
          <w:jc w:val="center"/>
        </w:trPr>
        <w:tc>
          <w:tcPr>
            <w:tcW w:w="1568" w:type="dxa"/>
            <w:shd w:val="clear" w:color="auto" w:fill="FFFFFF"/>
          </w:tcPr>
          <w:p w14:paraId="169CC6E3">
            <w:pPr>
              <w:jc w:val="center"/>
            </w:pPr>
            <w:r>
              <w:rPr>
                <w:sz w:val="20"/>
              </w:rPr>
              <w:t>Poor</w:t>
            </w:r>
          </w:p>
        </w:tc>
        <w:tc>
          <w:tcPr>
            <w:tcW w:w="1568" w:type="dxa"/>
            <w:shd w:val="clear" w:color="auto" w:fill="FFFFFF"/>
          </w:tcPr>
          <w:p w14:paraId="533DCC04">
            <w:pPr>
              <w:jc w:val="center"/>
            </w:pPr>
            <w:r>
              <w:rPr>
                <w:sz w:val="20"/>
              </w:rPr>
              <w:t>5,352</w:t>
            </w:r>
          </w:p>
        </w:tc>
        <w:tc>
          <w:tcPr>
            <w:tcW w:w="1568" w:type="dxa"/>
            <w:shd w:val="clear" w:color="auto" w:fill="FFFFFF"/>
          </w:tcPr>
          <w:p w14:paraId="03EAF18C">
            <w:pPr>
              <w:jc w:val="center"/>
            </w:pPr>
            <w:r>
              <w:rPr>
                <w:sz w:val="20"/>
              </w:rPr>
              <w:t>4,026</w:t>
            </w:r>
          </w:p>
        </w:tc>
        <w:tc>
          <w:tcPr>
            <w:tcW w:w="1568" w:type="dxa"/>
            <w:shd w:val="clear" w:color="auto" w:fill="FFFFFF"/>
          </w:tcPr>
          <w:p w14:paraId="6D3F6CF0">
            <w:pPr>
              <w:jc w:val="center"/>
            </w:pPr>
            <w:r>
              <w:rPr>
                <w:sz w:val="20"/>
              </w:rPr>
              <w:t>75.2%</w:t>
            </w:r>
          </w:p>
        </w:tc>
        <w:tc>
          <w:tcPr>
            <w:tcW w:w="1568" w:type="dxa"/>
            <w:shd w:val="clear" w:color="auto" w:fill="FFFFFF"/>
          </w:tcPr>
          <w:p w14:paraId="35513815">
            <w:pPr>
              <w:jc w:val="center"/>
            </w:pPr>
            <w:r>
              <w:rPr>
                <w:sz w:val="20"/>
              </w:rPr>
              <w:t>90</w:t>
            </w:r>
          </w:p>
        </w:tc>
        <w:tc>
          <w:tcPr>
            <w:tcW w:w="1568" w:type="dxa"/>
            <w:shd w:val="clear" w:color="auto" w:fill="FFFFFF"/>
          </w:tcPr>
          <w:p w14:paraId="7BF70485">
            <w:pPr>
              <w:jc w:val="center"/>
            </w:pPr>
            <w:r>
              <w:rPr>
                <w:sz w:val="20"/>
              </w:rPr>
              <w:t>5.3%</w:t>
            </w:r>
          </w:p>
        </w:tc>
      </w:tr>
      <w:tr w14:paraId="6D8C4070">
        <w:trPr>
          <w:jc w:val="center"/>
        </w:trPr>
        <w:tc>
          <w:tcPr>
            <w:tcW w:w="1568" w:type="dxa"/>
            <w:shd w:val="clear" w:color="auto" w:fill="F2F2F2"/>
          </w:tcPr>
          <w:p w14:paraId="7D7AA2D1">
            <w:pPr>
              <w:jc w:val="center"/>
            </w:pPr>
            <w:r>
              <w:rPr>
                <w:sz w:val="20"/>
              </w:rPr>
              <w:t>Ineligible</w:t>
            </w:r>
          </w:p>
        </w:tc>
        <w:tc>
          <w:tcPr>
            <w:tcW w:w="1568" w:type="dxa"/>
            <w:shd w:val="clear" w:color="auto" w:fill="F2F2F2"/>
          </w:tcPr>
          <w:p w14:paraId="1600DEDC">
            <w:pPr>
              <w:jc w:val="center"/>
            </w:pPr>
            <w:r>
              <w:rPr>
                <w:sz w:val="20"/>
              </w:rPr>
              <w:t>4,932</w:t>
            </w:r>
          </w:p>
        </w:tc>
        <w:tc>
          <w:tcPr>
            <w:tcW w:w="1568" w:type="dxa"/>
            <w:shd w:val="clear" w:color="auto" w:fill="F2F2F2"/>
          </w:tcPr>
          <w:p w14:paraId="5BA407E1">
            <w:pPr>
              <w:jc w:val="center"/>
            </w:pPr>
            <w:r>
              <w:rPr>
                <w:sz w:val="20"/>
              </w:rPr>
              <w:t>0</w:t>
            </w:r>
          </w:p>
        </w:tc>
        <w:tc>
          <w:tcPr>
            <w:tcW w:w="1568" w:type="dxa"/>
            <w:shd w:val="clear" w:color="auto" w:fill="F2F2F2"/>
          </w:tcPr>
          <w:p w14:paraId="425B9DBF">
            <w:pPr>
              <w:jc w:val="center"/>
            </w:pPr>
            <w:r>
              <w:rPr>
                <w:sz w:val="20"/>
              </w:rPr>
              <w:t>—</w:t>
            </w:r>
          </w:p>
        </w:tc>
        <w:tc>
          <w:tcPr>
            <w:tcW w:w="1568" w:type="dxa"/>
            <w:shd w:val="clear" w:color="auto" w:fill="F2F2F2"/>
          </w:tcPr>
          <w:p w14:paraId="68745A8E">
            <w:pPr>
              <w:jc w:val="center"/>
            </w:pPr>
            <w:r>
              <w:rPr>
                <w:sz w:val="20"/>
              </w:rPr>
              <w:t>—</w:t>
            </w:r>
          </w:p>
        </w:tc>
        <w:tc>
          <w:tcPr>
            <w:tcW w:w="1568" w:type="dxa"/>
            <w:shd w:val="clear" w:color="auto" w:fill="F2F2F2"/>
          </w:tcPr>
          <w:p w14:paraId="156C0626">
            <w:pPr>
              <w:jc w:val="center"/>
            </w:pPr>
            <w:r>
              <w:rPr>
                <w:sz w:val="20"/>
              </w:rPr>
              <w:t>—</w:t>
            </w:r>
          </w:p>
        </w:tc>
      </w:tr>
      <w:tr w14:paraId="65B592D1">
        <w:trPr>
          <w:jc w:val="center"/>
        </w:trPr>
        <w:tc>
          <w:tcPr>
            <w:tcW w:w="1568" w:type="dxa"/>
            <w:shd w:val="clear" w:color="auto" w:fill="FFFFFF"/>
          </w:tcPr>
          <w:p w14:paraId="163F721F">
            <w:pPr>
              <w:jc w:val="center"/>
            </w:pPr>
            <w:r>
              <w:rPr>
                <w:sz w:val="20"/>
              </w:rPr>
              <w:t>Total</w:t>
            </w:r>
          </w:p>
        </w:tc>
        <w:tc>
          <w:tcPr>
            <w:tcW w:w="1568" w:type="dxa"/>
            <w:shd w:val="clear" w:color="auto" w:fill="FFFFFF"/>
          </w:tcPr>
          <w:p w14:paraId="50F9AD3F">
            <w:pPr>
              <w:jc w:val="center"/>
            </w:pPr>
            <w:r>
              <w:rPr>
                <w:sz w:val="20"/>
              </w:rPr>
              <w:t>30,000</w:t>
            </w:r>
          </w:p>
        </w:tc>
        <w:tc>
          <w:tcPr>
            <w:tcW w:w="1568" w:type="dxa"/>
            <w:shd w:val="clear" w:color="auto" w:fill="FFFFFF"/>
          </w:tcPr>
          <w:p w14:paraId="419DC79F">
            <w:pPr>
              <w:jc w:val="center"/>
            </w:pPr>
            <w:r>
              <w:rPr>
                <w:sz w:val="20"/>
              </w:rPr>
              <w:t>23,740</w:t>
            </w:r>
          </w:p>
        </w:tc>
        <w:tc>
          <w:tcPr>
            <w:tcW w:w="1568" w:type="dxa"/>
            <w:shd w:val="clear" w:color="auto" w:fill="FFFFFF"/>
          </w:tcPr>
          <w:p w14:paraId="57AD6850">
            <w:pPr>
              <w:jc w:val="center"/>
            </w:pPr>
            <w:r>
              <w:rPr>
                <w:sz w:val="20"/>
              </w:rPr>
              <w:t>94.7%*</w:t>
            </w:r>
          </w:p>
        </w:tc>
        <w:tc>
          <w:tcPr>
            <w:tcW w:w="1568" w:type="dxa"/>
            <w:shd w:val="clear" w:color="auto" w:fill="FFFFFF"/>
          </w:tcPr>
          <w:p w14:paraId="34ED61A5">
            <w:pPr>
              <w:jc w:val="center"/>
            </w:pPr>
            <w:r>
              <w:rPr>
                <w:sz w:val="20"/>
              </w:rPr>
              <w:t>67.8</w:t>
            </w:r>
          </w:p>
        </w:tc>
        <w:tc>
          <w:tcPr>
            <w:tcW w:w="1568" w:type="dxa"/>
            <w:shd w:val="clear" w:color="auto" w:fill="FFFFFF"/>
          </w:tcPr>
          <w:p w14:paraId="732823D6">
            <w:pPr>
              <w:jc w:val="center"/>
            </w:pPr>
            <w:r>
              <w:rPr>
                <w:sz w:val="20"/>
              </w:rPr>
              <w:t>0.90%</w:t>
            </w:r>
          </w:p>
        </w:tc>
      </w:tr>
    </w:tbl>
    <w:p w14:paraId="7A1ACE9B"/>
    <w:p w14:paraId="17786CF4">
      <w:pPr>
        <w:spacing w:after="120"/>
        <w:jc w:val="left"/>
      </w:pPr>
      <w:r>
        <w:rPr>
          <w:b w:val="0"/>
          <w:i/>
          <w:sz w:val="19"/>
        </w:rPr>
        <w:t>* 94.7% of eligible accounts; 79.1% of all 30,000 accounts.</w:t>
      </w:r>
    </w:p>
    <w:p w14:paraId="7DCC67AE">
      <w:pPr>
        <w:pStyle w:val="3"/>
        <w:spacing w:before="280" w:after="80"/>
      </w:pPr>
      <w:r>
        <w:rPr>
          <w:b/>
          <w:color w:val="2E74B5"/>
          <w:sz w:val="26"/>
        </w:rPr>
        <w:t>11.2  Financial Summary</w:t>
      </w:r>
    </w:p>
    <w:tbl>
      <w:tblPr>
        <w:tblStyle w:val="12"/>
        <w:tblW w:w="0" w:type="auto"/>
        <w:jc w:val="center"/>
        <w:tblLayout w:type="autofit"/>
        <w:tblCellMar>
          <w:top w:w="0" w:type="dxa"/>
          <w:left w:w="108" w:type="dxa"/>
          <w:bottom w:w="0" w:type="dxa"/>
          <w:right w:w="108" w:type="dxa"/>
        </w:tblCellMar>
      </w:tblPr>
      <w:tblGrid>
        <w:gridCol w:w="1870"/>
        <w:gridCol w:w="1873"/>
        <w:gridCol w:w="2252"/>
        <w:gridCol w:w="1858"/>
        <w:gridCol w:w="1769"/>
      </w:tblGrid>
      <w:tr w14:paraId="3E46E8BB">
        <w:trPr>
          <w:jc w:val="center"/>
        </w:trPr>
        <w:tc>
          <w:tcPr>
            <w:tcW w:w="2016" w:type="dxa"/>
            <w:shd w:val="clear" w:color="auto" w:fill="1A3A5C"/>
          </w:tcPr>
          <w:p w14:paraId="28F70C63">
            <w:pPr>
              <w:jc w:val="center"/>
            </w:pPr>
            <w:r>
              <w:rPr>
                <w:b/>
                <w:color w:val="FFFFFF"/>
                <w:sz w:val="20"/>
              </w:rPr>
              <w:t>Credit State</w:t>
            </w:r>
          </w:p>
        </w:tc>
        <w:tc>
          <w:tcPr>
            <w:tcW w:w="2016" w:type="dxa"/>
            <w:shd w:val="clear" w:color="auto" w:fill="1A3A5C"/>
          </w:tcPr>
          <w:p w14:paraId="722014CD">
            <w:pPr>
              <w:jc w:val="center"/>
            </w:pPr>
            <w:r>
              <w:rPr>
                <w:b/>
                <w:color w:val="FFFFFF"/>
                <w:sz w:val="20"/>
              </w:rPr>
              <w:t>Revenue ($)</w:t>
            </w:r>
          </w:p>
        </w:tc>
        <w:tc>
          <w:tcPr>
            <w:tcW w:w="2448" w:type="dxa"/>
            <w:shd w:val="clear" w:color="auto" w:fill="1A3A5C"/>
          </w:tcPr>
          <w:p w14:paraId="18575B64">
            <w:pPr>
              <w:jc w:val="center"/>
            </w:pPr>
            <w:r>
              <w:rPr>
                <w:b/>
                <w:color w:val="FFFFFF"/>
                <w:sz w:val="20"/>
              </w:rPr>
              <w:t>Expected Loss ($)</w:t>
            </w:r>
          </w:p>
        </w:tc>
        <w:tc>
          <w:tcPr>
            <w:tcW w:w="2016" w:type="dxa"/>
            <w:shd w:val="clear" w:color="auto" w:fill="1A3A5C"/>
          </w:tcPr>
          <w:p w14:paraId="7529D188">
            <w:pPr>
              <w:jc w:val="center"/>
            </w:pPr>
            <w:r>
              <w:rPr>
                <w:b/>
                <w:color w:val="FFFFFF"/>
                <w:sz w:val="20"/>
              </w:rPr>
              <w:t>Net Profit ($)</w:t>
            </w:r>
          </w:p>
        </w:tc>
        <w:tc>
          <w:tcPr>
            <w:tcW w:w="1584" w:type="dxa"/>
            <w:shd w:val="clear" w:color="auto" w:fill="1A3A5C"/>
          </w:tcPr>
          <w:p w14:paraId="40261025">
            <w:pPr>
              <w:jc w:val="center"/>
            </w:pPr>
            <w:r>
              <w:rPr>
                <w:b/>
                <w:color w:val="FFFFFF"/>
                <w:sz w:val="20"/>
              </w:rPr>
              <w:t>Return %</w:t>
            </w:r>
          </w:p>
        </w:tc>
      </w:tr>
      <w:tr w14:paraId="0F6BD8FA">
        <w:trPr>
          <w:jc w:val="center"/>
        </w:trPr>
        <w:tc>
          <w:tcPr>
            <w:tcW w:w="1881" w:type="dxa"/>
            <w:shd w:val="clear" w:color="auto" w:fill="F2F2F2"/>
          </w:tcPr>
          <w:p w14:paraId="6D414C2E">
            <w:pPr>
              <w:jc w:val="center"/>
            </w:pPr>
            <w:r>
              <w:rPr>
                <w:sz w:val="20"/>
              </w:rPr>
              <w:t>Excellent</w:t>
            </w:r>
          </w:p>
        </w:tc>
        <w:tc>
          <w:tcPr>
            <w:tcW w:w="1881" w:type="dxa"/>
            <w:shd w:val="clear" w:color="auto" w:fill="F2F2F2"/>
          </w:tcPr>
          <w:p w14:paraId="36FE404A">
            <w:pPr>
              <w:jc w:val="center"/>
            </w:pPr>
            <w:r>
              <w:rPr>
                <w:sz w:val="20"/>
              </w:rPr>
              <w:t>171,421</w:t>
            </w:r>
          </w:p>
        </w:tc>
        <w:tc>
          <w:tcPr>
            <w:tcW w:w="1881" w:type="dxa"/>
            <w:shd w:val="clear" w:color="auto" w:fill="F2F2F2"/>
          </w:tcPr>
          <w:p w14:paraId="379D2DB4">
            <w:pPr>
              <w:jc w:val="center"/>
            </w:pPr>
            <w:r>
              <w:rPr>
                <w:sz w:val="20"/>
              </w:rPr>
              <w:t>11,892</w:t>
            </w:r>
          </w:p>
        </w:tc>
        <w:tc>
          <w:tcPr>
            <w:tcW w:w="1881" w:type="dxa"/>
            <w:shd w:val="clear" w:color="auto" w:fill="F2F2F2"/>
          </w:tcPr>
          <w:p w14:paraId="2F43F7E7">
            <w:pPr>
              <w:jc w:val="center"/>
            </w:pPr>
            <w:r>
              <w:rPr>
                <w:sz w:val="20"/>
              </w:rPr>
              <w:t>159,529</w:t>
            </w:r>
          </w:p>
        </w:tc>
        <w:tc>
          <w:tcPr>
            <w:tcW w:w="1881" w:type="dxa"/>
            <w:shd w:val="clear" w:color="auto" w:fill="F2F2F2"/>
          </w:tcPr>
          <w:p w14:paraId="2B236E5A">
            <w:pPr>
              <w:jc w:val="center"/>
            </w:pPr>
            <w:r>
              <w:rPr>
                <w:sz w:val="20"/>
              </w:rPr>
              <w:t>1.86%</w:t>
            </w:r>
          </w:p>
        </w:tc>
      </w:tr>
      <w:tr w14:paraId="090832D4">
        <w:trPr>
          <w:jc w:val="center"/>
        </w:trPr>
        <w:tc>
          <w:tcPr>
            <w:tcW w:w="1881" w:type="dxa"/>
            <w:shd w:val="clear" w:color="auto" w:fill="FFFFFF"/>
          </w:tcPr>
          <w:p w14:paraId="12E1BB9C">
            <w:pPr>
              <w:jc w:val="center"/>
            </w:pPr>
            <w:r>
              <w:rPr>
                <w:sz w:val="20"/>
              </w:rPr>
              <w:t>Good</w:t>
            </w:r>
          </w:p>
        </w:tc>
        <w:tc>
          <w:tcPr>
            <w:tcW w:w="1881" w:type="dxa"/>
            <w:shd w:val="clear" w:color="auto" w:fill="FFFFFF"/>
          </w:tcPr>
          <w:p w14:paraId="609C747E">
            <w:pPr>
              <w:jc w:val="center"/>
            </w:pPr>
            <w:r>
              <w:rPr>
                <w:sz w:val="20"/>
              </w:rPr>
              <w:t>313,488</w:t>
            </w:r>
          </w:p>
        </w:tc>
        <w:tc>
          <w:tcPr>
            <w:tcW w:w="1881" w:type="dxa"/>
            <w:shd w:val="clear" w:color="auto" w:fill="FFFFFF"/>
          </w:tcPr>
          <w:p w14:paraId="1B14E5FE">
            <w:pPr>
              <w:jc w:val="center"/>
            </w:pPr>
            <w:r>
              <w:rPr>
                <w:sz w:val="20"/>
              </w:rPr>
              <w:t>68,218</w:t>
            </w:r>
          </w:p>
        </w:tc>
        <w:tc>
          <w:tcPr>
            <w:tcW w:w="1881" w:type="dxa"/>
            <w:shd w:val="clear" w:color="auto" w:fill="FFFFFF"/>
          </w:tcPr>
          <w:p w14:paraId="22F9DEC4">
            <w:pPr>
              <w:jc w:val="center"/>
            </w:pPr>
            <w:r>
              <w:rPr>
                <w:sz w:val="20"/>
              </w:rPr>
              <w:t>245,270</w:t>
            </w:r>
          </w:p>
        </w:tc>
        <w:tc>
          <w:tcPr>
            <w:tcW w:w="1881" w:type="dxa"/>
            <w:shd w:val="clear" w:color="auto" w:fill="FFFFFF"/>
          </w:tcPr>
          <w:p w14:paraId="0D0AE36D">
            <w:pPr>
              <w:jc w:val="center"/>
            </w:pPr>
            <w:r>
              <w:rPr>
                <w:sz w:val="20"/>
              </w:rPr>
              <w:t>1.67%</w:t>
            </w:r>
          </w:p>
        </w:tc>
      </w:tr>
      <w:tr w14:paraId="3F43F216">
        <w:trPr>
          <w:jc w:val="center"/>
        </w:trPr>
        <w:tc>
          <w:tcPr>
            <w:tcW w:w="1881" w:type="dxa"/>
            <w:shd w:val="clear" w:color="auto" w:fill="F2F2F2"/>
          </w:tcPr>
          <w:p w14:paraId="4A7D1872">
            <w:pPr>
              <w:jc w:val="center"/>
            </w:pPr>
            <w:r>
              <w:rPr>
                <w:sz w:val="20"/>
              </w:rPr>
              <w:t>Fair</w:t>
            </w:r>
          </w:p>
        </w:tc>
        <w:tc>
          <w:tcPr>
            <w:tcW w:w="1881" w:type="dxa"/>
            <w:shd w:val="clear" w:color="auto" w:fill="F2F2F2"/>
          </w:tcPr>
          <w:p w14:paraId="5A792773">
            <w:pPr>
              <w:jc w:val="center"/>
            </w:pPr>
            <w:r>
              <w:rPr>
                <w:sz w:val="20"/>
              </w:rPr>
              <w:t>312,241</w:t>
            </w:r>
          </w:p>
        </w:tc>
        <w:tc>
          <w:tcPr>
            <w:tcW w:w="1881" w:type="dxa"/>
            <w:shd w:val="clear" w:color="auto" w:fill="F2F2F2"/>
          </w:tcPr>
          <w:p w14:paraId="44C63127">
            <w:pPr>
              <w:jc w:val="center"/>
            </w:pPr>
            <w:r>
              <w:rPr>
                <w:sz w:val="20"/>
              </w:rPr>
              <w:t>138,872</w:t>
            </w:r>
          </w:p>
        </w:tc>
        <w:tc>
          <w:tcPr>
            <w:tcW w:w="1881" w:type="dxa"/>
            <w:shd w:val="clear" w:color="auto" w:fill="F2F2F2"/>
          </w:tcPr>
          <w:p w14:paraId="093FB5AE">
            <w:pPr>
              <w:jc w:val="center"/>
            </w:pPr>
            <w:r>
              <w:rPr>
                <w:sz w:val="20"/>
              </w:rPr>
              <w:t>173,369</w:t>
            </w:r>
          </w:p>
        </w:tc>
        <w:tc>
          <w:tcPr>
            <w:tcW w:w="1881" w:type="dxa"/>
            <w:shd w:val="clear" w:color="auto" w:fill="F2F2F2"/>
          </w:tcPr>
          <w:p w14:paraId="6A17DFF5">
            <w:pPr>
              <w:jc w:val="center"/>
            </w:pPr>
            <w:r>
              <w:rPr>
                <w:sz w:val="20"/>
              </w:rPr>
              <w:t>1.33%</w:t>
            </w:r>
          </w:p>
        </w:tc>
      </w:tr>
      <w:tr w14:paraId="4AE18679">
        <w:trPr>
          <w:jc w:val="center"/>
        </w:trPr>
        <w:tc>
          <w:tcPr>
            <w:tcW w:w="1881" w:type="dxa"/>
            <w:shd w:val="clear" w:color="auto" w:fill="FFFFFF"/>
          </w:tcPr>
          <w:p w14:paraId="3DDCA522">
            <w:pPr>
              <w:jc w:val="center"/>
            </w:pPr>
            <w:r>
              <w:rPr>
                <w:sz w:val="20"/>
              </w:rPr>
              <w:t>Poor</w:t>
            </w:r>
          </w:p>
        </w:tc>
        <w:tc>
          <w:tcPr>
            <w:tcW w:w="1881" w:type="dxa"/>
            <w:shd w:val="clear" w:color="auto" w:fill="FFFFFF"/>
          </w:tcPr>
          <w:p w14:paraId="1FF7ADE1">
            <w:pPr>
              <w:jc w:val="center"/>
            </w:pPr>
            <w:r>
              <w:rPr>
                <w:sz w:val="20"/>
              </w:rPr>
              <w:t>135,908</w:t>
            </w:r>
          </w:p>
        </w:tc>
        <w:tc>
          <w:tcPr>
            <w:tcW w:w="1881" w:type="dxa"/>
            <w:shd w:val="clear" w:color="auto" w:fill="FFFFFF"/>
          </w:tcPr>
          <w:p w14:paraId="57BA1849">
            <w:pPr>
              <w:jc w:val="center"/>
            </w:pPr>
            <w:r>
              <w:rPr>
                <w:sz w:val="20"/>
              </w:rPr>
              <w:t>59,880</w:t>
            </w:r>
          </w:p>
        </w:tc>
        <w:tc>
          <w:tcPr>
            <w:tcW w:w="1881" w:type="dxa"/>
            <w:shd w:val="clear" w:color="auto" w:fill="FFFFFF"/>
          </w:tcPr>
          <w:p w14:paraId="09C8EE78">
            <w:pPr>
              <w:jc w:val="center"/>
            </w:pPr>
            <w:r>
              <w:rPr>
                <w:sz w:val="20"/>
              </w:rPr>
              <w:t>76,028</w:t>
            </w:r>
          </w:p>
        </w:tc>
        <w:tc>
          <w:tcPr>
            <w:tcW w:w="1881" w:type="dxa"/>
            <w:shd w:val="clear" w:color="auto" w:fill="FFFFFF"/>
          </w:tcPr>
          <w:p w14:paraId="38262542">
            <w:pPr>
              <w:jc w:val="center"/>
            </w:pPr>
            <w:r>
              <w:rPr>
                <w:sz w:val="20"/>
              </w:rPr>
              <w:t>0.73%</w:t>
            </w:r>
          </w:p>
        </w:tc>
      </w:tr>
      <w:tr w14:paraId="54F9C656">
        <w:trPr>
          <w:jc w:val="center"/>
        </w:trPr>
        <w:tc>
          <w:tcPr>
            <w:tcW w:w="1881" w:type="dxa"/>
            <w:shd w:val="clear" w:color="auto" w:fill="F2F2F2"/>
          </w:tcPr>
          <w:p w14:paraId="7E277189">
            <w:pPr>
              <w:jc w:val="center"/>
            </w:pPr>
            <w:r>
              <w:rPr>
                <w:sz w:val="20"/>
              </w:rPr>
              <w:t>Total</w:t>
            </w:r>
          </w:p>
        </w:tc>
        <w:tc>
          <w:tcPr>
            <w:tcW w:w="1881" w:type="dxa"/>
            <w:shd w:val="clear" w:color="auto" w:fill="F2F2F2"/>
          </w:tcPr>
          <w:p w14:paraId="2BB7E871">
            <w:pPr>
              <w:jc w:val="center"/>
            </w:pPr>
            <w:r>
              <w:rPr>
                <w:sz w:val="20"/>
              </w:rPr>
              <w:t>933,058</w:t>
            </w:r>
          </w:p>
        </w:tc>
        <w:tc>
          <w:tcPr>
            <w:tcW w:w="1881" w:type="dxa"/>
            <w:shd w:val="clear" w:color="auto" w:fill="F2F2F2"/>
          </w:tcPr>
          <w:p w14:paraId="559D9025">
            <w:pPr>
              <w:jc w:val="center"/>
            </w:pPr>
            <w:r>
              <w:rPr>
                <w:sz w:val="20"/>
              </w:rPr>
              <w:t>278,862</w:t>
            </w:r>
          </w:p>
        </w:tc>
        <w:tc>
          <w:tcPr>
            <w:tcW w:w="1881" w:type="dxa"/>
            <w:shd w:val="clear" w:color="auto" w:fill="F2F2F2"/>
          </w:tcPr>
          <w:p w14:paraId="6568AC9D">
            <w:pPr>
              <w:jc w:val="center"/>
            </w:pPr>
            <w:r>
              <w:rPr>
                <w:sz w:val="20"/>
              </w:rPr>
              <w:t>654,196</w:t>
            </w:r>
          </w:p>
        </w:tc>
        <w:tc>
          <w:tcPr>
            <w:tcW w:w="1881" w:type="dxa"/>
            <w:shd w:val="clear" w:color="auto" w:fill="F2F2F2"/>
          </w:tcPr>
          <w:p w14:paraId="6AC8F26B">
            <w:pPr>
              <w:jc w:val="center"/>
            </w:pPr>
            <w:r>
              <w:rPr>
                <w:sz w:val="20"/>
              </w:rPr>
              <w:t>1.04%</w:t>
            </w:r>
          </w:p>
        </w:tc>
      </w:tr>
    </w:tbl>
    <w:p w14:paraId="43C929F5"/>
    <w:p w14:paraId="05211F79">
      <w:pPr>
        <w:pStyle w:val="3"/>
        <w:spacing w:before="280" w:after="80"/>
      </w:pPr>
      <w:r>
        <w:rPr>
          <w:b/>
          <w:color w:val="2E74B5"/>
          <w:sz w:val="26"/>
        </w:rPr>
        <w:t>11.3  Cumulative Profit Curve</w:t>
      </w:r>
    </w:p>
    <w:p w14:paraId="286E9552">
      <w:pPr>
        <w:spacing w:after="120"/>
        <w:jc w:val="left"/>
      </w:pPr>
      <w:r>
        <w:rPr>
          <w:b w:val="0"/>
          <w:i w:val="0"/>
          <w:sz w:val="21"/>
        </w:rPr>
        <w:t>Sorting customers by descending profitability_score reveals that the top 20% of extended customers (≈4,748 accounts) contribute approximately 55% of total net profit. This Pareto structure is important for tiered rollout planning — a phased deployment targeting top-quartile customers first would capture the majority of value at low operational risk.</w:t>
      </w:r>
    </w:p>
    <w:p w14:paraId="3C0A0A0D">
      <w:pPr>
        <w:jc w:val="center"/>
      </w:pPr>
      <w:r>
        <w:drawing>
          <wp:inline distT="0" distB="0" distL="114300" distR="114300">
            <wp:extent cx="5303520" cy="2608580"/>
            <wp:effectExtent l="0" t="0" r="508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2608642"/>
                    </a:xfrm>
                    <a:prstGeom prst="rect">
                      <a:avLst/>
                    </a:prstGeom>
                  </pic:spPr>
                </pic:pic>
              </a:graphicData>
            </a:graphic>
          </wp:inline>
        </w:drawing>
      </w:r>
    </w:p>
    <w:p w14:paraId="0089836F">
      <w:pPr>
        <w:spacing w:after="200"/>
        <w:jc w:val="center"/>
      </w:pPr>
      <w:r>
        <w:rPr>
          <w:i/>
          <w:color w:val="BFBFBF"/>
          <w:sz w:val="18"/>
        </w:rPr>
        <w:t>Figure 9: Cumulative profit curve: sorted by profitability score (Pareto analysis)</w:t>
      </w:r>
    </w:p>
    <w:p w14:paraId="3BC2C85D">
      <w:pPr>
        <w:pStyle w:val="3"/>
        <w:spacing w:before="280" w:after="80"/>
      </w:pPr>
      <w:r>
        <w:rPr>
          <w:b/>
          <w:color w:val="2E74B5"/>
          <w:sz w:val="26"/>
        </w:rPr>
        <w:t>11.4  Markov Chain Feedback</w:t>
      </w:r>
    </w:p>
    <w:p w14:paraId="01FDB6F0">
      <w:pPr>
        <w:spacing w:after="120"/>
        <w:jc w:val="left"/>
      </w:pPr>
      <w:r>
        <w:rPr>
          <w:b w:val="0"/>
          <w:i w:val="0"/>
          <w:sz w:val="21"/>
        </w:rPr>
        <w:t>The approved extensions shift the credit quality transition matrix. Customers who successfully complete an extension are more likely to transition upward (improving credit state) in the next period. Running five LP→Markov iterations shows:</w:t>
      </w:r>
    </w:p>
    <w:tbl>
      <w:tblPr>
        <w:tblStyle w:val="12"/>
        <w:tblW w:w="0" w:type="auto"/>
        <w:jc w:val="center"/>
        <w:tblLayout w:type="autofit"/>
        <w:tblCellMar>
          <w:top w:w="0" w:type="dxa"/>
          <w:left w:w="108" w:type="dxa"/>
          <w:bottom w:w="0" w:type="dxa"/>
          <w:right w:w="108" w:type="dxa"/>
        </w:tblCellMar>
      </w:tblPr>
      <w:tblGrid>
        <w:gridCol w:w="2074"/>
        <w:gridCol w:w="2744"/>
        <w:gridCol w:w="2744"/>
        <w:gridCol w:w="2060"/>
      </w:tblGrid>
      <w:tr w14:paraId="0247316C">
        <w:trPr>
          <w:jc w:val="center"/>
        </w:trPr>
        <w:tc>
          <w:tcPr>
            <w:tcW w:w="2016" w:type="dxa"/>
            <w:shd w:val="clear" w:color="auto" w:fill="1A3A5C"/>
          </w:tcPr>
          <w:p w14:paraId="391963F6">
            <w:pPr>
              <w:jc w:val="center"/>
            </w:pPr>
            <w:r>
              <w:rPr>
                <w:b/>
                <w:color w:val="FFFFFF"/>
                <w:sz w:val="20"/>
              </w:rPr>
              <w:t>State</w:t>
            </w:r>
          </w:p>
        </w:tc>
        <w:tc>
          <w:tcPr>
            <w:tcW w:w="3168" w:type="dxa"/>
            <w:shd w:val="clear" w:color="auto" w:fill="1A3A5C"/>
          </w:tcPr>
          <w:p w14:paraId="4560B4E2">
            <w:pPr>
              <w:jc w:val="center"/>
            </w:pPr>
            <w:r>
              <w:rPr>
                <w:b/>
                <w:color w:val="FFFFFF"/>
                <w:sz w:val="20"/>
              </w:rPr>
              <w:t>Pre-extension steady-state</w:t>
            </w:r>
          </w:p>
        </w:tc>
        <w:tc>
          <w:tcPr>
            <w:tcW w:w="3168" w:type="dxa"/>
            <w:shd w:val="clear" w:color="auto" w:fill="1A3A5C"/>
          </w:tcPr>
          <w:p w14:paraId="292A5F3D">
            <w:pPr>
              <w:jc w:val="center"/>
            </w:pPr>
            <w:r>
              <w:rPr>
                <w:b/>
                <w:color w:val="FFFFFF"/>
                <w:sz w:val="20"/>
              </w:rPr>
              <w:t>Post-extension steady-state</w:t>
            </w:r>
          </w:p>
        </w:tc>
        <w:tc>
          <w:tcPr>
            <w:tcW w:w="1728" w:type="dxa"/>
            <w:shd w:val="clear" w:color="auto" w:fill="1A3A5C"/>
          </w:tcPr>
          <w:p w14:paraId="30031FFC">
            <w:pPr>
              <w:jc w:val="center"/>
            </w:pPr>
            <w:r>
              <w:rPr>
                <w:b/>
                <w:color w:val="FFFFFF"/>
                <w:sz w:val="20"/>
              </w:rPr>
              <w:t>Change</w:t>
            </w:r>
          </w:p>
        </w:tc>
      </w:tr>
      <w:tr w14:paraId="70748E1B">
        <w:trPr>
          <w:jc w:val="center"/>
        </w:trPr>
        <w:tc>
          <w:tcPr>
            <w:tcW w:w="2351" w:type="dxa"/>
            <w:shd w:val="clear" w:color="auto" w:fill="F2F2F2"/>
          </w:tcPr>
          <w:p w14:paraId="5EC78415">
            <w:pPr>
              <w:jc w:val="center"/>
            </w:pPr>
            <w:r>
              <w:rPr>
                <w:sz w:val="20"/>
              </w:rPr>
              <w:t>Excellent</w:t>
            </w:r>
          </w:p>
        </w:tc>
        <w:tc>
          <w:tcPr>
            <w:tcW w:w="2351" w:type="dxa"/>
            <w:shd w:val="clear" w:color="auto" w:fill="F2F2F2"/>
          </w:tcPr>
          <w:p w14:paraId="380DDE4A">
            <w:pPr>
              <w:jc w:val="center"/>
            </w:pPr>
            <w:r>
              <w:rPr>
                <w:sz w:val="20"/>
              </w:rPr>
              <w:t>19.2%</w:t>
            </w:r>
          </w:p>
        </w:tc>
        <w:tc>
          <w:tcPr>
            <w:tcW w:w="2351" w:type="dxa"/>
            <w:shd w:val="clear" w:color="auto" w:fill="F2F2F2"/>
          </w:tcPr>
          <w:p w14:paraId="2AC42155">
            <w:pPr>
              <w:jc w:val="center"/>
            </w:pPr>
            <w:r>
              <w:rPr>
                <w:sz w:val="20"/>
              </w:rPr>
              <w:t>22.8%</w:t>
            </w:r>
          </w:p>
        </w:tc>
        <w:tc>
          <w:tcPr>
            <w:tcW w:w="2351" w:type="dxa"/>
            <w:shd w:val="clear" w:color="auto" w:fill="F2F2F2"/>
          </w:tcPr>
          <w:p w14:paraId="35EBFDEB">
            <w:pPr>
              <w:jc w:val="center"/>
            </w:pPr>
            <w:r>
              <w:rPr>
                <w:sz w:val="20"/>
              </w:rPr>
              <w:t>+3.6 pp</w:t>
            </w:r>
          </w:p>
        </w:tc>
      </w:tr>
      <w:tr w14:paraId="3BA27A37">
        <w:trPr>
          <w:jc w:val="center"/>
        </w:trPr>
        <w:tc>
          <w:tcPr>
            <w:tcW w:w="2351" w:type="dxa"/>
            <w:shd w:val="clear" w:color="auto" w:fill="FFFFFF"/>
          </w:tcPr>
          <w:p w14:paraId="5B6AF9A0">
            <w:pPr>
              <w:jc w:val="center"/>
            </w:pPr>
            <w:r>
              <w:rPr>
                <w:sz w:val="20"/>
              </w:rPr>
              <w:t>Good</w:t>
            </w:r>
          </w:p>
        </w:tc>
        <w:tc>
          <w:tcPr>
            <w:tcW w:w="2351" w:type="dxa"/>
            <w:shd w:val="clear" w:color="auto" w:fill="FFFFFF"/>
          </w:tcPr>
          <w:p w14:paraId="02EC89C3">
            <w:pPr>
              <w:jc w:val="center"/>
            </w:pPr>
            <w:r>
              <w:rPr>
                <w:sz w:val="20"/>
              </w:rPr>
              <w:t>34.1%</w:t>
            </w:r>
          </w:p>
        </w:tc>
        <w:tc>
          <w:tcPr>
            <w:tcW w:w="2351" w:type="dxa"/>
            <w:shd w:val="clear" w:color="auto" w:fill="FFFFFF"/>
          </w:tcPr>
          <w:p w14:paraId="44B18300">
            <w:pPr>
              <w:jc w:val="center"/>
            </w:pPr>
            <w:r>
              <w:rPr>
                <w:sz w:val="20"/>
              </w:rPr>
              <w:t>36.4%</w:t>
            </w:r>
          </w:p>
        </w:tc>
        <w:tc>
          <w:tcPr>
            <w:tcW w:w="2351" w:type="dxa"/>
            <w:shd w:val="clear" w:color="auto" w:fill="FFFFFF"/>
          </w:tcPr>
          <w:p w14:paraId="622654D2">
            <w:pPr>
              <w:jc w:val="center"/>
            </w:pPr>
            <w:r>
              <w:rPr>
                <w:sz w:val="20"/>
              </w:rPr>
              <w:t>+2.3 pp</w:t>
            </w:r>
          </w:p>
        </w:tc>
      </w:tr>
      <w:tr w14:paraId="70B6C3E5">
        <w:trPr>
          <w:jc w:val="center"/>
        </w:trPr>
        <w:tc>
          <w:tcPr>
            <w:tcW w:w="2351" w:type="dxa"/>
            <w:shd w:val="clear" w:color="auto" w:fill="F2F2F2"/>
          </w:tcPr>
          <w:p w14:paraId="23933E94">
            <w:pPr>
              <w:jc w:val="center"/>
            </w:pPr>
            <w:r>
              <w:rPr>
                <w:sz w:val="20"/>
              </w:rPr>
              <w:t>Fair</w:t>
            </w:r>
          </w:p>
        </w:tc>
        <w:tc>
          <w:tcPr>
            <w:tcW w:w="2351" w:type="dxa"/>
            <w:shd w:val="clear" w:color="auto" w:fill="F2F2F2"/>
          </w:tcPr>
          <w:p w14:paraId="3D93FC08">
            <w:pPr>
              <w:jc w:val="center"/>
            </w:pPr>
            <w:r>
              <w:rPr>
                <w:sz w:val="20"/>
              </w:rPr>
              <w:t>25.7%</w:t>
            </w:r>
          </w:p>
        </w:tc>
        <w:tc>
          <w:tcPr>
            <w:tcW w:w="2351" w:type="dxa"/>
            <w:shd w:val="clear" w:color="auto" w:fill="F2F2F2"/>
          </w:tcPr>
          <w:p w14:paraId="09878ED0">
            <w:pPr>
              <w:jc w:val="center"/>
            </w:pPr>
            <w:r>
              <w:rPr>
                <w:sz w:val="20"/>
              </w:rPr>
              <w:t>24.1%</w:t>
            </w:r>
          </w:p>
        </w:tc>
        <w:tc>
          <w:tcPr>
            <w:tcW w:w="2351" w:type="dxa"/>
            <w:shd w:val="clear" w:color="auto" w:fill="F2F2F2"/>
          </w:tcPr>
          <w:p w14:paraId="39D84CBE">
            <w:pPr>
              <w:jc w:val="center"/>
            </w:pPr>
            <w:r>
              <w:rPr>
                <w:sz w:val="20"/>
              </w:rPr>
              <w:t>−1.6 pp</w:t>
            </w:r>
          </w:p>
        </w:tc>
      </w:tr>
      <w:tr w14:paraId="67CBFF24">
        <w:trPr>
          <w:jc w:val="center"/>
        </w:trPr>
        <w:tc>
          <w:tcPr>
            <w:tcW w:w="2351" w:type="dxa"/>
            <w:shd w:val="clear" w:color="auto" w:fill="FFFFFF"/>
          </w:tcPr>
          <w:p w14:paraId="61845B3D">
            <w:pPr>
              <w:jc w:val="center"/>
            </w:pPr>
            <w:r>
              <w:rPr>
                <w:sz w:val="20"/>
              </w:rPr>
              <w:t>Poor</w:t>
            </w:r>
          </w:p>
        </w:tc>
        <w:tc>
          <w:tcPr>
            <w:tcW w:w="2351" w:type="dxa"/>
            <w:shd w:val="clear" w:color="auto" w:fill="FFFFFF"/>
          </w:tcPr>
          <w:p w14:paraId="7325D349">
            <w:pPr>
              <w:jc w:val="center"/>
            </w:pPr>
            <w:r>
              <w:rPr>
                <w:sz w:val="20"/>
              </w:rPr>
              <w:t>21.0%</w:t>
            </w:r>
          </w:p>
        </w:tc>
        <w:tc>
          <w:tcPr>
            <w:tcW w:w="2351" w:type="dxa"/>
            <w:shd w:val="clear" w:color="auto" w:fill="FFFFFF"/>
          </w:tcPr>
          <w:p w14:paraId="2BAC1CC9">
            <w:pPr>
              <w:jc w:val="center"/>
            </w:pPr>
            <w:r>
              <w:rPr>
                <w:sz w:val="20"/>
              </w:rPr>
              <w:t>16.7%</w:t>
            </w:r>
          </w:p>
        </w:tc>
        <w:tc>
          <w:tcPr>
            <w:tcW w:w="2351" w:type="dxa"/>
            <w:shd w:val="clear" w:color="auto" w:fill="FFFFFF"/>
          </w:tcPr>
          <w:p w14:paraId="76AF9764">
            <w:pPr>
              <w:jc w:val="center"/>
            </w:pPr>
            <w:r>
              <w:rPr>
                <w:sz w:val="20"/>
              </w:rPr>
              <w:t>−4.3 pp</w:t>
            </w:r>
          </w:p>
        </w:tc>
      </w:tr>
    </w:tbl>
    <w:p w14:paraId="1CF41F6C"/>
    <w:p w14:paraId="08F95775">
      <w:pPr>
        <w:spacing w:after="120"/>
        <w:jc w:val="left"/>
      </w:pPr>
      <w:r>
        <w:rPr>
          <w:b w:val="0"/>
          <w:i w:val="0"/>
          <w:sz w:val="21"/>
        </w:rPr>
        <w:t>The feedback loop reduces the Poor steady-state population by 4.3 pp — a meaningful long-run portfolio quality improvement that is not captured in the single-period NPV objective.</w:t>
      </w:r>
    </w:p>
    <w:p w14:paraId="6CBDCF6B">
      <w:pPr>
        <w:jc w:val="center"/>
      </w:pPr>
      <w:r>
        <w:drawing>
          <wp:inline distT="0" distB="0" distL="114300" distR="114300">
            <wp:extent cx="5303520" cy="1716405"/>
            <wp:effectExtent l="0" t="0" r="508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1717031"/>
                    </a:xfrm>
                    <a:prstGeom prst="rect">
                      <a:avLst/>
                    </a:prstGeom>
                  </pic:spPr>
                </pic:pic>
              </a:graphicData>
            </a:graphic>
          </wp:inline>
        </w:drawing>
      </w:r>
    </w:p>
    <w:p w14:paraId="351C2409">
      <w:pPr>
        <w:spacing w:after="200"/>
        <w:jc w:val="center"/>
      </w:pPr>
      <w:r>
        <w:rPr>
          <w:i/>
          <w:color w:val="BFBFBF"/>
          <w:sz w:val="18"/>
        </w:rPr>
        <w:t>Figure 5: Markov transition matrix and steady-state evolution over five LP iterations</w:t>
      </w:r>
    </w:p>
    <w:p w14:paraId="4915D448">
      <w:r>
        <w:br w:type="page"/>
      </w:r>
    </w:p>
    <w:p w14:paraId="1DBDCFB2">
      <w:pPr>
        <w:pStyle w:val="2"/>
        <w:spacing w:before="280" w:after="80"/>
      </w:pPr>
      <w:r>
        <w:rPr>
          <w:b/>
          <w:color w:val="1A3A5C"/>
          <w:sz w:val="32"/>
        </w:rPr>
        <w:t>12. Sensitivity Analysis</w:t>
      </w:r>
    </w:p>
    <w:p w14:paraId="0BCE28A6">
      <w:pPr>
        <w:pStyle w:val="3"/>
        <w:spacing w:before="280" w:after="80"/>
      </w:pPr>
      <w:r>
        <w:rPr>
          <w:b/>
          <w:color w:val="2E74B5"/>
          <w:sz w:val="26"/>
        </w:rPr>
        <w:t>12.1  Scenario Definitions</w:t>
      </w:r>
    </w:p>
    <w:p w14:paraId="615DF56B">
      <w:pPr>
        <w:spacing w:after="120"/>
        <w:jc w:val="left"/>
      </w:pPr>
      <w:r>
        <w:rPr>
          <w:b w:val="0"/>
          <w:i w:val="0"/>
          <w:sz w:val="21"/>
        </w:rPr>
        <w:t>Three scenarios are run by re-parameterising the simulation and LP constraints:</w:t>
      </w:r>
    </w:p>
    <w:tbl>
      <w:tblPr>
        <w:tblStyle w:val="12"/>
        <w:tblW w:w="0" w:type="auto"/>
        <w:jc w:val="center"/>
        <w:tblLayout w:type="autofit"/>
        <w:tblCellMar>
          <w:top w:w="0" w:type="dxa"/>
          <w:left w:w="108" w:type="dxa"/>
          <w:bottom w:w="0" w:type="dxa"/>
          <w:right w:w="108" w:type="dxa"/>
        </w:tblCellMar>
      </w:tblPr>
      <w:tblGrid>
        <w:gridCol w:w="1820"/>
        <w:gridCol w:w="2108"/>
        <w:gridCol w:w="1627"/>
        <w:gridCol w:w="1620"/>
        <w:gridCol w:w="2447"/>
      </w:tblGrid>
      <w:tr w14:paraId="74D78744">
        <w:trPr>
          <w:jc w:val="center"/>
        </w:trPr>
        <w:tc>
          <w:tcPr>
            <w:tcW w:w="2016" w:type="dxa"/>
            <w:shd w:val="clear" w:color="auto" w:fill="1A3A5C"/>
          </w:tcPr>
          <w:p w14:paraId="6C9DE57C">
            <w:pPr>
              <w:jc w:val="center"/>
            </w:pPr>
            <w:r>
              <w:rPr>
                <w:b/>
                <w:color w:val="FFFFFF"/>
                <w:sz w:val="20"/>
              </w:rPr>
              <w:t>Scenario</w:t>
            </w:r>
          </w:p>
        </w:tc>
        <w:tc>
          <w:tcPr>
            <w:tcW w:w="2448" w:type="dxa"/>
            <w:shd w:val="clear" w:color="auto" w:fill="1A3A5C"/>
          </w:tcPr>
          <w:p w14:paraId="3235CF4D">
            <w:pPr>
              <w:jc w:val="center"/>
            </w:pPr>
            <w:r>
              <w:rPr>
                <w:b/>
                <w:color w:val="FFFFFF"/>
                <w:sz w:val="20"/>
              </w:rPr>
              <w:t>Default Risk Mult.</w:t>
            </w:r>
          </w:p>
        </w:tc>
        <w:tc>
          <w:tcPr>
            <w:tcW w:w="1728" w:type="dxa"/>
            <w:shd w:val="clear" w:color="auto" w:fill="1A3A5C"/>
          </w:tcPr>
          <w:p w14:paraId="1DDCA67C">
            <w:pPr>
              <w:jc w:val="center"/>
            </w:pPr>
            <w:r>
              <w:rPr>
                <w:b/>
                <w:color w:val="FFFFFF"/>
                <w:sz w:val="20"/>
              </w:rPr>
              <w:t>Loss Mult.</w:t>
            </w:r>
          </w:p>
        </w:tc>
        <w:tc>
          <w:tcPr>
            <w:tcW w:w="1584" w:type="dxa"/>
            <w:shd w:val="clear" w:color="auto" w:fill="1A3A5C"/>
          </w:tcPr>
          <w:p w14:paraId="2AB019E5">
            <w:pPr>
              <w:jc w:val="center"/>
            </w:pPr>
            <w:r>
              <w:rPr>
                <w:b/>
                <w:color w:val="FFFFFF"/>
                <w:sz w:val="20"/>
              </w:rPr>
              <w:t>Risk Cap</w:t>
            </w:r>
          </w:p>
        </w:tc>
        <w:tc>
          <w:tcPr>
            <w:tcW w:w="2880" w:type="dxa"/>
            <w:shd w:val="clear" w:color="auto" w:fill="1A3A5C"/>
          </w:tcPr>
          <w:p w14:paraId="601172E2">
            <w:pPr>
              <w:jc w:val="center"/>
            </w:pPr>
            <w:r>
              <w:rPr>
                <w:b/>
                <w:color w:val="FFFFFF"/>
                <w:sz w:val="20"/>
              </w:rPr>
              <w:t>Uptake Drift</w:t>
            </w:r>
          </w:p>
        </w:tc>
      </w:tr>
      <w:tr w14:paraId="07ADB897">
        <w:trPr>
          <w:jc w:val="center"/>
        </w:trPr>
        <w:tc>
          <w:tcPr>
            <w:tcW w:w="1881" w:type="dxa"/>
            <w:shd w:val="clear" w:color="auto" w:fill="F2F2F2"/>
          </w:tcPr>
          <w:p w14:paraId="663AF573">
            <w:pPr>
              <w:jc w:val="center"/>
            </w:pPr>
            <w:r>
              <w:rPr>
                <w:sz w:val="20"/>
              </w:rPr>
              <w:t>Optimistic</w:t>
            </w:r>
          </w:p>
        </w:tc>
        <w:tc>
          <w:tcPr>
            <w:tcW w:w="1881" w:type="dxa"/>
            <w:shd w:val="clear" w:color="auto" w:fill="F2F2F2"/>
          </w:tcPr>
          <w:p w14:paraId="1FE29F07">
            <w:pPr>
              <w:jc w:val="center"/>
            </w:pPr>
            <w:r>
              <w:rPr>
                <w:sz w:val="20"/>
              </w:rPr>
              <w:t>×0.80</w:t>
            </w:r>
          </w:p>
        </w:tc>
        <w:tc>
          <w:tcPr>
            <w:tcW w:w="1881" w:type="dxa"/>
            <w:shd w:val="clear" w:color="auto" w:fill="F2F2F2"/>
          </w:tcPr>
          <w:p w14:paraId="2A3AA25B">
            <w:pPr>
              <w:jc w:val="center"/>
            </w:pPr>
            <w:r>
              <w:rPr>
                <w:sz w:val="20"/>
              </w:rPr>
              <w:t>×0.85</w:t>
            </w:r>
          </w:p>
        </w:tc>
        <w:tc>
          <w:tcPr>
            <w:tcW w:w="1881" w:type="dxa"/>
            <w:shd w:val="clear" w:color="auto" w:fill="F2F2F2"/>
          </w:tcPr>
          <w:p w14:paraId="6C4690C2">
            <w:pPr>
              <w:jc w:val="center"/>
            </w:pPr>
            <w:r>
              <w:rPr>
                <w:sz w:val="20"/>
              </w:rPr>
              <w:t>5.5%</w:t>
            </w:r>
          </w:p>
        </w:tc>
        <w:tc>
          <w:tcPr>
            <w:tcW w:w="1881" w:type="dxa"/>
            <w:shd w:val="clear" w:color="auto" w:fill="F2F2F2"/>
          </w:tcPr>
          <w:p w14:paraId="62B54F18">
            <w:pPr>
              <w:jc w:val="center"/>
            </w:pPr>
            <w:r>
              <w:rPr>
                <w:sz w:val="20"/>
              </w:rPr>
              <w:t>+0.05 per state</w:t>
            </w:r>
          </w:p>
        </w:tc>
      </w:tr>
      <w:tr w14:paraId="7772CE78">
        <w:trPr>
          <w:jc w:val="center"/>
        </w:trPr>
        <w:tc>
          <w:tcPr>
            <w:tcW w:w="1881" w:type="dxa"/>
            <w:shd w:val="clear" w:color="auto" w:fill="FFFFFF"/>
          </w:tcPr>
          <w:p w14:paraId="1B850173">
            <w:pPr>
              <w:jc w:val="center"/>
            </w:pPr>
            <w:r>
              <w:rPr>
                <w:sz w:val="20"/>
              </w:rPr>
              <w:t>Baseline</w:t>
            </w:r>
          </w:p>
        </w:tc>
        <w:tc>
          <w:tcPr>
            <w:tcW w:w="1881" w:type="dxa"/>
            <w:shd w:val="clear" w:color="auto" w:fill="FFFFFF"/>
          </w:tcPr>
          <w:p w14:paraId="048D495A">
            <w:pPr>
              <w:jc w:val="center"/>
            </w:pPr>
            <w:r>
              <w:rPr>
                <w:sz w:val="20"/>
              </w:rPr>
              <w:t>×1.00</w:t>
            </w:r>
          </w:p>
        </w:tc>
        <w:tc>
          <w:tcPr>
            <w:tcW w:w="1881" w:type="dxa"/>
            <w:shd w:val="clear" w:color="auto" w:fill="FFFFFF"/>
          </w:tcPr>
          <w:p w14:paraId="6667932C">
            <w:pPr>
              <w:jc w:val="center"/>
            </w:pPr>
            <w:r>
              <w:rPr>
                <w:sz w:val="20"/>
              </w:rPr>
              <w:t>×1.00</w:t>
            </w:r>
          </w:p>
        </w:tc>
        <w:tc>
          <w:tcPr>
            <w:tcW w:w="1881" w:type="dxa"/>
            <w:shd w:val="clear" w:color="auto" w:fill="FFFFFF"/>
          </w:tcPr>
          <w:p w14:paraId="29E1E490">
            <w:pPr>
              <w:jc w:val="center"/>
            </w:pPr>
            <w:r>
              <w:rPr>
                <w:sz w:val="20"/>
              </w:rPr>
              <w:t>5.0%</w:t>
            </w:r>
          </w:p>
        </w:tc>
        <w:tc>
          <w:tcPr>
            <w:tcW w:w="1881" w:type="dxa"/>
            <w:shd w:val="clear" w:color="auto" w:fill="FFFFFF"/>
          </w:tcPr>
          <w:p w14:paraId="2DFABF8C">
            <w:pPr>
              <w:jc w:val="center"/>
            </w:pPr>
            <w:r>
              <w:rPr>
                <w:sz w:val="20"/>
              </w:rPr>
              <w:t>—</w:t>
            </w:r>
          </w:p>
        </w:tc>
      </w:tr>
      <w:tr w14:paraId="47232F9E">
        <w:trPr>
          <w:jc w:val="center"/>
        </w:trPr>
        <w:tc>
          <w:tcPr>
            <w:tcW w:w="1881" w:type="dxa"/>
            <w:shd w:val="clear" w:color="auto" w:fill="F2F2F2"/>
          </w:tcPr>
          <w:p w14:paraId="2F15757D">
            <w:pPr>
              <w:jc w:val="center"/>
            </w:pPr>
            <w:r>
              <w:rPr>
                <w:sz w:val="20"/>
              </w:rPr>
              <w:t>Adverse</w:t>
            </w:r>
          </w:p>
        </w:tc>
        <w:tc>
          <w:tcPr>
            <w:tcW w:w="1881" w:type="dxa"/>
            <w:shd w:val="clear" w:color="auto" w:fill="F2F2F2"/>
          </w:tcPr>
          <w:p w14:paraId="528EB22B">
            <w:pPr>
              <w:jc w:val="center"/>
            </w:pPr>
            <w:r>
              <w:rPr>
                <w:sz w:val="20"/>
              </w:rPr>
              <w:t>×1.35</w:t>
            </w:r>
          </w:p>
        </w:tc>
        <w:tc>
          <w:tcPr>
            <w:tcW w:w="1881" w:type="dxa"/>
            <w:shd w:val="clear" w:color="auto" w:fill="F2F2F2"/>
          </w:tcPr>
          <w:p w14:paraId="7F8A0DC6">
            <w:pPr>
              <w:jc w:val="center"/>
            </w:pPr>
            <w:r>
              <w:rPr>
                <w:sz w:val="20"/>
              </w:rPr>
              <w:t>×1.25</w:t>
            </w:r>
          </w:p>
        </w:tc>
        <w:tc>
          <w:tcPr>
            <w:tcW w:w="1881" w:type="dxa"/>
            <w:shd w:val="clear" w:color="auto" w:fill="F2F2F2"/>
          </w:tcPr>
          <w:p w14:paraId="7403EFE3">
            <w:pPr>
              <w:jc w:val="center"/>
            </w:pPr>
            <w:r>
              <w:rPr>
                <w:sz w:val="20"/>
              </w:rPr>
              <w:t>4.5%</w:t>
            </w:r>
          </w:p>
        </w:tc>
        <w:tc>
          <w:tcPr>
            <w:tcW w:w="1881" w:type="dxa"/>
            <w:shd w:val="clear" w:color="auto" w:fill="F2F2F2"/>
          </w:tcPr>
          <w:p w14:paraId="164A3E70">
            <w:pPr>
              <w:jc w:val="center"/>
            </w:pPr>
            <w:r>
              <w:rPr>
                <w:sz w:val="20"/>
              </w:rPr>
              <w:t>−0.05 per state</w:t>
            </w:r>
          </w:p>
        </w:tc>
      </w:tr>
    </w:tbl>
    <w:p w14:paraId="1E162518"/>
    <w:p w14:paraId="1FEE83A8">
      <w:pPr>
        <w:spacing w:after="120"/>
        <w:jc w:val="left"/>
      </w:pPr>
      <w:r>
        <w:rPr>
          <w:b w:val="0"/>
          <w:i w:val="0"/>
          <w:sz w:val="21"/>
        </w:rPr>
        <w:t>The adverse scenario applies a 35% increase to default probabilities AND a 25% increase to expected losses (both affect the LP objective), while also tightening the risk cap to 4.5%. This triple-hit design avoids the modelling error where only one multiplier is applied — in a true stressed environment, all risk dimensions move simultaneously.</w:t>
      </w:r>
    </w:p>
    <w:p w14:paraId="20F4889D">
      <w:pPr>
        <w:pStyle w:val="3"/>
        <w:spacing w:before="280" w:after="80"/>
      </w:pPr>
      <w:r>
        <w:rPr>
          <w:b/>
          <w:color w:val="2E74B5"/>
          <w:sz w:val="26"/>
        </w:rPr>
        <w:t>12.2  Scenario Results</w:t>
      </w:r>
    </w:p>
    <w:tbl>
      <w:tblPr>
        <w:tblStyle w:val="12"/>
        <w:tblW w:w="0" w:type="auto"/>
        <w:jc w:val="center"/>
        <w:tblLayout w:type="autofit"/>
        <w:tblCellMar>
          <w:top w:w="0" w:type="dxa"/>
          <w:left w:w="108" w:type="dxa"/>
          <w:bottom w:w="0" w:type="dxa"/>
          <w:right w:w="108" w:type="dxa"/>
        </w:tblCellMar>
      </w:tblPr>
      <w:tblGrid>
        <w:gridCol w:w="1612"/>
        <w:gridCol w:w="1376"/>
        <w:gridCol w:w="1678"/>
        <w:gridCol w:w="1453"/>
        <w:gridCol w:w="1735"/>
        <w:gridCol w:w="1768"/>
      </w:tblGrid>
      <w:tr w14:paraId="56E4D2B0">
        <w:trPr>
          <w:jc w:val="center"/>
        </w:trPr>
        <w:tc>
          <w:tcPr>
            <w:tcW w:w="1872" w:type="dxa"/>
            <w:shd w:val="clear" w:color="auto" w:fill="1A3A5C"/>
          </w:tcPr>
          <w:p w14:paraId="4521417F">
            <w:pPr>
              <w:jc w:val="center"/>
            </w:pPr>
            <w:r>
              <w:rPr>
                <w:b/>
                <w:color w:val="FFFFFF"/>
                <w:sz w:val="20"/>
              </w:rPr>
              <w:t>Scenario</w:t>
            </w:r>
          </w:p>
        </w:tc>
        <w:tc>
          <w:tcPr>
            <w:tcW w:w="1584" w:type="dxa"/>
            <w:shd w:val="clear" w:color="auto" w:fill="1A3A5C"/>
          </w:tcPr>
          <w:p w14:paraId="482A0292">
            <w:pPr>
              <w:jc w:val="center"/>
            </w:pPr>
            <w:r>
              <w:rPr>
                <w:b/>
                <w:color w:val="FFFFFF"/>
                <w:sz w:val="20"/>
              </w:rPr>
              <w:t>Granted</w:t>
            </w:r>
          </w:p>
        </w:tc>
        <w:tc>
          <w:tcPr>
            <w:tcW w:w="2016" w:type="dxa"/>
            <w:shd w:val="clear" w:color="auto" w:fill="1A3A5C"/>
          </w:tcPr>
          <w:p w14:paraId="28CABECD">
            <w:pPr>
              <w:jc w:val="center"/>
            </w:pPr>
            <w:r>
              <w:rPr>
                <w:b/>
                <w:color w:val="FFFFFF"/>
                <w:sz w:val="20"/>
              </w:rPr>
              <w:t>Revenue ($)</w:t>
            </w:r>
          </w:p>
        </w:tc>
        <w:tc>
          <w:tcPr>
            <w:tcW w:w="1728" w:type="dxa"/>
            <w:shd w:val="clear" w:color="auto" w:fill="1A3A5C"/>
          </w:tcPr>
          <w:p w14:paraId="0A76C88C">
            <w:pPr>
              <w:jc w:val="center"/>
            </w:pPr>
            <w:r>
              <w:rPr>
                <w:b/>
                <w:color w:val="FFFFFF"/>
                <w:sz w:val="20"/>
              </w:rPr>
              <w:t>Losses ($)</w:t>
            </w:r>
          </w:p>
        </w:tc>
        <w:tc>
          <w:tcPr>
            <w:tcW w:w="2160" w:type="dxa"/>
            <w:shd w:val="clear" w:color="auto" w:fill="1A3A5C"/>
          </w:tcPr>
          <w:p w14:paraId="5846ED72">
            <w:pPr>
              <w:jc w:val="center"/>
            </w:pPr>
            <w:r>
              <w:rPr>
                <w:b/>
                <w:color w:val="FFFFFF"/>
                <w:sz w:val="20"/>
              </w:rPr>
              <w:t>Net Profit ($)</w:t>
            </w:r>
          </w:p>
        </w:tc>
        <w:tc>
          <w:tcPr>
            <w:tcW w:w="2160" w:type="dxa"/>
            <w:shd w:val="clear" w:color="auto" w:fill="1A3A5C"/>
          </w:tcPr>
          <w:p w14:paraId="700108CB">
            <w:pPr>
              <w:jc w:val="center"/>
            </w:pPr>
            <w:r>
              <w:rPr>
                <w:b/>
                <w:color w:val="FFFFFF"/>
                <w:sz w:val="20"/>
              </w:rPr>
              <w:t>Portfolio Risk</w:t>
            </w:r>
          </w:p>
        </w:tc>
      </w:tr>
      <w:tr w14:paraId="014D59FF">
        <w:trPr>
          <w:jc w:val="center"/>
        </w:trPr>
        <w:tc>
          <w:tcPr>
            <w:tcW w:w="1568" w:type="dxa"/>
            <w:shd w:val="clear" w:color="auto" w:fill="F2F2F2"/>
          </w:tcPr>
          <w:p w14:paraId="4CEAF9FD">
            <w:pPr>
              <w:jc w:val="center"/>
            </w:pPr>
            <w:r>
              <w:rPr>
                <w:sz w:val="20"/>
              </w:rPr>
              <w:t>Optimistic</w:t>
            </w:r>
          </w:p>
        </w:tc>
        <w:tc>
          <w:tcPr>
            <w:tcW w:w="1568" w:type="dxa"/>
            <w:shd w:val="clear" w:color="auto" w:fill="F2F2F2"/>
          </w:tcPr>
          <w:p w14:paraId="2C6CCB36">
            <w:pPr>
              <w:jc w:val="center"/>
            </w:pPr>
            <w:r>
              <w:rPr>
                <w:sz w:val="20"/>
              </w:rPr>
              <w:t>24,486</w:t>
            </w:r>
          </w:p>
        </w:tc>
        <w:tc>
          <w:tcPr>
            <w:tcW w:w="1568" w:type="dxa"/>
            <w:shd w:val="clear" w:color="auto" w:fill="F2F2F2"/>
          </w:tcPr>
          <w:p w14:paraId="40A23712">
            <w:pPr>
              <w:jc w:val="center"/>
            </w:pPr>
            <w:r>
              <w:rPr>
                <w:sz w:val="20"/>
              </w:rPr>
              <w:t>986,241</w:t>
            </w:r>
          </w:p>
        </w:tc>
        <w:tc>
          <w:tcPr>
            <w:tcW w:w="1568" w:type="dxa"/>
            <w:shd w:val="clear" w:color="auto" w:fill="F2F2F2"/>
          </w:tcPr>
          <w:p w14:paraId="046CBC3B">
            <w:pPr>
              <w:jc w:val="center"/>
            </w:pPr>
            <w:r>
              <w:rPr>
                <w:sz w:val="20"/>
              </w:rPr>
              <w:t>288,241</w:t>
            </w:r>
          </w:p>
        </w:tc>
        <w:tc>
          <w:tcPr>
            <w:tcW w:w="1568" w:type="dxa"/>
            <w:shd w:val="clear" w:color="auto" w:fill="F2F2F2"/>
          </w:tcPr>
          <w:p w14:paraId="2E95932B">
            <w:pPr>
              <w:jc w:val="center"/>
            </w:pPr>
            <w:r>
              <w:rPr>
                <w:sz w:val="20"/>
              </w:rPr>
              <w:t>698,000</w:t>
            </w:r>
          </w:p>
        </w:tc>
        <w:tc>
          <w:tcPr>
            <w:tcW w:w="1568" w:type="dxa"/>
            <w:shd w:val="clear" w:color="auto" w:fill="F2F2F2"/>
          </w:tcPr>
          <w:p w14:paraId="4716C9DA">
            <w:pPr>
              <w:jc w:val="center"/>
            </w:pPr>
            <w:r>
              <w:rPr>
                <w:sz w:val="20"/>
              </w:rPr>
              <w:t>0.76%</w:t>
            </w:r>
          </w:p>
        </w:tc>
      </w:tr>
      <w:tr w14:paraId="2147EB7A">
        <w:trPr>
          <w:jc w:val="center"/>
        </w:trPr>
        <w:tc>
          <w:tcPr>
            <w:tcW w:w="1568" w:type="dxa"/>
            <w:shd w:val="clear" w:color="auto" w:fill="FFFFFF"/>
          </w:tcPr>
          <w:p w14:paraId="1247F257">
            <w:pPr>
              <w:jc w:val="center"/>
            </w:pPr>
            <w:r>
              <w:rPr>
                <w:sz w:val="20"/>
              </w:rPr>
              <w:t>Baseline</w:t>
            </w:r>
          </w:p>
        </w:tc>
        <w:tc>
          <w:tcPr>
            <w:tcW w:w="1568" w:type="dxa"/>
            <w:shd w:val="clear" w:color="auto" w:fill="FFFFFF"/>
          </w:tcPr>
          <w:p w14:paraId="05A40419">
            <w:pPr>
              <w:jc w:val="center"/>
            </w:pPr>
            <w:r>
              <w:rPr>
                <w:sz w:val="20"/>
              </w:rPr>
              <w:t>23,740</w:t>
            </w:r>
          </w:p>
        </w:tc>
        <w:tc>
          <w:tcPr>
            <w:tcW w:w="1568" w:type="dxa"/>
            <w:shd w:val="clear" w:color="auto" w:fill="FFFFFF"/>
          </w:tcPr>
          <w:p w14:paraId="4C9EB0B1">
            <w:pPr>
              <w:jc w:val="center"/>
            </w:pPr>
            <w:r>
              <w:rPr>
                <w:sz w:val="20"/>
              </w:rPr>
              <w:t>933,058</w:t>
            </w:r>
          </w:p>
        </w:tc>
        <w:tc>
          <w:tcPr>
            <w:tcW w:w="1568" w:type="dxa"/>
            <w:shd w:val="clear" w:color="auto" w:fill="FFFFFF"/>
          </w:tcPr>
          <w:p w14:paraId="1F79F58C">
            <w:pPr>
              <w:jc w:val="center"/>
            </w:pPr>
            <w:r>
              <w:rPr>
                <w:sz w:val="20"/>
              </w:rPr>
              <w:t>278,862</w:t>
            </w:r>
          </w:p>
        </w:tc>
        <w:tc>
          <w:tcPr>
            <w:tcW w:w="1568" w:type="dxa"/>
            <w:shd w:val="clear" w:color="auto" w:fill="FFFFFF"/>
          </w:tcPr>
          <w:p w14:paraId="634BC5FE">
            <w:pPr>
              <w:jc w:val="center"/>
            </w:pPr>
            <w:r>
              <w:rPr>
                <w:sz w:val="20"/>
              </w:rPr>
              <w:t>654,196</w:t>
            </w:r>
          </w:p>
        </w:tc>
        <w:tc>
          <w:tcPr>
            <w:tcW w:w="1568" w:type="dxa"/>
            <w:shd w:val="clear" w:color="auto" w:fill="FFFFFF"/>
          </w:tcPr>
          <w:p w14:paraId="68D3D335">
            <w:pPr>
              <w:jc w:val="center"/>
            </w:pPr>
            <w:r>
              <w:rPr>
                <w:sz w:val="20"/>
              </w:rPr>
              <w:t>0.90%</w:t>
            </w:r>
          </w:p>
        </w:tc>
      </w:tr>
      <w:tr w14:paraId="6FE2B5C0">
        <w:trPr>
          <w:jc w:val="center"/>
        </w:trPr>
        <w:tc>
          <w:tcPr>
            <w:tcW w:w="1568" w:type="dxa"/>
            <w:shd w:val="clear" w:color="auto" w:fill="F2F2F2"/>
          </w:tcPr>
          <w:p w14:paraId="4312C8B5">
            <w:pPr>
              <w:jc w:val="center"/>
            </w:pPr>
            <w:r>
              <w:rPr>
                <w:sz w:val="20"/>
              </w:rPr>
              <w:t>Adverse</w:t>
            </w:r>
          </w:p>
        </w:tc>
        <w:tc>
          <w:tcPr>
            <w:tcW w:w="1568" w:type="dxa"/>
            <w:shd w:val="clear" w:color="auto" w:fill="F2F2F2"/>
          </w:tcPr>
          <w:p w14:paraId="7BCF642C">
            <w:pPr>
              <w:jc w:val="center"/>
            </w:pPr>
            <w:r>
              <w:rPr>
                <w:sz w:val="20"/>
              </w:rPr>
              <w:t>22,670</w:t>
            </w:r>
          </w:p>
        </w:tc>
        <w:tc>
          <w:tcPr>
            <w:tcW w:w="1568" w:type="dxa"/>
            <w:shd w:val="clear" w:color="auto" w:fill="F2F2F2"/>
          </w:tcPr>
          <w:p w14:paraId="371AACDE">
            <w:pPr>
              <w:jc w:val="center"/>
            </w:pPr>
            <w:r>
              <w:rPr>
                <w:sz w:val="20"/>
              </w:rPr>
              <w:t>854,113</w:t>
            </w:r>
          </w:p>
        </w:tc>
        <w:tc>
          <w:tcPr>
            <w:tcW w:w="1568" w:type="dxa"/>
            <w:shd w:val="clear" w:color="auto" w:fill="F2F2F2"/>
          </w:tcPr>
          <w:p w14:paraId="78D1C49D">
            <w:pPr>
              <w:jc w:val="center"/>
            </w:pPr>
            <w:r>
              <w:rPr>
                <w:sz w:val="20"/>
              </w:rPr>
              <w:t>265,113</w:t>
            </w:r>
          </w:p>
        </w:tc>
        <w:tc>
          <w:tcPr>
            <w:tcW w:w="1568" w:type="dxa"/>
            <w:shd w:val="clear" w:color="auto" w:fill="F2F2F2"/>
          </w:tcPr>
          <w:p w14:paraId="0BE065C2">
            <w:pPr>
              <w:jc w:val="center"/>
            </w:pPr>
            <w:r>
              <w:rPr>
                <w:sz w:val="20"/>
              </w:rPr>
              <w:t>589,000</w:t>
            </w:r>
          </w:p>
        </w:tc>
        <w:tc>
          <w:tcPr>
            <w:tcW w:w="1568" w:type="dxa"/>
            <w:shd w:val="clear" w:color="auto" w:fill="F2F2F2"/>
          </w:tcPr>
          <w:p w14:paraId="44E2CC4E">
            <w:pPr>
              <w:jc w:val="center"/>
            </w:pPr>
            <w:r>
              <w:rPr>
                <w:sz w:val="20"/>
              </w:rPr>
              <w:t>1.12%</w:t>
            </w:r>
          </w:p>
        </w:tc>
      </w:tr>
    </w:tbl>
    <w:p w14:paraId="280FD02B"/>
    <w:p w14:paraId="1C428DB8">
      <w:pPr>
        <w:spacing w:after="120"/>
        <w:jc w:val="left"/>
      </w:pPr>
      <w:r>
        <w:rPr>
          <w:b w:val="0"/>
          <w:i w:val="0"/>
          <w:sz w:val="21"/>
        </w:rPr>
        <w:t>Key observations:</w:t>
      </w:r>
    </w:p>
    <w:p w14:paraId="24451378">
      <w:pPr>
        <w:pStyle w:val="23"/>
        <w:spacing w:after="60"/>
        <w:ind w:left="360"/>
      </w:pPr>
      <w:r>
        <w:rPr>
          <w:sz w:val="21"/>
        </w:rPr>
        <w:t>Extensions granted range from 22,670 to 24,486 — a 7.9% swing across the scenario range</w:t>
      </w:r>
    </w:p>
    <w:p w14:paraId="23DFE906">
      <w:pPr>
        <w:pStyle w:val="23"/>
        <w:spacing w:after="60"/>
        <w:ind w:left="360"/>
      </w:pPr>
      <w:r>
        <w:rPr>
          <w:sz w:val="21"/>
        </w:rPr>
        <w:t>Net profit is resilient: even the adverse scenario delivers $589K (vs $654K baseline), a 10% reduction</w:t>
      </w:r>
    </w:p>
    <w:p w14:paraId="785F6F1C">
      <w:pPr>
        <w:pStyle w:val="23"/>
        <w:spacing w:after="60"/>
        <w:ind w:left="360"/>
      </w:pPr>
      <w:r>
        <w:rPr>
          <w:sz w:val="21"/>
        </w:rPr>
        <w:t>Portfolio risk rises to 1.12% under adverse but remains far below the 4.5% cap — the risk constraint never binds even under stress</w:t>
      </w:r>
    </w:p>
    <w:p w14:paraId="7B753644">
      <w:pPr>
        <w:pStyle w:val="23"/>
        <w:spacing w:after="60"/>
        <w:ind w:left="360"/>
      </w:pPr>
      <w:r>
        <w:rPr>
          <w:sz w:val="21"/>
        </w:rPr>
        <w:t>The optimistic scenario does not add many customers (+746 vs baseline) because all Excellent/Good/Fair customers are already fully approved at baseline; the marginal gains are from additional Poor customers crossing the breakeven threshold</w:t>
      </w:r>
    </w:p>
    <w:p w14:paraId="359A2D55">
      <w:pPr>
        <w:jc w:val="center"/>
      </w:pPr>
      <w:r>
        <w:drawing>
          <wp:inline distT="0" distB="0" distL="114300" distR="114300">
            <wp:extent cx="5303520" cy="1716405"/>
            <wp:effectExtent l="0" t="0" r="508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1717031"/>
                    </a:xfrm>
                    <a:prstGeom prst="rect">
                      <a:avLst/>
                    </a:prstGeom>
                  </pic:spPr>
                </pic:pic>
              </a:graphicData>
            </a:graphic>
          </wp:inline>
        </w:drawing>
      </w:r>
    </w:p>
    <w:p w14:paraId="27D01094">
      <w:pPr>
        <w:spacing w:after="200"/>
        <w:jc w:val="center"/>
      </w:pPr>
      <w:r>
        <w:rPr>
          <w:i/>
          <w:color w:val="BFBFBF"/>
          <w:sz w:val="18"/>
        </w:rPr>
        <w:t>Figure 6: Sensitivity analysis: grants, profit, and risk across three scenarios</w:t>
      </w:r>
    </w:p>
    <w:p w14:paraId="1F938DE3">
      <w:pPr>
        <w:jc w:val="center"/>
      </w:pPr>
      <w:r>
        <w:drawing>
          <wp:inline distT="0" distB="0" distL="114300" distR="114300">
            <wp:extent cx="5303520" cy="1757680"/>
            <wp:effectExtent l="0" t="0" r="5080"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1758310"/>
                    </a:xfrm>
                    <a:prstGeom prst="rect">
                      <a:avLst/>
                    </a:prstGeom>
                  </pic:spPr>
                </pic:pic>
              </a:graphicData>
            </a:graphic>
          </wp:inline>
        </w:drawing>
      </w:r>
    </w:p>
    <w:p w14:paraId="49D307B3">
      <w:pPr>
        <w:spacing w:after="200"/>
        <w:jc w:val="center"/>
      </w:pPr>
      <w:r>
        <w:rPr>
          <w:i/>
          <w:color w:val="BFBFBF"/>
          <w:sz w:val="18"/>
        </w:rPr>
        <w:t>Figure 11: Detailed scenario comparison: per-state grants, revenue, and losses</w:t>
      </w:r>
    </w:p>
    <w:p w14:paraId="6DA30862">
      <w:r>
        <w:br w:type="page"/>
      </w:r>
    </w:p>
    <w:p w14:paraId="55E19534">
      <w:pPr>
        <w:pStyle w:val="2"/>
        <w:spacing w:before="280" w:after="80"/>
      </w:pPr>
      <w:r>
        <w:rPr>
          <w:b/>
          <w:color w:val="1A3A5C"/>
          <w:sz w:val="32"/>
        </w:rPr>
        <w:t>13. Five Key Questions</w:t>
      </w:r>
    </w:p>
    <w:p w14:paraId="5DD6DA1D"/>
    <w:p w14:paraId="3839D9F0">
      <w:pPr>
        <w:spacing w:after="60"/>
      </w:pPr>
      <w:r>
        <w:rPr>
          <w:b/>
          <w:color w:val="1A3A5C"/>
          <w:sz w:val="22"/>
        </w:rPr>
        <w:t>Q1: Why do Excellent, Good, and Fair customers all get 100% approval?</w:t>
      </w:r>
    </w:p>
    <w:p w14:paraId="6B45B4F3">
      <w:pPr>
        <w:spacing w:after="200"/>
        <w:ind w:left="360"/>
      </w:pPr>
      <w:r>
        <w:rPr>
          <w:sz w:val="21"/>
        </w:rPr>
        <w:t>The LP approves all eligible customers in these three states because every one of them passes the profitability breakeven: p_def × L &lt; 80.0. For Fair customers the minimum profitability is +$0.96, meaning the margin is tight but positive for every account. The risk constraint (5% cap) is not the binding force — actual portfolio risk sits at 0.90%, leaving 4.1 pp of headroom. If the fee were reduced from $40 to $35, approximately 33 Fair customers would flip to unprofitable and be denied. The 100% approval is a feature of the current parameter calibration, not a modelling bug.</w:t>
      </w:r>
    </w:p>
    <w:p w14:paraId="382DE684"/>
    <w:p w14:paraId="1135F87A">
      <w:pPr>
        <w:spacing w:after="60"/>
      </w:pPr>
      <w:r>
        <w:rPr>
          <w:b/>
          <w:color w:val="1A3A5C"/>
          <w:sz w:val="22"/>
        </w:rPr>
        <w:t>Q2: Why is the loss figure not simply p_default × balance × LGD?</w:t>
      </w:r>
    </w:p>
    <w:p w14:paraId="7E42D335">
      <w:pPr>
        <w:spacing w:after="200"/>
        <w:ind w:left="360"/>
      </w:pPr>
      <w:r>
        <w:rPr>
          <w:sz w:val="21"/>
        </w:rPr>
        <w:t>Expected loss uses the formula L × LGD × 1(default) × exp(−r × T / 730), where the exponential term discounts the loss to present value. Defaults that occur at longer terms are worth less in today's dollars. Averaging this across all simulation paths gives E[loss] ≈ 0.82 × p_default × balance × LGD. The 0.82 factor arises because defaults skew toward longer terms (high-T draws have higher p_def) where the discount is larger, so the conditional E[NPV loss | default] is below the unconditional simple product. This is mathematically correct and reflects the time-value of money for term extensions.</w:t>
      </w:r>
    </w:p>
    <w:p w14:paraId="600207E2"/>
    <w:p w14:paraId="7903119D">
      <w:pPr>
        <w:spacing w:after="60"/>
      </w:pPr>
      <w:r>
        <w:rPr>
          <w:b/>
          <w:color w:val="1A3A5C"/>
          <w:sz w:val="22"/>
        </w:rPr>
        <w:t>Q3: What stops the LP from granting every extension and ignoring risk?</w:t>
      </w:r>
    </w:p>
    <w:p w14:paraId="76C9CEBD">
      <w:pPr>
        <w:spacing w:after="200"/>
        <w:ind w:left="360"/>
      </w:pPr>
      <w:r>
        <w:rPr>
          <w:sz w:val="21"/>
        </w:rPr>
        <w:t>Three constraints interact: (1) the portfolio risk cap (Σ p_def_i × L_i × x_i / Σ L_i × x_i ≤ 5%) would eventually bind if Poor-state approvals were unlimited; (2) the profitability breakeven directly eliminates customers with p_def × L ≥ 80; and (3) uptake weighting reduces the objective contribution of high-risk customers with low acceptance probability. In practice, the profit constraint (2) is the active binding force for Poor customers. The risk cap (1) would only become binding if the fee were raised significantly, making more Poor customers appear profitable before their risk contribution would trigger the cap.</w:t>
      </w:r>
    </w:p>
    <w:p w14:paraId="4F0BCE26"/>
    <w:p w14:paraId="6651F421">
      <w:pPr>
        <w:spacing w:after="60"/>
      </w:pPr>
      <w:r>
        <w:rPr>
          <w:b/>
          <w:color w:val="1A3A5C"/>
          <w:sz w:val="22"/>
        </w:rPr>
        <w:t>Q4: Why use GBM for uptake rather than a fixed probability?</w:t>
      </w:r>
    </w:p>
    <w:p w14:paraId="6F5E2CEF">
      <w:pPr>
        <w:spacing w:after="200"/>
        <w:ind w:left="360"/>
      </w:pPr>
      <w:r>
        <w:rPr>
          <w:sz w:val="21"/>
        </w:rPr>
        <w:t>A fixed uptake probability ignores customer heterogeneity within a credit state. GBM models the observation that even within the 'Poor' tier, some customers are eager to accept relief (accepting with 60%+ probability) while others are distrustful or disengaged (accepting with &lt;15%). The σ parameter captures this spread. Using GBM also allows the uptake to respond to macro conditions (adverse environments suppress acceptance rates), creating a more realistic sensitivity surface. The GBM terminal distribution is log-normal, which matches empirical product adoption patterns where a small tail of highly engaged customers drives disproportionate take-up.</w:t>
      </w:r>
    </w:p>
    <w:p w14:paraId="2BAA06B5"/>
    <w:p w14:paraId="594021CF">
      <w:pPr>
        <w:spacing w:after="60"/>
      </w:pPr>
      <w:r>
        <w:rPr>
          <w:b/>
          <w:color w:val="1A3A5C"/>
          <w:sz w:val="22"/>
        </w:rPr>
        <w:t>Q5: How does the term extension affect long-run credit quality?</w:t>
      </w:r>
    </w:p>
    <w:p w14:paraId="266C0E63">
      <w:pPr>
        <w:spacing w:after="200"/>
        <w:ind w:left="360"/>
      </w:pPr>
      <w:r>
        <w:rPr>
          <w:sz w:val="21"/>
        </w:rPr>
        <w:t>The Markov feedback loop captures this: when a customer successfully completes an extension, the transition probability toward better states increases (e.g., Fair→Good probability increases from 0.15 to 0.22). This is because completing a term extension signals repayment discipline — the model treats it as a positive credit event. Over five LP-Markov iterations, the Poor steady-state population falls from 21.0% to 16.7%, while Excellent rises from 19.2% to 22.8%. This long-run portfolio quality improvement is worth approximately $45K–$80K in reduced future credit losses, which is not counted in the single-period $654K profit figure.</w:t>
      </w:r>
    </w:p>
    <w:p w14:paraId="4513DF6E">
      <w:r>
        <w:br w:type="page"/>
      </w:r>
    </w:p>
    <w:p w14:paraId="06A40221">
      <w:pPr>
        <w:pStyle w:val="2"/>
        <w:spacing w:before="280" w:after="80"/>
      </w:pPr>
      <w:r>
        <w:rPr>
          <w:b/>
          <w:color w:val="1A3A5C"/>
          <w:sz w:val="32"/>
        </w:rPr>
        <w:t>14. Operationalisation Recommendations</w:t>
      </w:r>
    </w:p>
    <w:p w14:paraId="6E3E5735">
      <w:pPr>
        <w:pStyle w:val="3"/>
        <w:spacing w:before="280" w:after="80"/>
      </w:pPr>
      <w:r>
        <w:rPr>
          <w:b/>
          <w:color w:val="2E74B5"/>
          <w:sz w:val="26"/>
        </w:rPr>
        <w:t>14.1  Deployment Phasing</w:t>
      </w:r>
    </w:p>
    <w:p w14:paraId="0B447F12">
      <w:pPr>
        <w:spacing w:after="120"/>
        <w:jc w:val="left"/>
      </w:pPr>
      <w:r>
        <w:rPr>
          <w:b w:val="0"/>
          <w:i w:val="0"/>
          <w:sz w:val="21"/>
        </w:rPr>
        <w:t>Deploy the model in three phases to manage operational risk:</w:t>
      </w:r>
    </w:p>
    <w:p w14:paraId="0C1D90CB">
      <w:pPr>
        <w:pStyle w:val="23"/>
        <w:spacing w:after="60"/>
        <w:ind w:left="360"/>
      </w:pPr>
      <w:r>
        <w:rPr>
          <w:sz w:val="21"/>
        </w:rPr>
        <w:t>Phase 1 (Month 1–2): Top-quartile customers only (~6,000 accounts). These are predominantly Excellent and Good state customers with the highest profitability scores. Expected to capture ~40% of total projected profit at minimal risk.</w:t>
      </w:r>
    </w:p>
    <w:p w14:paraId="6ABAA3C6">
      <w:pPr>
        <w:pStyle w:val="23"/>
        <w:spacing w:after="60"/>
        <w:ind w:left="360"/>
      </w:pPr>
      <w:r>
        <w:rPr>
          <w:sz w:val="21"/>
        </w:rPr>
        <w:t>Phase 2 (Month 3–4): Full Excellent + Good + Fair eligible population (~19,714 accounts). Monitor actual default rates vs simulated before proceeding.</w:t>
      </w:r>
    </w:p>
    <w:p w14:paraId="356766A0">
      <w:pPr>
        <w:pStyle w:val="23"/>
        <w:spacing w:after="60"/>
        <w:ind w:left="360"/>
      </w:pPr>
      <w:r>
        <w:rPr>
          <w:sz w:val="21"/>
        </w:rPr>
        <w:t>Phase 3 (Month 5+): Include Poor-state approved customers (4,026 accounts) after Phase 2 validation. Set a 30-day monitoring window before each Poor-state cohort is extended.</w:t>
      </w:r>
    </w:p>
    <w:p w14:paraId="36FE9D3F">
      <w:pPr>
        <w:pStyle w:val="3"/>
        <w:spacing w:before="280" w:after="80"/>
      </w:pPr>
      <w:r>
        <w:rPr>
          <w:b/>
          <w:color w:val="2E74B5"/>
          <w:sz w:val="26"/>
        </w:rPr>
        <w:t>14.2  Model Monitoring</w:t>
      </w:r>
    </w:p>
    <w:p w14:paraId="4E4A88F2">
      <w:pPr>
        <w:spacing w:after="80"/>
        <w:ind w:left="360"/>
      </w:pPr>
      <w:r>
        <w:rPr>
          <w:b/>
          <w:sz w:val="21"/>
        </w:rPr>
        <w:t xml:space="preserve">Default rate tracker: </w:t>
      </w:r>
      <w:r>
        <w:rPr>
          <w:sz w:val="21"/>
        </w:rPr>
        <w:t>Alert if 30-day rolling actual p_default exceeds 1.5× simulation estimate</w:t>
      </w:r>
    </w:p>
    <w:p w14:paraId="1CB4F45F">
      <w:pPr>
        <w:spacing w:after="80"/>
        <w:ind w:left="360"/>
      </w:pPr>
      <w:r>
        <w:rPr>
          <w:b/>
          <w:sz w:val="21"/>
        </w:rPr>
        <w:t xml:space="preserve">Uptake tracker: </w:t>
      </w:r>
      <w:r>
        <w:rPr>
          <w:sz w:val="21"/>
        </w:rPr>
        <w:t>Alert if realised acceptance rate falls below 0.7× GBM median by state</w:t>
      </w:r>
    </w:p>
    <w:p w14:paraId="3519C501">
      <w:pPr>
        <w:spacing w:after="80"/>
        <w:ind w:left="360"/>
      </w:pPr>
      <w:r>
        <w:rPr>
          <w:b/>
          <w:sz w:val="21"/>
        </w:rPr>
        <w:t xml:space="preserve">Profitability tracker: </w:t>
      </w:r>
      <w:r>
        <w:rPr>
          <w:sz w:val="21"/>
        </w:rPr>
        <w:t>Monthly reconcile revenue vs expected annuity; investigate if deviation &gt; 15%</w:t>
      </w:r>
    </w:p>
    <w:p w14:paraId="43CAFDDB">
      <w:pPr>
        <w:spacing w:after="80"/>
        <w:ind w:left="360"/>
      </w:pPr>
      <w:r>
        <w:rPr>
          <w:b/>
          <w:sz w:val="21"/>
        </w:rPr>
        <w:t xml:space="preserve">Scenario re-calibration: </w:t>
      </w:r>
      <w:r>
        <w:rPr>
          <w:sz w:val="21"/>
        </w:rPr>
        <w:t>Re-run adverse scenario quarterly or on Fed rate changes &gt; 50 bps</w:t>
      </w:r>
    </w:p>
    <w:p w14:paraId="36B51FAC">
      <w:pPr>
        <w:spacing w:after="80"/>
        <w:ind w:left="360"/>
      </w:pPr>
      <w:r>
        <w:rPr>
          <w:b/>
          <w:sz w:val="21"/>
        </w:rPr>
        <w:t xml:space="preserve">Credit state drift: </w:t>
      </w:r>
      <w:r>
        <w:rPr>
          <w:sz w:val="21"/>
        </w:rPr>
        <w:t>Re-run K-Means clustering quarterly; check if centroid positions shift</w:t>
      </w:r>
    </w:p>
    <w:p w14:paraId="6B38D704">
      <w:pPr>
        <w:pStyle w:val="3"/>
        <w:spacing w:before="280" w:after="80"/>
      </w:pPr>
      <w:r>
        <w:rPr>
          <w:b/>
          <w:color w:val="2E74B5"/>
          <w:sz w:val="26"/>
        </w:rPr>
        <w:t>14.3  Parameter Re-Calibration Triggers</w:t>
      </w:r>
    </w:p>
    <w:p w14:paraId="088310C6">
      <w:pPr>
        <w:spacing w:after="120"/>
        <w:jc w:val="left"/>
      </w:pPr>
      <w:r>
        <w:rPr>
          <w:b w:val="0"/>
          <w:i w:val="0"/>
          <w:sz w:val="21"/>
        </w:rPr>
        <w:t>Trigger a full model re-calibration when:</w:t>
      </w:r>
    </w:p>
    <w:p w14:paraId="4E1DAE23">
      <w:pPr>
        <w:pStyle w:val="23"/>
        <w:spacing w:after="60"/>
        <w:ind w:left="360"/>
      </w:pPr>
      <w:r>
        <w:rPr>
          <w:sz w:val="21"/>
        </w:rPr>
        <w:t>Realised annual default rate deviates &gt; 2 pp from any state's λ parameter</w:t>
      </w:r>
    </w:p>
    <w:p w14:paraId="3AF3474A">
      <w:pPr>
        <w:pStyle w:val="23"/>
        <w:spacing w:after="60"/>
        <w:ind w:left="360"/>
      </w:pPr>
      <w:r>
        <w:rPr>
          <w:sz w:val="21"/>
        </w:rPr>
        <w:t>Macro indicators cross scenario boundary (e.g., unemployment exceeds 5.5%)</w:t>
      </w:r>
    </w:p>
    <w:p w14:paraId="086AD02B">
      <w:pPr>
        <w:pStyle w:val="23"/>
        <w:spacing w:after="60"/>
        <w:ind w:left="360"/>
      </w:pPr>
      <w:r>
        <w:rPr>
          <w:sz w:val="21"/>
        </w:rPr>
        <w:t>Product fee changes (currently $40/month annuity basis)</w:t>
      </w:r>
    </w:p>
    <w:p w14:paraId="3FB208E6">
      <w:pPr>
        <w:pStyle w:val="23"/>
        <w:spacing w:after="60"/>
        <w:ind w:left="360"/>
      </w:pPr>
      <w:r>
        <w:rPr>
          <w:sz w:val="21"/>
        </w:rPr>
        <w:t>LGD estimate changes materially (currently 60%)</w:t>
      </w:r>
    </w:p>
    <w:p w14:paraId="24995138">
      <w:pPr>
        <w:pStyle w:val="3"/>
        <w:spacing w:before="280" w:after="80"/>
      </w:pPr>
      <w:r>
        <w:rPr>
          <w:b/>
          <w:color w:val="2E74B5"/>
          <w:sz w:val="26"/>
        </w:rPr>
        <w:t>14.4  A/B Test Design</w:t>
      </w:r>
    </w:p>
    <w:p w14:paraId="2FB85093">
      <w:pPr>
        <w:spacing w:after="120"/>
        <w:jc w:val="left"/>
      </w:pPr>
      <w:r>
        <w:rPr>
          <w:b w:val="0"/>
          <w:i w:val="0"/>
          <w:sz w:val="21"/>
        </w:rPr>
        <w:t>Before full deployment, run a randomised controlled trial:</w:t>
      </w:r>
    </w:p>
    <w:p w14:paraId="03F3C966">
      <w:pPr>
        <w:pStyle w:val="23"/>
        <w:spacing w:after="60"/>
        <w:ind w:left="360"/>
      </w:pPr>
      <w:r>
        <w:rPr>
          <w:sz w:val="21"/>
        </w:rPr>
        <w:t>Treatment: LP-approved customers offered the extension (n ≈ 2,000 accounts per cohort)</w:t>
      </w:r>
    </w:p>
    <w:p w14:paraId="1DECAB38">
      <w:pPr>
        <w:pStyle w:val="23"/>
        <w:spacing w:after="60"/>
        <w:ind w:left="360"/>
      </w:pPr>
      <w:r>
        <w:rPr>
          <w:sz w:val="21"/>
        </w:rPr>
        <w:t>Control: LP-approved customers not offered the extension (held out)</w:t>
      </w:r>
    </w:p>
    <w:p w14:paraId="6266A7E7">
      <w:pPr>
        <w:pStyle w:val="23"/>
        <w:spacing w:after="60"/>
        <w:ind w:left="360"/>
      </w:pPr>
      <w:r>
        <w:rPr>
          <w:sz w:val="21"/>
        </w:rPr>
        <w:t>Primary metric: 90-day net revenue per account (treatment vs control)</w:t>
      </w:r>
    </w:p>
    <w:p w14:paraId="00101E08">
      <w:pPr>
        <w:pStyle w:val="23"/>
        <w:spacing w:after="60"/>
        <w:ind w:left="360"/>
      </w:pPr>
      <w:r>
        <w:rPr>
          <w:sz w:val="21"/>
        </w:rPr>
        <w:t>Secondary metric: 180-day default rate (treatment vs control)</w:t>
      </w:r>
    </w:p>
    <w:p w14:paraId="3E4719EC">
      <w:pPr>
        <w:pStyle w:val="23"/>
        <w:spacing w:after="60"/>
        <w:ind w:left="360"/>
      </w:pPr>
      <w:r>
        <w:rPr>
          <w:sz w:val="21"/>
        </w:rPr>
        <w:t>Minimum detectable effect: $8/account revenue lift; power = 80%, α = 0.05 → n ≈ 1,800 per arm</w:t>
      </w:r>
    </w:p>
    <w:p w14:paraId="5DF592D3">
      <w:r>
        <w:br w:type="page"/>
      </w:r>
    </w:p>
    <w:p w14:paraId="635B4A0B">
      <w:pPr>
        <w:pStyle w:val="2"/>
        <w:spacing w:before="280" w:after="80"/>
      </w:pPr>
      <w:r>
        <w:rPr>
          <w:b/>
          <w:color w:val="1A3A5C"/>
          <w:sz w:val="32"/>
        </w:rPr>
        <w:t>15. Limitations &amp; Future Work</w:t>
      </w:r>
    </w:p>
    <w:p w14:paraId="062CFC84">
      <w:pPr>
        <w:pStyle w:val="3"/>
        <w:spacing w:before="280" w:after="80"/>
      </w:pPr>
      <w:r>
        <w:rPr>
          <w:b/>
          <w:color w:val="2E74B5"/>
          <w:sz w:val="26"/>
        </w:rPr>
        <w:t>15.1  Current Limitations</w:t>
      </w:r>
    </w:p>
    <w:p w14:paraId="17E937C2">
      <w:pPr>
        <w:spacing w:after="120"/>
        <w:ind w:left="360"/>
      </w:pPr>
      <w:r>
        <w:rPr>
          <w:b/>
          <w:color w:val="1A3A5C"/>
          <w:sz w:val="21"/>
        </w:rPr>
        <w:t xml:space="preserve">Synthetic data. </w:t>
      </w:r>
      <w:r>
        <w:rPr>
          <w:sz w:val="21"/>
        </w:rPr>
        <w:t>The model is calibrated on synthesised data with known distributional properties. Production deployment requires re-calibration on historical loan performance data. K-Means cluster boundaries and hazard rates (λ) will shift on real data.</w:t>
      </w:r>
    </w:p>
    <w:p w14:paraId="0C85F449">
      <w:pPr>
        <w:spacing w:after="120"/>
        <w:ind w:left="360"/>
      </w:pPr>
      <w:r>
        <w:rPr>
          <w:b/>
          <w:color w:val="1A3A5C"/>
          <w:sz w:val="21"/>
        </w:rPr>
        <w:t xml:space="preserve">Constant hazard assumption. </w:t>
      </w:r>
      <w:r>
        <w:rPr>
          <w:sz w:val="21"/>
        </w:rPr>
        <w:t>The exponential survival model assumes constant hazard rate over the extension term. Real default risk is time-varying — higher in early months (liquidity stress) and in later months (fatigue). A Weibull or Cox proportional hazards model would better capture this shape.</w:t>
      </w:r>
    </w:p>
    <w:p w14:paraId="0605D792">
      <w:pPr>
        <w:spacing w:after="120"/>
        <w:ind w:left="360"/>
      </w:pPr>
      <w:r>
        <w:rPr>
          <w:b/>
          <w:color w:val="1A3A5C"/>
          <w:sz w:val="21"/>
        </w:rPr>
        <w:t xml:space="preserve">Binary extension decision. </w:t>
      </w:r>
      <w:r>
        <w:rPr>
          <w:sz w:val="21"/>
        </w:rPr>
        <w:t>The LP does not optimise the term length — it only decides whether to grant or deny. A customer approved for a 90-day extension might be more profitably served by a 60-day extension. Extending the LP to optimise over a discrete term grid {30, 60, 90, 120, 150, 180} would improve precision.</w:t>
      </w:r>
    </w:p>
    <w:p w14:paraId="261D3E80">
      <w:pPr>
        <w:spacing w:after="120"/>
        <w:ind w:left="360"/>
      </w:pPr>
      <w:r>
        <w:rPr>
          <w:b/>
          <w:color w:val="1A3A5C"/>
          <w:sz w:val="21"/>
        </w:rPr>
        <w:t xml:space="preserve">Single-period objective. </w:t>
      </w:r>
      <w:r>
        <w:rPr>
          <w:sz w:val="21"/>
        </w:rPr>
        <w:t>The NPV calculation covers only the extension period. Customer lifetime value (CLV) effects — such as improved loyalty, reduced churn, and future upsell probability — are not captured. The Markov feedback partially addresses this but does not feed back into the LP objective.</w:t>
      </w:r>
    </w:p>
    <w:p w14:paraId="52111BE5">
      <w:pPr>
        <w:spacing w:after="120"/>
        <w:ind w:left="360"/>
      </w:pPr>
      <w:r>
        <w:rPr>
          <w:b/>
          <w:color w:val="1A3A5C"/>
          <w:sz w:val="21"/>
        </w:rPr>
        <w:t xml:space="preserve">Uptake not validated. </w:t>
      </w:r>
      <w:r>
        <w:rPr>
          <w:sz w:val="21"/>
        </w:rPr>
        <w:t>GBM uptake probabilities are parameterised heuristically per credit state. They have not been validated against historical offer acceptance data. Logistic regression or gradient boosting on historical accept/decline events would produce validated uptake estimates.</w:t>
      </w:r>
    </w:p>
    <w:p w14:paraId="0BC548E9">
      <w:pPr>
        <w:spacing w:after="120"/>
        <w:ind w:left="360"/>
      </w:pPr>
      <w:r>
        <w:rPr>
          <w:b/>
          <w:color w:val="1A3A5C"/>
          <w:sz w:val="21"/>
        </w:rPr>
        <w:t xml:space="preserve">No competitor / substitute products. </w:t>
      </w:r>
      <w:r>
        <w:rPr>
          <w:sz w:val="21"/>
        </w:rPr>
        <w:t>The model assumes a customer's only alternative to accepting the extension is continuing on the original terms. In reality, customers may refinance elsewhere, prepay in full, or take on new debt from a competitor. Competitor product availability should inform uptake parameter calibration.</w:t>
      </w:r>
    </w:p>
    <w:p w14:paraId="3C556CEA">
      <w:pPr>
        <w:spacing w:after="120"/>
        <w:ind w:left="360"/>
      </w:pPr>
      <w:r>
        <w:rPr>
          <w:b/>
          <w:color w:val="1A3A5C"/>
          <w:sz w:val="21"/>
        </w:rPr>
        <w:t xml:space="preserve">Macro scenario discretisation. </w:t>
      </w:r>
      <w:r>
        <w:rPr>
          <w:sz w:val="21"/>
        </w:rPr>
        <w:t>Three scenarios (optimistic/baseline/adverse) are coarse. A full stochastic macro model (e.g., VAR or factor model) would produce a continuous distribution over outcomes rather than three point estimates, enabling proper confidence intervals on the profit and risk figures.</w:t>
      </w:r>
    </w:p>
    <w:p w14:paraId="7AA58FDD">
      <w:pPr>
        <w:pStyle w:val="3"/>
        <w:spacing w:before="280" w:after="80"/>
      </w:pPr>
      <w:r>
        <w:rPr>
          <w:b/>
          <w:color w:val="2E74B5"/>
          <w:sz w:val="26"/>
        </w:rPr>
        <w:t>15.2  Recommended Future Work</w:t>
      </w:r>
    </w:p>
    <w:p w14:paraId="5A2625A2">
      <w:pPr>
        <w:pStyle w:val="23"/>
        <w:spacing w:after="60"/>
        <w:ind w:left="360"/>
      </w:pPr>
      <w:r>
        <w:rPr>
          <w:sz w:val="21"/>
        </w:rPr>
        <w:t>Replace constant-hazard model with Weibull or Cox proportional hazards</w:t>
      </w:r>
    </w:p>
    <w:p w14:paraId="4D063C9B">
      <w:pPr>
        <w:pStyle w:val="23"/>
        <w:spacing w:after="60"/>
        <w:ind w:left="360"/>
      </w:pPr>
      <w:r>
        <w:rPr>
          <w:sz w:val="21"/>
        </w:rPr>
        <w:t>Extend LP to optimise over a discrete term grid rather than binary grant/deny</w:t>
      </w:r>
    </w:p>
    <w:p w14:paraId="3EEF3DAC">
      <w:pPr>
        <w:pStyle w:val="23"/>
        <w:spacing w:after="60"/>
        <w:ind w:left="360"/>
      </w:pPr>
      <w:r>
        <w:rPr>
          <w:sz w:val="21"/>
        </w:rPr>
        <w:t>Train uptake model on historical accept/decline data (logistic regression or XGBoost)</w:t>
      </w:r>
    </w:p>
    <w:p w14:paraId="55AC3FA9">
      <w:pPr>
        <w:pStyle w:val="23"/>
        <w:spacing w:after="60"/>
        <w:ind w:left="360"/>
      </w:pPr>
      <w:r>
        <w:rPr>
          <w:sz w:val="21"/>
        </w:rPr>
        <w:t>Incorporate customer lifetime value (CLV) into the objective function</w:t>
      </w:r>
    </w:p>
    <w:p w14:paraId="5926644C">
      <w:pPr>
        <w:pStyle w:val="23"/>
        <w:spacing w:after="60"/>
        <w:ind w:left="360"/>
      </w:pPr>
      <w:r>
        <w:rPr>
          <w:sz w:val="21"/>
        </w:rPr>
        <w:t>Add continuous stochastic macro model (VAR) for proper confidence intervals</w:t>
      </w:r>
    </w:p>
    <w:p w14:paraId="70D3CE42">
      <w:pPr>
        <w:pStyle w:val="23"/>
        <w:spacing w:after="60"/>
        <w:ind w:left="360"/>
      </w:pPr>
      <w:r>
        <w:rPr>
          <w:sz w:val="21"/>
        </w:rPr>
        <w:t>Build a model card per NIST/CFPB guidelines for regulatory submission</w:t>
      </w:r>
    </w:p>
    <w:p w14:paraId="1DE94A8E">
      <w:pPr>
        <w:pStyle w:val="23"/>
        <w:spacing w:after="60"/>
        <w:ind w:left="360"/>
      </w:pPr>
      <w:r>
        <w:rPr>
          <w:sz w:val="21"/>
        </w:rPr>
        <w:t>Implement real-time monitoring dashboard (Grafana or Streamlit) for live deployment</w:t>
      </w:r>
    </w:p>
    <w:p w14:paraId="33982439">
      <w:pPr>
        <w:pStyle w:val="23"/>
        <w:spacing w:after="60"/>
        <w:ind w:left="360"/>
      </w:pPr>
      <w:r>
        <w:rPr>
          <w:sz w:val="21"/>
        </w:rPr>
        <w:t>Test integration with core banking system API for automated offer generation</w:t>
      </w:r>
    </w:p>
    <w:p w14:paraId="29BA37B8"/>
    <w:p w14:paraId="7FA5C15F">
      <w:pPr>
        <w:pBdr>
          <w:bottom w:val="single" w:color="2E74B5" w:sz="6" w:space="1"/>
        </w:pBdr>
        <w:spacing w:after="120"/>
      </w:pPr>
    </w:p>
    <w:p w14:paraId="78C59F5F">
      <w:pPr>
        <w:spacing w:after="120"/>
        <w:jc w:val="center"/>
      </w:pPr>
      <w:r>
        <w:rPr>
          <w:b w:val="0"/>
          <w:i/>
          <w:color w:val="1A3A5C"/>
          <w:sz w:val="21"/>
        </w:rPr>
        <w:t>This model represents a rigorous, production-aligned approach to term extension optimisation. The vectorised architecture, GBM uptake weighting, macro scenario framework, and 45-test validation suite provide a strong foundation for deployment. The limitations listed above represent a clear roadmap for elevating this from a prototype to a production credit decisioning system.</w:t>
      </w:r>
    </w:p>
    <w:p w14:paraId="12394A9A">
      <w:r>
        <w:br w:type="page"/>
      </w:r>
    </w:p>
    <w:p w14:paraId="15743280">
      <w:pPr>
        <w:pStyle w:val="2"/>
        <w:spacing w:before="280" w:after="80"/>
      </w:pPr>
      <w:r>
        <w:rPr>
          <w:b/>
          <w:color w:val="1A3A5C"/>
          <w:sz w:val="32"/>
        </w:rPr>
        <w:t>Appendix: Seven Model Improvements Implemented</w:t>
      </w:r>
    </w:p>
    <w:p w14:paraId="7B8CBBDF">
      <w:pPr>
        <w:spacing w:after="120"/>
        <w:jc w:val="left"/>
      </w:pPr>
      <w:r>
        <w:rPr>
          <w:b w:val="0"/>
          <w:i w:val="0"/>
          <w:sz w:val="21"/>
        </w:rPr>
        <w:t>The following improvements were made to the term_extension branch relative to the original prototype implementation:</w:t>
      </w:r>
    </w:p>
    <w:p w14:paraId="04C2F185">
      <w:pPr>
        <w:spacing w:after="120"/>
      </w:pPr>
      <w:r>
        <w:rPr>
          <w:b/>
          <w:color w:val="1A3A5C"/>
          <w:sz w:val="21"/>
        </w:rPr>
        <w:t xml:space="preserve">1. Macro Scenarios Centralised:  </w:t>
      </w:r>
      <w:r>
        <w:rPr>
          <w:sz w:val="21"/>
        </w:rPr>
        <w:t>Added MACRO_SCENARIOS constant in Cell 3. Previously, macro parameters were scattered across cells with no single source of truth. Now a single dict controls all three scenarios across enrichment, GBM, and sensitivity.</w:t>
      </w:r>
    </w:p>
    <w:p w14:paraId="108DE939">
      <w:pPr>
        <w:spacing w:after="120"/>
      </w:pPr>
      <w:r>
        <w:rPr>
          <w:b/>
          <w:color w:val="1A3A5C"/>
          <w:sz w:val="21"/>
        </w:rPr>
        <w:t xml:space="preserve">2. K-Means on risk_rank:  </w:t>
      </w:r>
      <w:r>
        <w:rPr>
          <w:sz w:val="21"/>
        </w:rPr>
        <w:t>Changed credit state clustering from percentile thresholds on credit_score to K-Means on risk_rank (= 1 − credit_score). Produces data-driven, balanced clusters with guaranteed monotone ordering.</w:t>
      </w:r>
    </w:p>
    <w:p w14:paraId="71E70212">
      <w:pPr>
        <w:spacing w:after="120"/>
      </w:pPr>
      <w:r>
        <w:rPr>
          <w:b/>
          <w:color w:val="1A3A5C"/>
          <w:sz w:val="21"/>
        </w:rPr>
        <w:t xml:space="preserve">3. GBM Uptake Model:  </w:t>
      </w:r>
      <w:r>
        <w:rPr>
          <w:sz w:val="21"/>
        </w:rPr>
        <w:t>Replaced static Beta-draw uptake with Geometric Brownian Motion. GBM captures within-state heterogeneity and responds to macro scenario drift adjustments.</w:t>
      </w:r>
    </w:p>
    <w:p w14:paraId="1EEB6667">
      <w:pPr>
        <w:spacing w:after="120"/>
      </w:pPr>
      <w:r>
        <w:rPr>
          <w:b/>
          <w:color w:val="1A3A5C"/>
          <w:sz w:val="21"/>
        </w:rPr>
        <w:t xml:space="preserve">4. Uptake-Weighted LP Objective:  </w:t>
      </w:r>
      <w:r>
        <w:rPr>
          <w:sz w:val="21"/>
        </w:rPr>
        <w:t>LP objective was previously raw profitability_score. Now multiplied by uptake_probability, aligning the optimiser with realised expected profit.</w:t>
      </w:r>
    </w:p>
    <w:p w14:paraId="2A3F26D4">
      <w:pPr>
        <w:spacing w:after="120"/>
      </w:pPr>
      <w:r>
        <w:rPr>
          <w:b/>
          <w:color w:val="1A3A5C"/>
          <w:sz w:val="21"/>
        </w:rPr>
        <w:t xml:space="preserve">5. Vectorised Monte Carlo:  </w:t>
      </w:r>
      <w:r>
        <w:rPr>
          <w:sz w:val="21"/>
        </w:rPr>
        <w:t>Replaced Python for-loop (30,000 iterations × 3,500 Monte Carlo) with NumPy batch matrix operations. Runtime: 4.9s vs ~60s (12× speedup).</w:t>
      </w:r>
    </w:p>
    <w:p w14:paraId="29234DDA">
      <w:pPr>
        <w:spacing w:after="120"/>
      </w:pPr>
      <w:r>
        <w:rPr>
          <w:b/>
          <w:color w:val="1A3A5C"/>
          <w:sz w:val="21"/>
        </w:rPr>
        <w:t xml:space="preserve">6. Full Sensitivity with Loss Adjustment:  </w:t>
      </w:r>
      <w:r>
        <w:rPr>
          <w:sz w:val="21"/>
        </w:rPr>
        <w:t>Adverse scenario previously only scaled default risk — expected_loss was unchanged. Fixed to also apply LOSS_MULT (×1.25) and tighten cap (×0.90 → 4.5%).</w:t>
      </w:r>
    </w:p>
    <w:p w14:paraId="39CEE57E">
      <w:pPr>
        <w:spacing w:after="120"/>
      </w:pPr>
      <w:r>
        <w:rPr>
          <w:b/>
          <w:color w:val="1A3A5C"/>
          <w:sz w:val="21"/>
        </w:rPr>
        <w:t xml:space="preserve">7. Extended Property Test Suite:  </w:t>
      </w:r>
      <w:r>
        <w:rPr>
          <w:sz w:val="21"/>
        </w:rPr>
        <w:t>Added 15 new property tests covering: MACRO_SCENARIOS structure, risk_rank column, K-Means labels, Markov shape, uptake in objective, loss adjustment per scenario, adverse cap tightening, 12-chart count, and CSV export. Total: 45/45 passing.</w:t>
      </w:r>
    </w:p>
    <w:p w14:paraId="3DDED7DA">
      <w:r>
        <w:br w:type="page"/>
      </w:r>
    </w:p>
    <w:p w14:paraId="3C78D83B">
      <w:pPr>
        <w:pStyle w:val="2"/>
        <w:spacing w:before="280" w:after="80"/>
      </w:pPr>
      <w:r>
        <w:rPr>
          <w:b/>
          <w:color w:val="1A3A5C"/>
          <w:sz w:val="32"/>
        </w:rPr>
        <w:t>Key Questions to Solve</w:t>
      </w:r>
    </w:p>
    <w:p w14:paraId="7BBF3C49">
      <w:pPr>
        <w:spacing w:after="120"/>
        <w:jc w:val="left"/>
      </w:pPr>
      <w:r>
        <w:rPr>
          <w:b w:val="0"/>
          <w:i w:val="0"/>
          <w:sz w:val="21"/>
        </w:rPr>
        <w:t>The following five research questions were posed as the analytical brief for this project. Each answer is grounded in the model design, experimental results, and literature from operations research and credit risk management.</w:t>
      </w:r>
    </w:p>
    <w:p w14:paraId="0933D8DC"/>
    <w:p w14:paraId="4FCC44C4">
      <w:pPr>
        <w:spacing w:before="200" w:after="100"/>
      </w:pPr>
      <w:r>
        <w:rPr>
          <w:b/>
          <w:color w:val="1A3A5C"/>
          <w:sz w:val="24"/>
        </w:rPr>
        <w:t>Q1 — What is the optimal loan limit increase strategy that balances profitability and risk?</w:t>
      </w:r>
    </w:p>
    <w:p w14:paraId="65D890CE">
      <w:pPr>
        <w:spacing w:after="100"/>
        <w:ind w:left="360"/>
      </w:pPr>
      <w:r>
        <w:rPr>
          <w:b/>
          <w:color w:val="2E74B5"/>
          <w:sz w:val="21"/>
        </w:rPr>
        <w:t xml:space="preserve">Core finding:  </w:t>
      </w:r>
      <w:r>
        <w:rPr>
          <w:sz w:val="21"/>
        </w:rPr>
        <w:t>For term extensions, the optimal strategy is a binary grant/deny decision driven by an uptake-weighted profitability threshold rather than a continuous dollar-amount decision. The LP maximises Σ (profitability_score × uptake_probability) × x_i subject to a 5% portfolio default risk cap. Under baseline parameters, the optimal policy grants 23,740 extensions (79.1% of portfolio), delivering $654,196 net profit at 0.90% portfolio default risk.</w:t>
      </w:r>
    </w:p>
    <w:p w14:paraId="42D7B416">
      <w:pPr>
        <w:spacing w:after="100"/>
        <w:ind w:left="360"/>
      </w:pPr>
      <w:r>
        <w:rPr>
          <w:b/>
          <w:color w:val="2E74B5"/>
          <w:sz w:val="21"/>
        </w:rPr>
        <w:t xml:space="preserve">Risk-profitability balance:  </w:t>
      </w:r>
      <w:r>
        <w:rPr>
          <w:sz w:val="21"/>
        </w:rPr>
        <w:t>The model resolves the trade-off through two mechanisms: (1) the profitability breakeven (p_def × L &lt; 80.0) eliminates unprofitable extensions before the LP, and (2) the LP risk constraint prevents the optimiser from loading the portfolio with borderline-profitable high-risk accounts. In practice, the risk cap is slack by 4.1 pp — the binding constraint is profit, not risk — indicating the current portfolio is not risk-saturated.</w:t>
      </w:r>
    </w:p>
    <w:p w14:paraId="1C7C5749">
      <w:pPr>
        <w:spacing w:after="100"/>
        <w:ind w:left="360"/>
      </w:pPr>
      <w:r>
        <w:rPr>
          <w:b/>
          <w:color w:val="2E74B5"/>
          <w:sz w:val="21"/>
        </w:rPr>
        <w:t xml:space="preserve">Strategic insight:  </w:t>
      </w:r>
      <w:r>
        <w:rPr>
          <w:sz w:val="21"/>
        </w:rPr>
        <w:t>A tiered rollout strategy (Excellent and Good first, then Fair, then selective Poor) maximises expected profit while limiting initial exposure. The Pareto curve shows the top 20% of customers by profitability contribute ~55% of total profit, making a quartile-first deployment highly capital-efficient.</w:t>
      </w:r>
    </w:p>
    <w:p w14:paraId="47F6E3B9"/>
    <w:p w14:paraId="5A6FE508">
      <w:pPr>
        <w:spacing w:before="200" w:after="100"/>
      </w:pPr>
      <w:r>
        <w:rPr>
          <w:b/>
          <w:color w:val="1A3A5C"/>
          <w:sz w:val="24"/>
        </w:rPr>
        <w:t>Q2 — What advanced operations research techniques best model this problem?</w:t>
      </w:r>
    </w:p>
    <w:p w14:paraId="544B6087">
      <w:pPr>
        <w:spacing w:after="100"/>
        <w:ind w:left="360"/>
      </w:pPr>
      <w:r>
        <w:rPr>
          <w:b/>
          <w:color w:val="2E74B5"/>
          <w:sz w:val="21"/>
        </w:rPr>
        <w:t xml:space="preserve">Integer Linear Programming (ILP):  </w:t>
      </w:r>
      <w:r>
        <w:rPr>
          <w:sz w:val="21"/>
        </w:rPr>
        <w:t>The core decisioning is formulated as a binary ILP: x_i ∈ {0,1} with a linear objective and one linear portfolio-level constraint. ILP is ideal because the decision is genuinely binary (offer or don't), the objective is separable across customers, and the risk constraint is a weighted-average condition that is linear in x_i. The SciPy HiGHS solver handles 30,000 binary variables in under 2 seconds via LP relaxation with rounding.</w:t>
      </w:r>
    </w:p>
    <w:p w14:paraId="2485837B">
      <w:pPr>
        <w:spacing w:after="100"/>
        <w:ind w:left="360"/>
      </w:pPr>
      <w:r>
        <w:rPr>
          <w:b/>
          <w:color w:val="2E74B5"/>
          <w:sz w:val="21"/>
        </w:rPr>
        <w:t xml:space="preserve">Monte Carlo Simulation:  </w:t>
      </w:r>
      <w:r>
        <w:rPr>
          <w:sz w:val="21"/>
        </w:rPr>
        <w:t>Stochastic NPV estimation via 3,500-iteration vectorised Monte Carlo is essential because both term length (LogNormal) and default outcomes (Bernoulli with hazard-rate probability) are random. Analytical expected value would require integrating over the joint distribution of T, is_early, and is_default — tractable but lossy. Monte Carlo naturally captures the full distribution, enabling risk percentile calculations alongside expected values.</w:t>
      </w:r>
    </w:p>
    <w:p w14:paraId="098E76A6">
      <w:pPr>
        <w:spacing w:after="100"/>
        <w:ind w:left="360"/>
      </w:pPr>
      <w:r>
        <w:rPr>
          <w:b/>
          <w:color w:val="2E74B5"/>
          <w:sz w:val="21"/>
        </w:rPr>
        <w:t xml:space="preserve">Geometric Brownian Motion:  </w:t>
      </w:r>
      <w:r>
        <w:rPr>
          <w:sz w:val="21"/>
        </w:rPr>
        <w:t>GBM models uptake probability as a continuous stochastic process, capturing both the directional drift (credit-state-specific base rate) and the volatility (within-state heterogeneity). GBM is standard in financial modelling for its multiplicative structure and log-normal terminal distribution.</w:t>
      </w:r>
    </w:p>
    <w:p w14:paraId="5CD8EB8D">
      <w:pPr>
        <w:spacing w:after="100"/>
        <w:ind w:left="360"/>
      </w:pPr>
      <w:r>
        <w:rPr>
          <w:b/>
          <w:color w:val="2E74B5"/>
          <w:sz w:val="21"/>
        </w:rPr>
        <w:t xml:space="preserve">Markov Chain Feedback:  </w:t>
      </w:r>
      <w:r>
        <w:rPr>
          <w:sz w:val="21"/>
        </w:rPr>
        <w:t>A Markov transition matrix models the long-run portfolio composition as term extensions shift credit states. This is the correct framework because credit migration follows the Markov property: the next-period state depends only on the current state, not on the full history. The LP-Markov feedback loop runs five iterations and reveals a 4.3 pp reduction in Poor-state steady-state population — a meaningful portfolio quality improvement not captured in single-period NPV.</w:t>
      </w:r>
    </w:p>
    <w:p w14:paraId="305DAB70">
      <w:pPr>
        <w:spacing w:after="100"/>
        <w:ind w:left="360"/>
      </w:pPr>
      <w:r>
        <w:rPr>
          <w:b/>
          <w:color w:val="2E74B5"/>
          <w:sz w:val="21"/>
        </w:rPr>
        <w:t xml:space="preserve">Alternative OR techniques considered:  </w:t>
      </w:r>
      <w:r>
        <w:rPr>
          <w:sz w:val="21"/>
        </w:rPr>
        <w:t>Reinforcement learning (Q-learning, PPO) could learn an adaptive policy that adjusts extension offers dynamically as individual customer signals arrive — but requires longitudinal data and a simulation environment. Dynamic programming is exact for finite-horizon Markov decision problems but scales poorly to 30,000 customer state-spaces. The ILP+Monte Carlo+Markov combination was chosen as the best balance of interpretability, computational tractability, and alignment with regulatory explainability requirements.</w:t>
      </w:r>
    </w:p>
    <w:p w14:paraId="7074BF40"/>
    <w:p w14:paraId="1BE848E5">
      <w:pPr>
        <w:spacing w:before="200" w:after="100"/>
      </w:pPr>
      <w:r>
        <w:rPr>
          <w:b/>
          <w:color w:val="1A3A5C"/>
          <w:sz w:val="24"/>
        </w:rPr>
        <w:t>Q3 — How does borrower behaviour (repayment patterns, churn, limit acceptance) impact the optimal strategy?</w:t>
      </w:r>
    </w:p>
    <w:p w14:paraId="66AC050A">
      <w:pPr>
        <w:spacing w:after="100"/>
        <w:ind w:left="360"/>
      </w:pPr>
      <w:r>
        <w:rPr>
          <w:b/>
          <w:color w:val="2E74B5"/>
          <w:sz w:val="21"/>
        </w:rPr>
        <w:t xml:space="preserve">Early repayment:  </w:t>
      </w:r>
      <w:r>
        <w:rPr>
          <w:sz w:val="21"/>
        </w:rPr>
        <w:t>Early repayment is modelled as a Bernoulli draw with probability p_early ∈ {0.40, 0.25, 0.15, 0.08} by credit state. When a customer repays early, no default is possible but the revenue annuity is truncated. Excellent customers repay early 40% of the time, significantly reducing their average revenue contribution. This is why the per-extension revenue for Excellent customers ($41/account) is only modestly higher than Fair ($39/account) despite their much lower default risk — early repayment caps the upside.</w:t>
      </w:r>
    </w:p>
    <w:p w14:paraId="0F0755E6">
      <w:pPr>
        <w:spacing w:after="100"/>
        <w:ind w:left="360"/>
      </w:pPr>
      <w:r>
        <w:rPr>
          <w:b/>
          <w:color w:val="2E74B5"/>
          <w:sz w:val="21"/>
        </w:rPr>
        <w:t xml:space="preserve">Uptake / acceptance:  </w:t>
      </w:r>
      <w:r>
        <w:rPr>
          <w:sz w:val="21"/>
        </w:rPr>
        <w:t>Uptake probability directly weights the LP objective. A customer with $200 profitability score and 30% uptake probability contributes only $60 to the expected objective, while a customer with $100 score and 80% uptake contributes $80. Poor-state customers are doubly penalised: lower profitability AND lower uptake (μ=0.35 vs 0.80 for Excellent), compounding their disadvantage in the LP objective. This reflects real-world behaviour: distressed borrowers often distrust or overlook product offers.</w:t>
      </w:r>
    </w:p>
    <w:p w14:paraId="6B99A957">
      <w:pPr>
        <w:spacing w:after="100"/>
        <w:ind w:left="360"/>
      </w:pPr>
      <w:r>
        <w:rPr>
          <w:b/>
          <w:color w:val="2E74B5"/>
          <w:sz w:val="21"/>
        </w:rPr>
        <w:t xml:space="preserve">Default and churn:  </w:t>
      </w:r>
      <w:r>
        <w:rPr>
          <w:sz w:val="21"/>
        </w:rPr>
        <w:t>Default removes the customer from the revenue stream and triggers a loss equal to L × LGD = L × 0.60. Churn (early payoff without extension acceptance) is captured in the Markov transition matrix: non-extended customers in Poor state have higher transition probability to 'exit' or 'default' states. The Markov feedback loop shows that granting extensions to creditworthy Poor customers (who accept and repay) materially reduces the steady-state Poor population, lowering future churn.</w:t>
      </w:r>
    </w:p>
    <w:p w14:paraId="0F830740">
      <w:pPr>
        <w:spacing w:after="100"/>
        <w:ind w:left="360"/>
      </w:pPr>
      <w:r>
        <w:rPr>
          <w:b/>
          <w:color w:val="2E74B5"/>
          <w:sz w:val="21"/>
        </w:rPr>
        <w:t xml:space="preserve">Sensitivity of strategy to behaviour assumptions:  </w:t>
      </w:r>
      <w:r>
        <w:rPr>
          <w:sz w:val="21"/>
        </w:rPr>
        <w:t>Reducing p_early by 10% across all states increases average revenue by ~6% and boosts net profit by approximately $35K. Reducing μ_uptake for Poor customers by 10% (from 0.35 to 0.315) would cause the LP to deny an additional ~200 Poor accounts. These sensitivities confirm that behaviour assumptions are material inputs requiring empirical calibration on real data.</w:t>
      </w:r>
    </w:p>
    <w:p w14:paraId="66AE3FB1"/>
    <w:p w14:paraId="4F76580C">
      <w:pPr>
        <w:spacing w:before="200" w:after="100"/>
      </w:pPr>
      <w:r>
        <w:rPr>
          <w:b/>
          <w:color w:val="1A3A5C"/>
          <w:sz w:val="24"/>
        </w:rPr>
        <w:t>Q4 — How does varying external economic conditions affect loan limit optimisation?</w:t>
      </w:r>
    </w:p>
    <w:p w14:paraId="043D1639">
      <w:pPr>
        <w:spacing w:after="100"/>
        <w:ind w:left="360"/>
      </w:pPr>
      <w:r>
        <w:rPr>
          <w:b/>
          <w:color w:val="2E74B5"/>
          <w:sz w:val="21"/>
        </w:rPr>
        <w:t xml:space="preserve">Macro transmission mechanism:  </w:t>
      </w:r>
      <w:r>
        <w:rPr>
          <w:sz w:val="21"/>
        </w:rPr>
        <w:t>External conditions flow into the model through three channels: (1) Hazard rate adjustment — unemployment above 4% baseline increases λ by 1 pp per 1 pp unemployment increase; Fed rate above 5% adds 0.5 pp. (2) Term length shift — GDP growth above 2.5% extends the average term by 10 days per 1 pp. (3) Uptake drift — optimistic scenarios lift GBM μ, adverse scenarios depress it. All three channels are driven by a single MACRO_SCENARIOS constant, sourced live from the FRED API (with baseline fallback when the API key is absent).</w:t>
      </w:r>
    </w:p>
    <w:p w14:paraId="469041A5">
      <w:pPr>
        <w:spacing w:after="100"/>
        <w:ind w:left="360"/>
      </w:pPr>
      <w:r>
        <w:rPr>
          <w:b/>
          <w:color w:val="2E74B5"/>
          <w:sz w:val="21"/>
        </w:rPr>
        <w:t xml:space="preserve">Quantified scenario impact:  </w:t>
      </w:r>
      <w:r>
        <w:rPr>
          <w:sz w:val="21"/>
        </w:rPr>
        <w:t>Optimistic (GDP 3.5%, unemployment 3.5%): 24,486 grants / $698K profit / 0.76% risk. Baseline (GDP 2.5%, unemployment 4.0%): 23,740 grants / $654K profit / 0.90% risk. Adverse (GDP 0.5%, unemployment 5.5%): 22,670 grants / $589K profit / 1.12% risk. The profit swing is $109K (16.7% of baseline) and the grant count swing is 1,816 accounts (7.6%) — the model is moderately sensitive to macro conditions but not catastrophically so because Fair/Excellent customers remain profitable even under stress.</w:t>
      </w:r>
    </w:p>
    <w:p w14:paraId="22245F96">
      <w:pPr>
        <w:spacing w:after="100"/>
        <w:ind w:left="360"/>
      </w:pPr>
      <w:r>
        <w:rPr>
          <w:b/>
          <w:color w:val="2E74B5"/>
          <w:sz w:val="21"/>
        </w:rPr>
        <w:t xml:space="preserve">FRED API integration:  </w:t>
      </w:r>
      <w:r>
        <w:rPr>
          <w:sz w:val="21"/>
        </w:rPr>
        <w:t>The system fetches live GDPC1 (real GDP), UNRATE (unemployment), FEDFUNDS (fed funds rate), and CPIAUCSL (CPI) series from the St. Louis Fed FRED API. With a valid FRED_API_KEY environment variable, the model automatically re-calibrates to current conditions on each run. The fetched data is cached locally to avoid redundant API calls across runs. Without the key, the system falls back gracefully to hardcoded 2023 baseline values.</w:t>
      </w:r>
    </w:p>
    <w:p w14:paraId="67FBCA92">
      <w:pPr>
        <w:spacing w:after="100"/>
        <w:ind w:left="360"/>
      </w:pPr>
      <w:r>
        <w:rPr>
          <w:b/>
          <w:color w:val="2E74B5"/>
          <w:sz w:val="21"/>
        </w:rPr>
        <w:t xml:space="preserve">Regulatory alignment:  </w:t>
      </w:r>
      <w:r>
        <w:rPr>
          <w:sz w:val="21"/>
        </w:rPr>
        <w:t>The three-scenario framework (optimistic/baseline/adverse) aligns with DFAST (Dodd-Frank Act Stress Test) and CCAR (Comprehensive Capital Analysis and Review) guidance, which require lenders to demonstrate capital adequacy under adverse macro conditions. The adverse scenario's tightened 4.5% risk cap models the regulatory expectation of more conservative underwriting in stressed environments.</w:t>
      </w:r>
    </w:p>
    <w:p w14:paraId="1DFBA938"/>
    <w:p w14:paraId="05D0523B">
      <w:pPr>
        <w:spacing w:before="200" w:after="100"/>
      </w:pPr>
      <w:r>
        <w:rPr>
          <w:b/>
          <w:color w:val="1A3A5C"/>
          <w:sz w:val="24"/>
        </w:rPr>
        <w:t>Q5 — What innovative strategies can enhance profitability while reducing default rates?</w:t>
      </w:r>
    </w:p>
    <w:p w14:paraId="75D3C0D4">
      <w:pPr>
        <w:spacing w:after="100"/>
        <w:ind w:left="360"/>
      </w:pPr>
      <w:r>
        <w:rPr>
          <w:b/>
          <w:color w:val="2E74B5"/>
          <w:sz w:val="21"/>
        </w:rPr>
        <w:t xml:space="preserve">Reinforcement Learning for Dynamic Policy:  </w:t>
      </w:r>
      <w:r>
        <w:rPr>
          <w:sz w:val="21"/>
        </w:rPr>
        <w:t>A contextual multi-armed bandit or deep RL agent (PPO/SAC) could replace the static LP by learning an adaptive policy: offer size, term length, and timing are jointly optimised as a function of real-time customer signals (recent payment events, balance changes, macro updates). RL naturally handles the explore-exploit trade-off — some customers are offered sub-optimal extensions to gather data that improves future policy. The Markov chain provides a natural environment model for RL training via simulation. Estimated profit uplift: 12–18% over static LP, based on comparable fintech RL deployments.</w:t>
      </w:r>
    </w:p>
    <w:p w14:paraId="2FB8A606">
      <w:pPr>
        <w:spacing w:after="100"/>
        <w:ind w:left="360"/>
      </w:pPr>
      <w:r>
        <w:rPr>
          <w:b/>
          <w:color w:val="2E74B5"/>
          <w:sz w:val="21"/>
        </w:rPr>
        <w:t xml:space="preserve">Dynamic Pricing of Extension Terms:  </w:t>
      </w:r>
      <w:r>
        <w:rPr>
          <w:sz w:val="21"/>
        </w:rPr>
        <w:t>Rather than a fixed $40 annuity fee, dynamic pricing sets the fee as a function of customer risk score and macro conditions: fee_i = $30 + $20 × (1 − p_def_i). High-quality customers pay less (attracting uptake); riskier customers pay more (compensating for default risk). This Risk-Based Pricing (RBP) approach, standard in mortgage and auto lending, could increase total revenue by ~$85K while improving Poor-segment uptake by reducing the offer cost for borderline customers.</w:t>
      </w:r>
    </w:p>
    <w:p w14:paraId="0D21F5FF">
      <w:pPr>
        <w:spacing w:after="100"/>
        <w:ind w:left="360"/>
      </w:pPr>
      <w:r>
        <w:rPr>
          <w:b/>
          <w:color w:val="2E74B5"/>
          <w:sz w:val="21"/>
        </w:rPr>
        <w:t xml:space="preserve">Behavioural Nudges:  </w:t>
      </w:r>
      <w:r>
        <w:rPr>
          <w:sz w:val="21"/>
        </w:rPr>
        <w:t>Customers with high profitability but low uptake probability (the GBM low-μ segment) represent the highest-value opportunity for nudge intervention. Personalised messaging (e.g., 'customers like you saved $X by extending') combined with social proof and default-opt framing can lift acceptance rates by 8–15 pp in this segment (Thaler &amp; Sunstein, 2008; Halpern, 2015). A 10 pp uptake lift for Poor customers would add approximately $42K to expected profit.</w:t>
      </w:r>
    </w:p>
    <w:p w14:paraId="24B88FFF">
      <w:pPr>
        <w:spacing w:after="100"/>
        <w:ind w:left="360"/>
      </w:pPr>
      <w:r>
        <w:rPr>
          <w:b/>
          <w:color w:val="2E74B5"/>
          <w:sz w:val="21"/>
        </w:rPr>
        <w:t xml:space="preserve">Early Warning Default Prediction:  </w:t>
      </w:r>
      <w:r>
        <w:rPr>
          <w:sz w:val="21"/>
        </w:rPr>
        <w:t>Integrating a real-time early warning model (gradient boosting on payment velocity, balance changes, and macro indicators) would allow the system to revoke or modify extensions before default materialises. Firms using ML-based early warning have reported 20–30% reductions in credit losses without significant revenue reduction (McKinsey Global Institute, 2022). Applied here, a 25% loss reduction would save ~$70K annually.</w:t>
      </w:r>
    </w:p>
    <w:p w14:paraId="1D4B2F42">
      <w:pPr>
        <w:spacing w:after="100"/>
        <w:ind w:left="360"/>
      </w:pPr>
      <w:r>
        <w:rPr>
          <w:b/>
          <w:color w:val="2E74B5"/>
          <w:sz w:val="21"/>
        </w:rPr>
        <w:t xml:space="preserve">Multi-Period Stochastic Optimisation:  </w:t>
      </w:r>
      <w:r>
        <w:rPr>
          <w:sz w:val="21"/>
        </w:rPr>
        <w:t>The current LP is single-period: it optimises today's extensions ignoring future states. A multi-stage stochastic programme (MSSP) or approximate dynamic programming (ADP) approach would optimise the full decision tree over a 12-month horizon, accounting for the Markov state evolution. This would explicitly value the long-run credit quality improvement currently measured only as a post-hoc Markov feedback observation. Estimated implementation complexity: 3–4 months for a 4-period ADP formulation.</w:t>
      </w:r>
    </w:p>
    <w:p w14:paraId="6B81410E">
      <w:r>
        <w:br w:type="page"/>
      </w:r>
    </w:p>
    <w:p w14:paraId="7495C60A">
      <w:pPr>
        <w:pStyle w:val="2"/>
        <w:spacing w:before="280" w:after="80"/>
      </w:pPr>
      <w:r>
        <w:rPr>
          <w:b/>
          <w:color w:val="1A3A5C"/>
          <w:sz w:val="32"/>
        </w:rPr>
        <w:t>Deliverables</w:t>
      </w:r>
    </w:p>
    <w:p w14:paraId="3EC074C6">
      <w:pPr>
        <w:spacing w:after="120"/>
        <w:jc w:val="left"/>
      </w:pPr>
      <w:r>
        <w:rPr>
          <w:b w:val="0"/>
          <w:i w:val="0"/>
          <w:sz w:val="21"/>
        </w:rPr>
        <w:t>The following deliverables are produced by this project and are available in the submission/ folder of the term_extension branch repository.</w:t>
      </w:r>
    </w:p>
    <w:p w14:paraId="24610631">
      <w:pPr>
        <w:pStyle w:val="3"/>
        <w:spacing w:before="280" w:after="80"/>
      </w:pPr>
      <w:r>
        <w:rPr>
          <w:b/>
          <w:color w:val="2E74B5"/>
          <w:sz w:val="26"/>
        </w:rPr>
        <w:t>D1 — Comprehensive Report</w:t>
      </w:r>
    </w:p>
    <w:p w14:paraId="14DB42AA">
      <w:pPr>
        <w:spacing w:after="120"/>
        <w:jc w:val="left"/>
      </w:pPr>
      <w:r>
        <w:rPr>
          <w:b w:val="0"/>
          <w:i w:val="0"/>
          <w:sz w:val="21"/>
        </w:rPr>
        <w:t>This document constitutes the comprehensive report. It covers: methodology (Sections 5–10), assumptions (Sections 7, 8, 9), model insights (Sections 11–13), and operationalisation recommendations (Section 14). All modelling assumptions are stated explicitly with quantitative justification.</w:t>
      </w:r>
    </w:p>
    <w:tbl>
      <w:tblPr>
        <w:tblStyle w:val="12"/>
        <w:tblW w:w="0" w:type="auto"/>
        <w:tblInd w:w="0" w:type="dxa"/>
        <w:tblLayout w:type="autofit"/>
        <w:tblCellMar>
          <w:top w:w="0" w:type="dxa"/>
          <w:left w:w="108" w:type="dxa"/>
          <w:bottom w:w="0" w:type="dxa"/>
          <w:right w:w="108" w:type="dxa"/>
        </w:tblCellMar>
      </w:tblPr>
      <w:tblGrid>
        <w:gridCol w:w="3168"/>
        <w:gridCol w:w="6048"/>
      </w:tblGrid>
      <w:tr w14:paraId="59DF3909">
        <w:tc>
          <w:tcPr>
            <w:tcW w:w="3168" w:type="dxa"/>
            <w:shd w:val="clear" w:color="auto" w:fill="F2F2F2"/>
          </w:tcPr>
          <w:p w14:paraId="1A9A4744">
            <w:r>
              <w:rPr>
                <w:b/>
                <w:color w:val="1A3A5C"/>
                <w:sz w:val="20"/>
              </w:rPr>
              <w:t>File</w:t>
            </w:r>
          </w:p>
        </w:tc>
        <w:tc>
          <w:tcPr>
            <w:tcW w:w="6048" w:type="dxa"/>
            <w:shd w:val="clear" w:color="auto" w:fill="F2F2F2"/>
          </w:tcPr>
          <w:p w14:paraId="5C063100">
            <w:r>
              <w:rPr>
                <w:sz w:val="20"/>
              </w:rPr>
              <w:t>submission/Term_Extension_Optimisation_Report.docx</w:t>
            </w:r>
          </w:p>
        </w:tc>
      </w:tr>
      <w:tr w14:paraId="1571ABCF">
        <w:tc>
          <w:tcPr>
            <w:tcW w:w="3168" w:type="dxa"/>
            <w:shd w:val="clear" w:color="auto" w:fill="FFFFFF"/>
          </w:tcPr>
          <w:p w14:paraId="10009951">
            <w:r>
              <w:rPr>
                <w:b/>
                <w:color w:val="1A3A5C"/>
                <w:sz w:val="20"/>
              </w:rPr>
              <w:t>Pages</w:t>
            </w:r>
          </w:p>
        </w:tc>
        <w:tc>
          <w:tcPr>
            <w:tcW w:w="6048" w:type="dxa"/>
            <w:shd w:val="clear" w:color="auto" w:fill="FFFFFF"/>
          </w:tcPr>
          <w:p w14:paraId="15E27132">
            <w:r>
              <w:rPr>
                <w:sz w:val="20"/>
              </w:rPr>
              <w:t>~32 pages</w:t>
            </w:r>
          </w:p>
        </w:tc>
      </w:tr>
      <w:tr w14:paraId="5B6B1989">
        <w:tc>
          <w:tcPr>
            <w:tcW w:w="3168" w:type="dxa"/>
            <w:shd w:val="clear" w:color="auto" w:fill="F2F2F2"/>
          </w:tcPr>
          <w:p w14:paraId="7AC128A9">
            <w:r>
              <w:rPr>
                <w:b/>
                <w:color w:val="1A3A5C"/>
                <w:sz w:val="20"/>
              </w:rPr>
              <w:t>Sections</w:t>
            </w:r>
          </w:p>
        </w:tc>
        <w:tc>
          <w:tcPr>
            <w:tcW w:w="6048" w:type="dxa"/>
            <w:shd w:val="clear" w:color="auto" w:fill="F2F2F2"/>
          </w:tcPr>
          <w:p w14:paraId="23B679DE">
            <w:r>
              <w:rPr>
                <w:sz w:val="20"/>
              </w:rPr>
              <w:t>15 sections + Appendix + Key Questions + Deliverables</w:t>
            </w:r>
          </w:p>
        </w:tc>
      </w:tr>
      <w:tr w14:paraId="56DDB413">
        <w:tc>
          <w:tcPr>
            <w:tcW w:w="3168" w:type="dxa"/>
            <w:shd w:val="clear" w:color="auto" w:fill="FFFFFF"/>
          </w:tcPr>
          <w:p w14:paraId="71680B09">
            <w:r>
              <w:rPr>
                <w:b/>
                <w:color w:val="1A3A5C"/>
                <w:sz w:val="20"/>
              </w:rPr>
              <w:t>Charts</w:t>
            </w:r>
          </w:p>
        </w:tc>
        <w:tc>
          <w:tcPr>
            <w:tcW w:w="6048" w:type="dxa"/>
            <w:shd w:val="clear" w:color="auto" w:fill="FFFFFF"/>
          </w:tcPr>
          <w:p w14:paraId="38F10AE8">
            <w:r>
              <w:rPr>
                <w:sz w:val="20"/>
              </w:rPr>
              <w:t>12 embedded figures (te_viz_01 through te_viz_12)</w:t>
            </w:r>
          </w:p>
        </w:tc>
      </w:tr>
    </w:tbl>
    <w:p w14:paraId="780C31FA"/>
    <w:p w14:paraId="491391C1">
      <w:pPr>
        <w:pStyle w:val="3"/>
        <w:spacing w:before="280" w:after="80"/>
      </w:pPr>
      <w:r>
        <w:rPr>
          <w:b/>
          <w:color w:val="2E74B5"/>
          <w:sz w:val="26"/>
        </w:rPr>
        <w:t>D2 — Mathematical Formulation</w:t>
      </w:r>
    </w:p>
    <w:p w14:paraId="3FA7ABEB">
      <w:pPr>
        <w:spacing w:after="120"/>
        <w:jc w:val="left"/>
      </w:pPr>
      <w:r>
        <w:rPr>
          <w:b w:val="0"/>
          <w:i w:val="0"/>
          <w:sz w:val="21"/>
        </w:rPr>
        <w:t>The complete mathematical formulation is documented in Section 10 of this report. The key elements are:</w:t>
      </w:r>
    </w:p>
    <w:p w14:paraId="138DD09E">
      <w:pPr>
        <w:pStyle w:val="23"/>
        <w:spacing w:after="60"/>
        <w:ind w:left="360"/>
      </w:pPr>
      <w:r>
        <w:rPr>
          <w:sz w:val="21"/>
        </w:rPr>
        <w:t>Decision variable: x_i ∈ {0, 1}  for all 30,000 customers</w:t>
      </w:r>
    </w:p>
    <w:p w14:paraId="7DD1A87A">
      <w:pPr>
        <w:pStyle w:val="23"/>
        <w:spacing w:after="60"/>
        <w:ind w:left="360"/>
      </w:pPr>
      <w:r>
        <w:rPr>
          <w:sz w:val="21"/>
        </w:rPr>
        <w:t>Objective: maximise Σᵢ profitability_scoreᵢ × uptake_probabilityᵢ × xᵢ</w:t>
      </w:r>
    </w:p>
    <w:p w14:paraId="2854A8F7">
      <w:pPr>
        <w:pStyle w:val="23"/>
        <w:spacing w:after="60"/>
        <w:ind w:left="360"/>
      </w:pPr>
      <w:r>
        <w:rPr>
          <w:sz w:val="21"/>
        </w:rPr>
        <w:t>Risk constraint: Σᵢ (p_default_i − 0.05) × Lᵢ × xᵢ ≤ 0</w:t>
      </w:r>
    </w:p>
    <w:p w14:paraId="4F33A11C">
      <w:pPr>
        <w:pStyle w:val="23"/>
        <w:spacing w:after="60"/>
        <w:ind w:left="360"/>
      </w:pPr>
      <w:r>
        <w:rPr>
          <w:sz w:val="21"/>
        </w:rPr>
        <w:t>Eligibility bound: xᵢ = 0 if days_since_last_loan &lt; 60</w:t>
      </w:r>
    </w:p>
    <w:p w14:paraId="0F92E02D">
      <w:pPr>
        <w:pStyle w:val="23"/>
        <w:spacing w:after="60"/>
        <w:ind w:left="360"/>
      </w:pPr>
      <w:r>
        <w:rPr>
          <w:sz w:val="21"/>
        </w:rPr>
        <w:t>Term model: Tᵢ ~ LogNormal(μ_ln_s, σ_ln_s), clipped [30, 180] days</w:t>
      </w:r>
    </w:p>
    <w:p w14:paraId="55C390EF">
      <w:pPr>
        <w:pStyle w:val="23"/>
        <w:spacing w:after="60"/>
        <w:ind w:left="360"/>
      </w:pPr>
      <w:r>
        <w:rPr>
          <w:sz w:val="21"/>
        </w:rPr>
        <w:t>Default model: P(default | T) = 1 − exp(−λₛ × T / 365)</w:t>
      </w:r>
    </w:p>
    <w:p w14:paraId="6662CAA9">
      <w:pPr>
        <w:pStyle w:val="23"/>
        <w:spacing w:after="60"/>
        <w:ind w:left="360"/>
      </w:pPr>
      <w:r>
        <w:rPr>
          <w:sz w:val="21"/>
        </w:rPr>
        <w:t>Revenue: $40 × annuity_factor(T, r=19%)</w:t>
      </w:r>
    </w:p>
    <w:p w14:paraId="760E3C91">
      <w:pPr>
        <w:pStyle w:val="23"/>
        <w:spacing w:after="60"/>
        <w:ind w:left="360"/>
      </w:pPr>
      <w:r>
        <w:rPr>
          <w:sz w:val="21"/>
        </w:rPr>
        <w:t>Loss: Lᵢ × 0.60 × 1(default) × exp(−0.19 × T / 730)</w:t>
      </w:r>
    </w:p>
    <w:p w14:paraId="492A4641">
      <w:pPr>
        <w:pStyle w:val="23"/>
        <w:spacing w:after="60"/>
        <w:ind w:left="360"/>
      </w:pPr>
      <w:r>
        <w:rPr>
          <w:sz w:val="21"/>
        </w:rPr>
        <w:t>GBM uptake: Uᵢ = μᵢ · exp(−½σ²dt + σ·dW),  dW ~ N(0, √dt)</w:t>
      </w:r>
    </w:p>
    <w:p w14:paraId="4C534F16">
      <w:pPr>
        <w:pStyle w:val="3"/>
        <w:spacing w:before="280" w:after="80"/>
      </w:pPr>
      <w:r>
        <w:rPr>
          <w:b/>
          <w:color w:val="2E74B5"/>
          <w:sz w:val="26"/>
        </w:rPr>
        <w:t>D3 — Python Notebook Implementation</w:t>
      </w:r>
    </w:p>
    <w:p w14:paraId="5B1A1562">
      <w:pPr>
        <w:spacing w:after="120"/>
        <w:jc w:val="left"/>
      </w:pPr>
      <w:r>
        <w:rPr>
          <w:b w:val="0"/>
          <w:i w:val="0"/>
          <w:sz w:val="21"/>
        </w:rPr>
        <w:t>The full end-to-end implementation is in a single Jupyter notebook. All stages are reproducible by running cells top to bottom.</w:t>
      </w:r>
    </w:p>
    <w:tbl>
      <w:tblPr>
        <w:tblStyle w:val="12"/>
        <w:tblW w:w="0" w:type="auto"/>
        <w:tblInd w:w="0" w:type="dxa"/>
        <w:tblLayout w:type="autofit"/>
        <w:tblCellMar>
          <w:top w:w="0" w:type="dxa"/>
          <w:left w:w="108" w:type="dxa"/>
          <w:bottom w:w="0" w:type="dxa"/>
          <w:right w:w="108" w:type="dxa"/>
        </w:tblCellMar>
      </w:tblPr>
      <w:tblGrid>
        <w:gridCol w:w="3168"/>
        <w:gridCol w:w="6048"/>
      </w:tblGrid>
      <w:tr w14:paraId="764ED5C7">
        <w:tc>
          <w:tcPr>
            <w:tcW w:w="3168" w:type="dxa"/>
            <w:shd w:val="clear" w:color="auto" w:fill="F2F2F2"/>
          </w:tcPr>
          <w:p w14:paraId="6E3BB3A4">
            <w:r>
              <w:rPr>
                <w:b/>
                <w:color w:val="1A3A5C"/>
                <w:sz w:val="20"/>
              </w:rPr>
              <w:t>File</w:t>
            </w:r>
          </w:p>
        </w:tc>
        <w:tc>
          <w:tcPr>
            <w:tcW w:w="6048" w:type="dxa"/>
            <w:shd w:val="clear" w:color="auto" w:fill="F2F2F2"/>
          </w:tcPr>
          <w:p w14:paraId="6F7EB839">
            <w:r>
              <w:rPr>
                <w:sz w:val="20"/>
              </w:rPr>
              <w:t>submission/loan_limit_term_extension.ipynb</w:t>
            </w:r>
          </w:p>
        </w:tc>
      </w:tr>
      <w:tr w14:paraId="5C5465BC">
        <w:tc>
          <w:tcPr>
            <w:tcW w:w="3168" w:type="dxa"/>
            <w:shd w:val="clear" w:color="auto" w:fill="FFFFFF"/>
          </w:tcPr>
          <w:p w14:paraId="2C35332A">
            <w:r>
              <w:rPr>
                <w:b/>
                <w:color w:val="1A3A5C"/>
                <w:sz w:val="20"/>
              </w:rPr>
              <w:t>Cells</w:t>
            </w:r>
          </w:p>
        </w:tc>
        <w:tc>
          <w:tcPr>
            <w:tcW w:w="6048" w:type="dxa"/>
            <w:shd w:val="clear" w:color="auto" w:fill="FFFFFF"/>
          </w:tcPr>
          <w:p w14:paraId="6EDF7CAA">
            <w:r>
              <w:rPr>
                <w:sz w:val="20"/>
              </w:rPr>
              <w:t>35 cells, fully executed</w:t>
            </w:r>
          </w:p>
        </w:tc>
      </w:tr>
      <w:tr w14:paraId="149F9B48">
        <w:tc>
          <w:tcPr>
            <w:tcW w:w="3168" w:type="dxa"/>
            <w:shd w:val="clear" w:color="auto" w:fill="F2F2F2"/>
          </w:tcPr>
          <w:p w14:paraId="3B843009">
            <w:r>
              <w:rPr>
                <w:b/>
                <w:color w:val="1A3A5C"/>
                <w:sz w:val="20"/>
              </w:rPr>
              <w:t>Language</w:t>
            </w:r>
          </w:p>
        </w:tc>
        <w:tc>
          <w:tcPr>
            <w:tcW w:w="6048" w:type="dxa"/>
            <w:shd w:val="clear" w:color="auto" w:fill="F2F2F2"/>
          </w:tcPr>
          <w:p w14:paraId="0A364CB7">
            <w:r>
              <w:rPr>
                <w:sz w:val="20"/>
              </w:rPr>
              <w:t>Python 3 (numpy, pandas, scipy, sklearn, matplotlib, fredapi)</w:t>
            </w:r>
          </w:p>
        </w:tc>
      </w:tr>
      <w:tr w14:paraId="14BE7D51">
        <w:tc>
          <w:tcPr>
            <w:tcW w:w="3168" w:type="dxa"/>
            <w:shd w:val="clear" w:color="auto" w:fill="FFFFFF"/>
          </w:tcPr>
          <w:p w14:paraId="220CB55E">
            <w:r>
              <w:rPr>
                <w:b/>
                <w:color w:val="1A3A5C"/>
                <w:sz w:val="20"/>
              </w:rPr>
              <w:t>Runtime</w:t>
            </w:r>
          </w:p>
        </w:tc>
        <w:tc>
          <w:tcPr>
            <w:tcW w:w="6048" w:type="dxa"/>
            <w:shd w:val="clear" w:color="auto" w:fill="FFFFFF"/>
          </w:tcPr>
          <w:p w14:paraId="380FB33C">
            <w:r>
              <w:rPr>
                <w:sz w:val="20"/>
              </w:rPr>
              <w:t>&lt; 30 seconds end-to-end on a 4-core / 16 GB laptop</w:t>
            </w:r>
          </w:p>
        </w:tc>
      </w:tr>
      <w:tr w14:paraId="14EA78DC">
        <w:tc>
          <w:tcPr>
            <w:tcW w:w="3168" w:type="dxa"/>
            <w:shd w:val="clear" w:color="auto" w:fill="F2F2F2"/>
          </w:tcPr>
          <w:p w14:paraId="6818D04A">
            <w:r>
              <w:rPr>
                <w:b/>
                <w:color w:val="1A3A5C"/>
                <w:sz w:val="20"/>
              </w:rPr>
              <w:t>FRED API</w:t>
            </w:r>
          </w:p>
        </w:tc>
        <w:tc>
          <w:tcPr>
            <w:tcW w:w="6048" w:type="dxa"/>
            <w:shd w:val="clear" w:color="auto" w:fill="F2F2F2"/>
          </w:tcPr>
          <w:p w14:paraId="529E74A1">
            <w:r>
              <w:rPr>
                <w:sz w:val="20"/>
              </w:rPr>
              <w:t>Set FRED_API_KEY env var for live macro data; falls back to 2023 baseline</w:t>
            </w:r>
          </w:p>
        </w:tc>
      </w:tr>
      <w:tr w14:paraId="0FEED344">
        <w:tc>
          <w:tcPr>
            <w:tcW w:w="3168" w:type="dxa"/>
            <w:shd w:val="clear" w:color="auto" w:fill="FFFFFF"/>
          </w:tcPr>
          <w:p w14:paraId="37CDFFC5">
            <w:r>
              <w:rPr>
                <w:b/>
                <w:color w:val="1A3A5C"/>
                <w:sz w:val="20"/>
              </w:rPr>
              <w:t>Key sections</w:t>
            </w:r>
          </w:p>
        </w:tc>
        <w:tc>
          <w:tcPr>
            <w:tcW w:w="6048" w:type="dxa"/>
            <w:shd w:val="clear" w:color="auto" w:fill="FFFFFF"/>
          </w:tcPr>
          <w:p w14:paraId="44F65E74">
            <w:r>
              <w:rPr>
                <w:sz w:val="20"/>
              </w:rPr>
              <w:t>Cells 2–9 (data + macro), 13–15 (uptake + MC), 19–25 (LP + sensitivity), 33 (tests)</w:t>
            </w:r>
          </w:p>
        </w:tc>
      </w:tr>
    </w:tbl>
    <w:p w14:paraId="21AD3167"/>
    <w:p w14:paraId="44733778">
      <w:pPr>
        <w:pStyle w:val="3"/>
        <w:spacing w:before="280" w:after="80"/>
      </w:pPr>
      <w:r>
        <w:rPr>
          <w:b/>
          <w:color w:val="2E74B5"/>
          <w:sz w:val="26"/>
        </w:rPr>
        <w:t>D4 — Simulation Results</w:t>
      </w:r>
    </w:p>
    <w:p w14:paraId="5C1140D1">
      <w:pPr>
        <w:spacing w:after="120"/>
        <w:jc w:val="left"/>
      </w:pPr>
      <w:r>
        <w:rPr>
          <w:b w:val="0"/>
          <w:i w:val="0"/>
          <w:sz w:val="21"/>
        </w:rPr>
        <w:t>Simulation results are available in two forms:</w:t>
      </w:r>
    </w:p>
    <w:p w14:paraId="6911706E">
      <w:pPr>
        <w:pStyle w:val="23"/>
        <w:spacing w:after="60"/>
        <w:ind w:left="360"/>
      </w:pPr>
      <w:r>
        <w:rPr>
          <w:sz w:val="21"/>
        </w:rPr>
        <w:t>CSV export: submission/term_extension_results.csv — 30,000 rows × 13 columns including extension_granted, p_default_sim, p_early_sim, expected_term_days, uptake_probability, profitability_score, expected_revenue, expected_loss, credit_state, eligible</w:t>
      </w:r>
    </w:p>
    <w:p w14:paraId="7707AF11">
      <w:pPr>
        <w:pStyle w:val="23"/>
        <w:spacing w:after="60"/>
        <w:ind w:left="360"/>
      </w:pPr>
      <w:r>
        <w:rPr>
          <w:sz w:val="21"/>
        </w:rPr>
        <w:t>Visualisations: 12 PNG charts (te_viz_01 through te_viz_12) embedded in this report and available as standalone files in submission/</w:t>
      </w:r>
    </w:p>
    <w:p w14:paraId="1D4BDE62"/>
    <w:tbl>
      <w:tblPr>
        <w:tblStyle w:val="12"/>
        <w:tblW w:w="0" w:type="auto"/>
        <w:jc w:val="center"/>
        <w:tblLayout w:type="autofit"/>
        <w:tblCellMar>
          <w:top w:w="0" w:type="dxa"/>
          <w:left w:w="108" w:type="dxa"/>
          <w:bottom w:w="0" w:type="dxa"/>
          <w:right w:w="108" w:type="dxa"/>
        </w:tblCellMar>
      </w:tblPr>
      <w:tblGrid>
        <w:gridCol w:w="2459"/>
        <w:gridCol w:w="4016"/>
        <w:gridCol w:w="3147"/>
      </w:tblGrid>
      <w:tr w14:paraId="17199FAD">
        <w:trPr>
          <w:jc w:val="center"/>
        </w:trPr>
        <w:tc>
          <w:tcPr>
            <w:tcW w:w="1008" w:type="dxa"/>
            <w:shd w:val="clear" w:color="auto" w:fill="1A3A5C"/>
          </w:tcPr>
          <w:p w14:paraId="53710CCD">
            <w:pPr>
              <w:jc w:val="center"/>
            </w:pPr>
            <w:r>
              <w:rPr>
                <w:b/>
                <w:color w:val="FFFFFF"/>
                <w:sz w:val="20"/>
              </w:rPr>
              <w:t>Chart</w:t>
            </w:r>
          </w:p>
        </w:tc>
        <w:tc>
          <w:tcPr>
            <w:tcW w:w="4320" w:type="dxa"/>
            <w:shd w:val="clear" w:color="auto" w:fill="1A3A5C"/>
          </w:tcPr>
          <w:p w14:paraId="0B70CC03">
            <w:pPr>
              <w:jc w:val="center"/>
            </w:pPr>
            <w:r>
              <w:rPr>
                <w:b/>
                <w:color w:val="FFFFFF"/>
                <w:sz w:val="20"/>
              </w:rPr>
              <w:t>File</w:t>
            </w:r>
          </w:p>
        </w:tc>
        <w:tc>
          <w:tcPr>
            <w:tcW w:w="3888" w:type="dxa"/>
            <w:shd w:val="clear" w:color="auto" w:fill="1A3A5C"/>
          </w:tcPr>
          <w:p w14:paraId="178073D2">
            <w:pPr>
              <w:jc w:val="center"/>
            </w:pPr>
            <w:r>
              <w:rPr>
                <w:b/>
                <w:color w:val="FFFFFF"/>
                <w:sz w:val="20"/>
              </w:rPr>
              <w:t>Content</w:t>
            </w:r>
          </w:p>
        </w:tc>
      </w:tr>
      <w:tr w14:paraId="3AC17C8C">
        <w:trPr>
          <w:jc w:val="center"/>
        </w:trPr>
        <w:tc>
          <w:tcPr>
            <w:tcW w:w="3135" w:type="dxa"/>
            <w:shd w:val="clear" w:color="auto" w:fill="F2F2F2"/>
          </w:tcPr>
          <w:p w14:paraId="770FF9AC">
            <w:pPr>
              <w:jc w:val="center"/>
            </w:pPr>
            <w:r>
              <w:rPr>
                <w:sz w:val="20"/>
              </w:rPr>
              <w:t>Fig 1</w:t>
            </w:r>
          </w:p>
        </w:tc>
        <w:tc>
          <w:tcPr>
            <w:tcW w:w="3135" w:type="dxa"/>
            <w:shd w:val="clear" w:color="auto" w:fill="F2F2F2"/>
          </w:tcPr>
          <w:p w14:paraId="506DABDB">
            <w:pPr>
              <w:jc w:val="center"/>
            </w:pPr>
            <w:r>
              <w:rPr>
                <w:sz w:val="20"/>
              </w:rPr>
              <w:t>te_viz_01_states_risk.png</w:t>
            </w:r>
          </w:p>
        </w:tc>
        <w:tc>
          <w:tcPr>
            <w:tcW w:w="3135" w:type="dxa"/>
            <w:shd w:val="clear" w:color="auto" w:fill="F2F2F2"/>
          </w:tcPr>
          <w:p w14:paraId="7CF8312C">
            <w:pPr>
              <w:jc w:val="center"/>
            </w:pPr>
            <w:r>
              <w:rPr>
                <w:sz w:val="20"/>
              </w:rPr>
              <w:t>Credit state distribution &amp; per-state risk profile</w:t>
            </w:r>
          </w:p>
        </w:tc>
      </w:tr>
      <w:tr w14:paraId="52B63860">
        <w:trPr>
          <w:jc w:val="center"/>
        </w:trPr>
        <w:tc>
          <w:tcPr>
            <w:tcW w:w="3135" w:type="dxa"/>
            <w:shd w:val="clear" w:color="auto" w:fill="FFFFFF"/>
          </w:tcPr>
          <w:p w14:paraId="133E3D2D">
            <w:pPr>
              <w:jc w:val="center"/>
            </w:pPr>
            <w:r>
              <w:rPr>
                <w:sz w:val="20"/>
              </w:rPr>
              <w:t>Fig 2</w:t>
            </w:r>
          </w:p>
        </w:tc>
        <w:tc>
          <w:tcPr>
            <w:tcW w:w="3135" w:type="dxa"/>
            <w:shd w:val="clear" w:color="auto" w:fill="FFFFFF"/>
          </w:tcPr>
          <w:p w14:paraId="064BE342">
            <w:pPr>
              <w:jc w:val="center"/>
            </w:pPr>
            <w:r>
              <w:rPr>
                <w:sz w:val="20"/>
              </w:rPr>
              <w:t>te_viz_02_term_outcomes.png</w:t>
            </w:r>
          </w:p>
        </w:tc>
        <w:tc>
          <w:tcPr>
            <w:tcW w:w="3135" w:type="dxa"/>
            <w:shd w:val="clear" w:color="auto" w:fill="FFFFFF"/>
          </w:tcPr>
          <w:p w14:paraId="42B05558">
            <w:pPr>
              <w:jc w:val="center"/>
            </w:pPr>
            <w:r>
              <w:rPr>
                <w:sz w:val="20"/>
              </w:rPr>
              <w:t>Term distribution &amp; repayment outcome mix by state</w:t>
            </w:r>
          </w:p>
        </w:tc>
      </w:tr>
      <w:tr w14:paraId="281ADEF3">
        <w:trPr>
          <w:jc w:val="center"/>
        </w:trPr>
        <w:tc>
          <w:tcPr>
            <w:tcW w:w="3135" w:type="dxa"/>
            <w:shd w:val="clear" w:color="auto" w:fill="F2F2F2"/>
          </w:tcPr>
          <w:p w14:paraId="74DF6A2D">
            <w:pPr>
              <w:jc w:val="center"/>
            </w:pPr>
            <w:r>
              <w:rPr>
                <w:sz w:val="20"/>
              </w:rPr>
              <w:t>Fig 3</w:t>
            </w:r>
          </w:p>
        </w:tc>
        <w:tc>
          <w:tcPr>
            <w:tcW w:w="3135" w:type="dxa"/>
            <w:shd w:val="clear" w:color="auto" w:fill="F2F2F2"/>
          </w:tcPr>
          <w:p w14:paraId="51BC6C1E">
            <w:pPr>
              <w:jc w:val="center"/>
            </w:pPr>
            <w:r>
              <w:rPr>
                <w:sz w:val="20"/>
              </w:rPr>
              <w:t>te_viz_03_profitability.png</w:t>
            </w:r>
          </w:p>
        </w:tc>
        <w:tc>
          <w:tcPr>
            <w:tcW w:w="3135" w:type="dxa"/>
            <w:shd w:val="clear" w:color="auto" w:fill="F2F2F2"/>
          </w:tcPr>
          <w:p w14:paraId="4673A5C0">
            <w:pPr>
              <w:jc w:val="center"/>
            </w:pPr>
            <w:r>
              <w:rPr>
                <w:sz w:val="20"/>
              </w:rPr>
              <w:t>Profitability score distribution by credit state</w:t>
            </w:r>
          </w:p>
        </w:tc>
      </w:tr>
      <w:tr w14:paraId="53721CD2">
        <w:trPr>
          <w:jc w:val="center"/>
        </w:trPr>
        <w:tc>
          <w:tcPr>
            <w:tcW w:w="3135" w:type="dxa"/>
            <w:shd w:val="clear" w:color="auto" w:fill="FFFFFF"/>
          </w:tcPr>
          <w:p w14:paraId="1FD050B7">
            <w:pPr>
              <w:jc w:val="center"/>
            </w:pPr>
            <w:r>
              <w:rPr>
                <w:sz w:val="20"/>
              </w:rPr>
              <w:t>Fig 4</w:t>
            </w:r>
          </w:p>
        </w:tc>
        <w:tc>
          <w:tcPr>
            <w:tcW w:w="3135" w:type="dxa"/>
            <w:shd w:val="clear" w:color="auto" w:fill="FFFFFF"/>
          </w:tcPr>
          <w:p w14:paraId="4D946275">
            <w:pPr>
              <w:jc w:val="center"/>
            </w:pPr>
            <w:r>
              <w:rPr>
                <w:sz w:val="20"/>
              </w:rPr>
              <w:t>te_viz_04_lp_results.png</w:t>
            </w:r>
          </w:p>
        </w:tc>
        <w:tc>
          <w:tcPr>
            <w:tcW w:w="3135" w:type="dxa"/>
            <w:shd w:val="clear" w:color="auto" w:fill="FFFFFF"/>
          </w:tcPr>
          <w:p w14:paraId="43F9358E">
            <w:pPr>
              <w:jc w:val="center"/>
            </w:pPr>
            <w:r>
              <w:rPr>
                <w:sz w:val="20"/>
              </w:rPr>
              <w:t>LP results: approval rates &amp; exposure by state</w:t>
            </w:r>
          </w:p>
        </w:tc>
      </w:tr>
      <w:tr w14:paraId="5CDA4E91">
        <w:trPr>
          <w:jc w:val="center"/>
        </w:trPr>
        <w:tc>
          <w:tcPr>
            <w:tcW w:w="3135" w:type="dxa"/>
            <w:shd w:val="clear" w:color="auto" w:fill="F2F2F2"/>
          </w:tcPr>
          <w:p w14:paraId="3CCFC6B6">
            <w:pPr>
              <w:jc w:val="center"/>
            </w:pPr>
            <w:r>
              <w:rPr>
                <w:sz w:val="20"/>
              </w:rPr>
              <w:t>Fig 5</w:t>
            </w:r>
          </w:p>
        </w:tc>
        <w:tc>
          <w:tcPr>
            <w:tcW w:w="3135" w:type="dxa"/>
            <w:shd w:val="clear" w:color="auto" w:fill="F2F2F2"/>
          </w:tcPr>
          <w:p w14:paraId="250E1972">
            <w:pPr>
              <w:jc w:val="center"/>
            </w:pPr>
            <w:r>
              <w:rPr>
                <w:sz w:val="20"/>
              </w:rPr>
              <w:t>te_viz_05_markov.png</w:t>
            </w:r>
          </w:p>
        </w:tc>
        <w:tc>
          <w:tcPr>
            <w:tcW w:w="3135" w:type="dxa"/>
            <w:shd w:val="clear" w:color="auto" w:fill="F2F2F2"/>
          </w:tcPr>
          <w:p w14:paraId="4F3E75AA">
            <w:pPr>
              <w:jc w:val="center"/>
            </w:pPr>
            <w:r>
              <w:rPr>
                <w:sz w:val="20"/>
              </w:rPr>
              <w:t>Markov transition matrix &amp; steady-state evolution</w:t>
            </w:r>
          </w:p>
        </w:tc>
      </w:tr>
      <w:tr w14:paraId="01CBF2C2">
        <w:trPr>
          <w:jc w:val="center"/>
        </w:trPr>
        <w:tc>
          <w:tcPr>
            <w:tcW w:w="3135" w:type="dxa"/>
            <w:shd w:val="clear" w:color="auto" w:fill="FFFFFF"/>
          </w:tcPr>
          <w:p w14:paraId="258CB25B">
            <w:pPr>
              <w:jc w:val="center"/>
            </w:pPr>
            <w:r>
              <w:rPr>
                <w:sz w:val="20"/>
              </w:rPr>
              <w:t>Fig 6</w:t>
            </w:r>
          </w:p>
        </w:tc>
        <w:tc>
          <w:tcPr>
            <w:tcW w:w="3135" w:type="dxa"/>
            <w:shd w:val="clear" w:color="auto" w:fill="FFFFFF"/>
          </w:tcPr>
          <w:p w14:paraId="1119BE32">
            <w:pPr>
              <w:jc w:val="center"/>
            </w:pPr>
            <w:r>
              <w:rPr>
                <w:sz w:val="20"/>
              </w:rPr>
              <w:t>te_viz_06_sensitivity.png</w:t>
            </w:r>
          </w:p>
        </w:tc>
        <w:tc>
          <w:tcPr>
            <w:tcW w:w="3135" w:type="dxa"/>
            <w:shd w:val="clear" w:color="auto" w:fill="FFFFFF"/>
          </w:tcPr>
          <w:p w14:paraId="5D9AF21B">
            <w:pPr>
              <w:jc w:val="center"/>
            </w:pPr>
            <w:r>
              <w:rPr>
                <w:sz w:val="20"/>
              </w:rPr>
              <w:t>Sensitivity: grants, profit &amp; risk by scenario</w:t>
            </w:r>
          </w:p>
        </w:tc>
      </w:tr>
      <w:tr w14:paraId="65FC7CA2">
        <w:trPr>
          <w:jc w:val="center"/>
        </w:trPr>
        <w:tc>
          <w:tcPr>
            <w:tcW w:w="3135" w:type="dxa"/>
            <w:shd w:val="clear" w:color="auto" w:fill="F2F2F2"/>
          </w:tcPr>
          <w:p w14:paraId="25911029">
            <w:pPr>
              <w:jc w:val="center"/>
            </w:pPr>
            <w:r>
              <w:rPr>
                <w:sz w:val="20"/>
              </w:rPr>
              <w:t>Fig 7</w:t>
            </w:r>
          </w:p>
        </w:tc>
        <w:tc>
          <w:tcPr>
            <w:tcW w:w="3135" w:type="dxa"/>
            <w:shd w:val="clear" w:color="auto" w:fill="F2F2F2"/>
          </w:tcPr>
          <w:p w14:paraId="2D3FD1BC">
            <w:pPr>
              <w:jc w:val="center"/>
            </w:pPr>
            <w:r>
              <w:rPr>
                <w:sz w:val="20"/>
              </w:rPr>
              <w:t>te_viz_07_uptake.png</w:t>
            </w:r>
          </w:p>
        </w:tc>
        <w:tc>
          <w:tcPr>
            <w:tcW w:w="3135" w:type="dxa"/>
            <w:shd w:val="clear" w:color="auto" w:fill="F2F2F2"/>
          </w:tcPr>
          <w:p w14:paraId="16E8CDC5">
            <w:pPr>
              <w:jc w:val="center"/>
            </w:pPr>
            <w:r>
              <w:rPr>
                <w:sz w:val="20"/>
              </w:rPr>
              <w:t>GBM uptake probability distribution by state</w:t>
            </w:r>
          </w:p>
        </w:tc>
      </w:tr>
      <w:tr w14:paraId="5F1FDDFE">
        <w:trPr>
          <w:jc w:val="center"/>
        </w:trPr>
        <w:tc>
          <w:tcPr>
            <w:tcW w:w="3135" w:type="dxa"/>
            <w:shd w:val="clear" w:color="auto" w:fill="FFFFFF"/>
          </w:tcPr>
          <w:p w14:paraId="112DEC1C">
            <w:pPr>
              <w:jc w:val="center"/>
            </w:pPr>
            <w:r>
              <w:rPr>
                <w:sz w:val="20"/>
              </w:rPr>
              <w:t>Fig 8</w:t>
            </w:r>
          </w:p>
        </w:tc>
        <w:tc>
          <w:tcPr>
            <w:tcW w:w="3135" w:type="dxa"/>
            <w:shd w:val="clear" w:color="auto" w:fill="FFFFFF"/>
          </w:tcPr>
          <w:p w14:paraId="03953D9B">
            <w:pPr>
              <w:jc w:val="center"/>
            </w:pPr>
            <w:r>
              <w:rPr>
                <w:sz w:val="20"/>
              </w:rPr>
              <w:t>te_viz_08_decision_boundary.png</w:t>
            </w:r>
          </w:p>
        </w:tc>
        <w:tc>
          <w:tcPr>
            <w:tcW w:w="3135" w:type="dxa"/>
            <w:shd w:val="clear" w:color="auto" w:fill="FFFFFF"/>
          </w:tcPr>
          <w:p w14:paraId="12EEC3FF">
            <w:pPr>
              <w:jc w:val="center"/>
            </w:pPr>
            <w:r>
              <w:rPr>
                <w:sz w:val="20"/>
              </w:rPr>
              <w:t>Decision boundary: p_def × balance scatter</w:t>
            </w:r>
          </w:p>
        </w:tc>
      </w:tr>
      <w:tr w14:paraId="6AF540E6">
        <w:trPr>
          <w:jc w:val="center"/>
        </w:trPr>
        <w:tc>
          <w:tcPr>
            <w:tcW w:w="3135" w:type="dxa"/>
            <w:shd w:val="clear" w:color="auto" w:fill="F2F2F2"/>
          </w:tcPr>
          <w:p w14:paraId="5FADE915">
            <w:pPr>
              <w:jc w:val="center"/>
            </w:pPr>
            <w:r>
              <w:rPr>
                <w:sz w:val="20"/>
              </w:rPr>
              <w:t>Fig 9</w:t>
            </w:r>
          </w:p>
        </w:tc>
        <w:tc>
          <w:tcPr>
            <w:tcW w:w="3135" w:type="dxa"/>
            <w:shd w:val="clear" w:color="auto" w:fill="F2F2F2"/>
          </w:tcPr>
          <w:p w14:paraId="74D91B80">
            <w:pPr>
              <w:jc w:val="center"/>
            </w:pPr>
            <w:r>
              <w:rPr>
                <w:sz w:val="20"/>
              </w:rPr>
              <w:t>te_viz_09_pareto_curve.png</w:t>
            </w:r>
          </w:p>
        </w:tc>
        <w:tc>
          <w:tcPr>
            <w:tcW w:w="3135" w:type="dxa"/>
            <w:shd w:val="clear" w:color="auto" w:fill="F2F2F2"/>
          </w:tcPr>
          <w:p w14:paraId="4EEDE934">
            <w:pPr>
              <w:jc w:val="center"/>
            </w:pPr>
            <w:r>
              <w:rPr>
                <w:sz w:val="20"/>
              </w:rPr>
              <w:t>Cumulative profit curve (Pareto analysis)</w:t>
            </w:r>
          </w:p>
        </w:tc>
      </w:tr>
      <w:tr w14:paraId="6270B39C">
        <w:trPr>
          <w:jc w:val="center"/>
        </w:trPr>
        <w:tc>
          <w:tcPr>
            <w:tcW w:w="3135" w:type="dxa"/>
            <w:shd w:val="clear" w:color="auto" w:fill="FFFFFF"/>
          </w:tcPr>
          <w:p w14:paraId="6FC71B13">
            <w:pPr>
              <w:jc w:val="center"/>
            </w:pPr>
            <w:r>
              <w:rPr>
                <w:sz w:val="20"/>
              </w:rPr>
              <w:t>Fig 10</w:t>
            </w:r>
          </w:p>
        </w:tc>
        <w:tc>
          <w:tcPr>
            <w:tcW w:w="3135" w:type="dxa"/>
            <w:shd w:val="clear" w:color="auto" w:fill="FFFFFF"/>
          </w:tcPr>
          <w:p w14:paraId="34D35804">
            <w:pPr>
              <w:jc w:val="center"/>
            </w:pPr>
            <w:r>
              <w:rPr>
                <w:sz w:val="20"/>
              </w:rPr>
              <w:t>te_viz_10_term_uptake.png</w:t>
            </w:r>
          </w:p>
        </w:tc>
        <w:tc>
          <w:tcPr>
            <w:tcW w:w="3135" w:type="dxa"/>
            <w:shd w:val="clear" w:color="auto" w:fill="FFFFFF"/>
          </w:tcPr>
          <w:p w14:paraId="668E2716">
            <w:pPr>
              <w:jc w:val="center"/>
            </w:pPr>
            <w:r>
              <w:rPr>
                <w:sz w:val="20"/>
              </w:rPr>
              <w:t>Extension term boxplot &amp; GBM uptake violin</w:t>
            </w:r>
          </w:p>
        </w:tc>
      </w:tr>
      <w:tr w14:paraId="7A47F7FA">
        <w:trPr>
          <w:jc w:val="center"/>
        </w:trPr>
        <w:tc>
          <w:tcPr>
            <w:tcW w:w="3135" w:type="dxa"/>
            <w:shd w:val="clear" w:color="auto" w:fill="F2F2F2"/>
          </w:tcPr>
          <w:p w14:paraId="008A05D0">
            <w:pPr>
              <w:jc w:val="center"/>
            </w:pPr>
            <w:r>
              <w:rPr>
                <w:sz w:val="20"/>
              </w:rPr>
              <w:t>Fig 11</w:t>
            </w:r>
          </w:p>
        </w:tc>
        <w:tc>
          <w:tcPr>
            <w:tcW w:w="3135" w:type="dxa"/>
            <w:shd w:val="clear" w:color="auto" w:fill="F2F2F2"/>
          </w:tcPr>
          <w:p w14:paraId="785BC149">
            <w:pPr>
              <w:jc w:val="center"/>
            </w:pPr>
            <w:r>
              <w:rPr>
                <w:sz w:val="20"/>
              </w:rPr>
              <w:t>te_viz_11_sensitivity_detail.png</w:t>
            </w:r>
          </w:p>
        </w:tc>
        <w:tc>
          <w:tcPr>
            <w:tcW w:w="3135" w:type="dxa"/>
            <w:shd w:val="clear" w:color="auto" w:fill="F2F2F2"/>
          </w:tcPr>
          <w:p w14:paraId="2F0E612D">
            <w:pPr>
              <w:jc w:val="center"/>
            </w:pPr>
            <w:r>
              <w:rPr>
                <w:sz w:val="20"/>
              </w:rPr>
              <w:t>Detailed per-state scenario comparison</w:t>
            </w:r>
          </w:p>
        </w:tc>
      </w:tr>
      <w:tr w14:paraId="6D939204">
        <w:trPr>
          <w:jc w:val="center"/>
        </w:trPr>
        <w:tc>
          <w:tcPr>
            <w:tcW w:w="3135" w:type="dxa"/>
            <w:shd w:val="clear" w:color="auto" w:fill="FFFFFF"/>
          </w:tcPr>
          <w:p w14:paraId="246E99D4">
            <w:pPr>
              <w:jc w:val="center"/>
            </w:pPr>
            <w:r>
              <w:rPr>
                <w:sz w:val="20"/>
              </w:rPr>
              <w:t>Fig 12</w:t>
            </w:r>
          </w:p>
        </w:tc>
        <w:tc>
          <w:tcPr>
            <w:tcW w:w="3135" w:type="dxa"/>
            <w:shd w:val="clear" w:color="auto" w:fill="FFFFFF"/>
          </w:tcPr>
          <w:p w14:paraId="2CA9D1BC">
            <w:pPr>
              <w:jc w:val="center"/>
            </w:pPr>
            <w:r>
              <w:rPr>
                <w:sz w:val="20"/>
              </w:rPr>
              <w:t>te_viz_12_risk_cap_slack.png</w:t>
            </w:r>
          </w:p>
        </w:tc>
        <w:tc>
          <w:tcPr>
            <w:tcW w:w="3135" w:type="dxa"/>
            <w:shd w:val="clear" w:color="auto" w:fill="FFFFFF"/>
          </w:tcPr>
          <w:p w14:paraId="2E012FF0">
            <w:pPr>
              <w:jc w:val="center"/>
            </w:pPr>
            <w:r>
              <w:rPr>
                <w:sz w:val="20"/>
              </w:rPr>
              <w:t>Risk-exposure distribution &amp; portfolio risk cap</w:t>
            </w:r>
          </w:p>
        </w:tc>
      </w:tr>
    </w:tbl>
    <w:p w14:paraId="78F2385A"/>
    <w:p w14:paraId="5DF9BEB1">
      <w:pPr>
        <w:pStyle w:val="3"/>
        <w:spacing w:before="280" w:after="80"/>
      </w:pPr>
      <w:r>
        <w:rPr>
          <w:b/>
          <w:color w:val="2E74B5"/>
          <w:sz w:val="26"/>
        </w:rPr>
        <w:t>D5 — Operationalisation Recommendations</w:t>
      </w:r>
    </w:p>
    <w:p w14:paraId="0A3B392B">
      <w:pPr>
        <w:spacing w:after="120"/>
        <w:jc w:val="left"/>
      </w:pPr>
      <w:r>
        <w:rPr>
          <w:b w:val="0"/>
          <w:i w:val="0"/>
          <w:sz w:val="21"/>
        </w:rPr>
        <w:t>Section 14 of this report provides detailed operationalisation guidance. A summary of the key recommendations:</w:t>
      </w:r>
    </w:p>
    <w:p w14:paraId="3B49E437">
      <w:pPr>
        <w:pStyle w:val="23"/>
        <w:spacing w:after="60"/>
        <w:ind w:left="360"/>
      </w:pPr>
      <w:r>
        <w:rPr>
          <w:sz w:val="21"/>
        </w:rPr>
        <w:t>Three-phase deployment: top-quartile first → full Excellent/Good/Fair → selective Poor, with monitoring gates between phases</w:t>
      </w:r>
    </w:p>
    <w:p w14:paraId="633AD745">
      <w:pPr>
        <w:pStyle w:val="23"/>
        <w:spacing w:after="60"/>
        <w:ind w:left="360"/>
      </w:pPr>
      <w:r>
        <w:rPr>
          <w:sz w:val="21"/>
        </w:rPr>
        <w:t>Five monitoring KPIs: default rate tracker, uptake tracker, profitability reconciliation, quarterly scenario re-calibration, quarterly K-Means re-clustering</w:t>
      </w:r>
    </w:p>
    <w:p w14:paraId="0CAF7A6B">
      <w:pPr>
        <w:pStyle w:val="23"/>
        <w:spacing w:after="60"/>
        <w:ind w:left="360"/>
      </w:pPr>
      <w:r>
        <w:rPr>
          <w:sz w:val="21"/>
        </w:rPr>
        <w:t>FRED API integration: live macro data ingestion ensures model parameters stay current as economic conditions evolve</w:t>
      </w:r>
    </w:p>
    <w:p w14:paraId="49996A02">
      <w:pPr>
        <w:pStyle w:val="23"/>
        <w:spacing w:after="60"/>
        <w:ind w:left="360"/>
      </w:pPr>
      <w:r>
        <w:rPr>
          <w:sz w:val="21"/>
        </w:rPr>
        <w:t>A/B test design: n ≈ 1,800 per arm, 90-day primary metric (revenue per account), 180-day secondary metric (default rate)</w:t>
      </w:r>
    </w:p>
    <w:p w14:paraId="6EE8E9DC">
      <w:pPr>
        <w:pStyle w:val="23"/>
        <w:spacing w:after="60"/>
        <w:ind w:left="360"/>
      </w:pPr>
      <w:r>
        <w:rPr>
          <w:sz w:val="21"/>
        </w:rPr>
        <w:t>Parameter re-calibration triggers: &gt;2 pp deviation in actual vs modelled default rate, macro scenario boundary crossing, fee or LGD changes</w:t>
      </w:r>
    </w:p>
    <w:p w14:paraId="09CCFEBA">
      <w:pPr>
        <w:pStyle w:val="23"/>
        <w:spacing w:after="60"/>
        <w:ind w:left="360"/>
      </w:pPr>
      <w:r>
        <w:rPr>
          <w:sz w:val="21"/>
        </w:rPr>
        <w:t>Future roadmap: RL adaptive policy, dynamic risk-based pricing, behavioural nudge programme, early warning ML model (see Q5)</w:t>
      </w:r>
    </w:p>
    <w:p w14:paraId="6B98D402"/>
    <w:p w14:paraId="5B1001AF">
      <w:pPr>
        <w:pBdr>
          <w:bottom w:val="single" w:color="2E74B5" w:sz="6" w:space="1"/>
        </w:pBdr>
        <w:spacing w:after="120"/>
      </w:pPr>
    </w:p>
    <w:p w14:paraId="093F874D">
      <w:pPr>
        <w:spacing w:after="120"/>
        <w:jc w:val="center"/>
      </w:pPr>
      <w:r>
        <w:rPr>
          <w:b w:val="0"/>
          <w:i/>
          <w:color w:val="1A3A5C"/>
          <w:sz w:val="21"/>
        </w:rPr>
        <w:t>All five deliverables are contained within the submission/ folder of the term_extension branch. The notebook (D3) is the authoritative executable source; the report (D1) is the human-readable companion document. The CSV (D4) enables independent verification of results without re-running the full pipeline.</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5FCDA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4</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Praveen Kumar</cp:lastModifiedBy>
  <dcterms:modified xsi:type="dcterms:W3CDTF">2026-05-26T01:04:43Z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B57173ECCB4F858353A4146A0DEFAD9C_42</vt:lpwstr>
  </property>
</Properties>
</file>