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A1A2E"/>
          <w:sz w:val="36"/>
        </w:rPr>
        <w:t>Credit Limit Optimisation — How It Works and What It Found</w:t>
      </w:r>
    </w:p>
    <w:p>
      <w:pPr>
        <w:spacing w:after="40"/>
      </w:pPr>
      <w:r>
        <w:rPr>
          <w:i/>
          <w:color w:val="666666"/>
          <w:sz w:val="22"/>
        </w:rPr>
        <w:t>Written for the Credit Risk and Analytics team</w:t>
      </w:r>
    </w:p>
    <w:p>
      <w:pPr>
        <w:spacing w:after="280"/>
        <w:pBdr>
          <w:bottom w:val="single" w:sz="4" w:space="1" w:color="CCCCCC"/>
        </w:pBdr>
      </w:pPr>
      <w:r>
        <w:rPr>
          <w:color w:val="666666"/>
          <w:sz w:val="19"/>
        </w:rPr>
        <w:t>May 2025  ·  Internal review</w:t>
      </w:r>
    </w:p>
    <w:p>
      <w:pPr>
        <w:spacing w:before="320" w:after="80"/>
      </w:pPr>
      <w:r>
        <w:rPr>
          <w:b/>
          <w:color w:val="1A1A2E"/>
          <w:sz w:val="24"/>
        </w:rPr>
        <w:t>What this is about</w:t>
      </w:r>
    </w:p>
    <w:p>
      <w:pPr>
        <w:spacing w:after="140"/>
      </w:pPr>
      <w:r>
        <w:rPr>
          <w:color w:val="333333"/>
          <w:sz w:val="21"/>
        </w:rPr>
        <w:t>We have 30,000 consumer lending customers, each with a current credit limit. The question is simple: which of them should get an increase, and by how much? Too conservative and we leave profit on the table. Too generous and portfolio default risk climbs past what our risk appetite allows.</w:t>
      </w:r>
    </w:p>
    <w:p>
      <w:pPr>
        <w:spacing w:after="140"/>
      </w:pPr>
      <w:r>
        <w:rPr>
          <w:color w:val="333333"/>
          <w:sz w:val="21"/>
        </w:rPr>
        <w:t>This document explains what we built to answer that question — covering how we measured risk, how we modelled portfolio trajectory, and how we turned all of that into a single optimised set of recommendations across the whole portfolio.</w:t>
      </w:r>
    </w:p>
    <w:p>
      <w:pPr>
        <w:spacing w:after="140"/>
      </w:pPr>
      <w:r>
        <w:rPr>
          <w:color w:val="333333"/>
          <w:sz w:val="21"/>
        </w:rPr>
        <w:t>The bottom line upfront:</w:t>
      </w:r>
    </w:p>
    <w:p>
      <w:pPr>
        <w:pStyle w:val="ListBullet"/>
        <w:spacing w:after="80"/>
        <w:ind w:left="288"/>
      </w:pPr>
      <w:r>
        <w:rPr>
          <w:color w:val="333333"/>
          <w:sz w:val="21"/>
        </w:rPr>
        <w:t>26,536 customers (89%) received a recommended limit increase.</w:t>
      </w:r>
    </w:p>
    <w:p>
      <w:pPr>
        <w:pStyle w:val="ListBullet"/>
        <w:spacing w:after="80"/>
        <w:ind w:left="288"/>
      </w:pPr>
      <w:r>
        <w:rPr>
          <w:color w:val="333333"/>
          <w:sz w:val="21"/>
        </w:rPr>
        <w:t>Total incremental exposure: $20.9 million.</w:t>
      </w:r>
    </w:p>
    <w:p>
      <w:pPr>
        <w:pStyle w:val="ListBullet"/>
        <w:spacing w:after="80"/>
        <w:ind w:left="288"/>
      </w:pPr>
      <w:r>
        <w:rPr>
          <w:color w:val="333333"/>
          <w:sz w:val="21"/>
        </w:rPr>
        <w:t>Expected incremental net profit: $785,451.</w:t>
      </w:r>
    </w:p>
    <w:p>
      <w:pPr>
        <w:pStyle w:val="ListBullet"/>
        <w:spacing w:after="80"/>
        <w:ind w:left="288"/>
      </w:pPr>
      <w:r>
        <w:rPr>
          <w:color w:val="333333"/>
          <w:sz w:val="21"/>
        </w:rPr>
        <w:t>Weighted default risk on new exposure: 4.17% (below 5% cap). Return on incremental exposure: 3.76%.</w:t>
      </w:r>
    </w:p>
    <w:p>
      <w:pPr>
        <w:pStyle w:val="ListBullet"/>
        <w:spacing w:after="80"/>
        <w:ind w:left="288"/>
      </w:pPr>
      <w:r>
        <w:rPr>
          <w:color w:val="333333"/>
          <w:sz w:val="21"/>
        </w:rPr>
        <w:t>All 44 model correctness checks pass.</w:t>
      </w:r>
    </w:p>
    <w:p>
      <w:pPr>
        <w:spacing w:before="320" w:after="80"/>
      </w:pPr>
      <w:r>
        <w:rPr>
          <w:b/>
          <w:color w:val="1A1A2E"/>
          <w:sz w:val="24"/>
        </w:rPr>
        <w:t>Why a simple rule won't work here</w:t>
      </w:r>
    </w:p>
    <w:p>
      <w:pPr>
        <w:spacing w:after="140"/>
      </w:pPr>
      <w:r>
        <w:rPr>
          <w:color w:val="333333"/>
          <w:sz w:val="21"/>
        </w:rPr>
        <w:t>The obvious approach is to score every customer, rank them, and approve the top N until the exposure budget runs out. The problem is the risk constraint.</w:t>
      </w:r>
    </w:p>
    <w:p>
      <w:pPr>
        <w:spacing w:after="140"/>
      </w:pPr>
      <w:r>
        <w:rPr>
          <w:color w:val="333333"/>
          <w:sz w:val="21"/>
        </w:rPr>
        <w:t>Portfolio default risk is a property of all the decisions combined, not of individual customers in isolation. A borderline customer might look acceptable on their own, but approve enough of them and the combined risk goes over the limit. You can't satisfy a joint constraint by making 30,000 independent decisions. You need something that considers the full portfolio simultaneously.</w:t>
      </w:r>
    </w:p>
    <w:p>
      <w:pPr>
        <w:spacing w:after="140"/>
      </w:pPr>
      <w:r>
        <w:rPr>
          <w:color w:val="333333"/>
          <w:sz w:val="21"/>
        </w:rPr>
        <w:t>That's what the linear programme does. Everything upstream — risk scoring, Markov chain, forecasting, simulation — exists to feed it with good inputs.</w:t>
      </w:r>
    </w:p>
    <w:p>
      <w:pPr>
        <w:spacing w:before="320" w:after="80"/>
      </w:pPr>
      <w:r>
        <w:rPr>
          <w:b/>
          <w:color w:val="1A1A2E"/>
          <w:sz w:val="24"/>
        </w:rPr>
        <w:t>The data we have (and what's missing)</w:t>
      </w:r>
    </w:p>
    <w:p>
      <w:pPr>
        <w:spacing w:after="140"/>
      </w:pPr>
      <w:r>
        <w:rPr>
          <w:color w:val="333333"/>
          <w:sz w:val="21"/>
        </w:rPr>
        <w:t>The input is a single CSV snapshot of 30,000 customers. Five fields per customer:</w:t>
      </w:r>
    </w:p>
    <w:tbl>
      <w:tblPr>
        <w:tblStyle w:val="TableGrid"/>
        <w:tblW w:type="auto" w:w="0"/>
        <w:jc w:val="left"/>
        <w:tblLook w:firstColumn="1" w:firstRow="1" w:lastColumn="0" w:lastRow="0" w:noHBand="0" w:noVBand="1" w:val="04A0"/>
      </w:tblPr>
      <w:tblGrid>
        <w:gridCol w:w="4419"/>
        <w:gridCol w:w="4419"/>
      </w:tblGrid>
      <w:tr>
        <w:tc>
          <w:tcPr>
            <w:tcW w:type="dxa" w:w="3744"/>
            <w:shd w:val="clear" w:color="auto" w:fill="2C3E6B"/>
          </w:tcPr>
          <w:p>
            <w:pPr>
              <w:spacing w:before="60" w:after="60"/>
            </w:pPr>
            <w:r>
              <w:rPr>
                <w:b/>
                <w:color w:val="FFFFFF"/>
                <w:sz w:val="19"/>
              </w:rPr>
              <w:t>Field</w:t>
            </w:r>
          </w:p>
        </w:tc>
        <w:tc>
          <w:tcPr>
            <w:tcW w:type="dxa" w:w="4896"/>
            <w:shd w:val="clear" w:color="auto" w:fill="2C3E6B"/>
          </w:tcPr>
          <w:p>
            <w:pPr>
              <w:spacing w:before="60" w:after="60"/>
            </w:pPr>
            <w:r>
              <w:rPr>
                <w:b/>
                <w:color w:val="FFFFFF"/>
                <w:sz w:val="19"/>
              </w:rPr>
              <w:t>What it tells us</w:t>
            </w:r>
          </w:p>
        </w:tc>
      </w:tr>
      <w:tr>
        <w:tc>
          <w:tcPr>
            <w:tcW w:type="dxa" w:w="3744"/>
            <w:shd w:val="clear" w:color="auto" w:fill="FFFFFF"/>
          </w:tcPr>
          <w:p>
            <w:pPr>
              <w:spacing w:before="40" w:after="40"/>
            </w:pPr>
            <w:r>
              <w:rPr>
                <w:color w:val="333333"/>
                <w:sz w:val="19"/>
              </w:rPr>
              <w:t>On-time payment rate (80%–100%)</w:t>
            </w:r>
          </w:p>
        </w:tc>
        <w:tc>
          <w:tcPr>
            <w:tcW w:type="dxa" w:w="4896"/>
            <w:shd w:val="clear" w:color="auto" w:fill="FFFFFF"/>
          </w:tcPr>
          <w:p>
            <w:pPr>
              <w:spacing w:before="40" w:after="40"/>
            </w:pPr>
            <w:r>
              <w:rPr>
                <w:color w:val="333333"/>
                <w:sz w:val="19"/>
              </w:rPr>
              <w:t>Core payment behaviour — the most predictive signal we have</w:t>
            </w:r>
          </w:p>
        </w:tc>
      </w:tr>
      <w:tr>
        <w:tc>
          <w:tcPr>
            <w:tcW w:type="dxa" w:w="3744"/>
            <w:shd w:val="clear" w:color="auto" w:fill="F5F5F5"/>
          </w:tcPr>
          <w:p>
            <w:pPr>
              <w:spacing w:before="40" w:after="40"/>
            </w:pPr>
            <w:r>
              <w:rPr>
                <w:color w:val="333333"/>
                <w:sz w:val="19"/>
              </w:rPr>
              <w:t>Number of limit increases in 2023</w:t>
            </w:r>
          </w:p>
        </w:tc>
        <w:tc>
          <w:tcPr>
            <w:tcW w:type="dxa" w:w="4896"/>
            <w:shd w:val="clear" w:color="auto" w:fill="F5F5F5"/>
          </w:tcPr>
          <w:p>
            <w:pPr>
              <w:spacing w:before="40" w:after="40"/>
            </w:pPr>
            <w:r>
              <w:rPr>
                <w:color w:val="333333"/>
                <w:sz w:val="19"/>
              </w:rPr>
              <w:t>Frequent credit-seeking often precedes financial stress</w:t>
            </w:r>
          </w:p>
        </w:tc>
      </w:tr>
      <w:tr>
        <w:tc>
          <w:tcPr>
            <w:tcW w:type="dxa" w:w="3744"/>
            <w:shd w:val="clear" w:color="auto" w:fill="FFFFFF"/>
          </w:tcPr>
          <w:p>
            <w:pPr>
              <w:spacing w:before="40" w:after="40"/>
            </w:pPr>
            <w:r>
              <w:rPr>
                <w:color w:val="333333"/>
                <w:sz w:val="19"/>
              </w:rPr>
              <w:t>Days since last loan</w:t>
            </w:r>
          </w:p>
        </w:tc>
        <w:tc>
          <w:tcPr>
            <w:tcW w:type="dxa" w:w="4896"/>
            <w:shd w:val="clear" w:color="auto" w:fill="FFFFFF"/>
          </w:tcPr>
          <w:p>
            <w:pPr>
              <w:spacing w:before="40" w:after="40"/>
            </w:pPr>
            <w:r>
              <w:rPr>
                <w:color w:val="333333"/>
                <w:sz w:val="19"/>
              </w:rPr>
              <w:t>Inactivity can indicate deteriorating creditworthiness</w:t>
            </w:r>
          </w:p>
        </w:tc>
      </w:tr>
      <w:tr>
        <w:tc>
          <w:tcPr>
            <w:tcW w:type="dxa" w:w="3744"/>
            <w:shd w:val="clear" w:color="auto" w:fill="F5F5F5"/>
          </w:tcPr>
          <w:p>
            <w:pPr>
              <w:spacing w:before="40" w:after="40"/>
            </w:pPr>
            <w:r>
              <w:rPr>
                <w:color w:val="333333"/>
                <w:sz w:val="19"/>
              </w:rPr>
              <w:t>Total profit contribution ($0–$120)</w:t>
            </w:r>
          </w:p>
        </w:tc>
        <w:tc>
          <w:tcPr>
            <w:tcW w:type="dxa" w:w="4896"/>
            <w:shd w:val="clear" w:color="auto" w:fill="F5F5F5"/>
          </w:tcPr>
          <w:p>
            <w:pPr>
              <w:spacing w:before="40" w:after="40"/>
            </w:pPr>
            <w:r>
              <w:rPr>
                <w:color w:val="333333"/>
                <w:sz w:val="19"/>
              </w:rPr>
              <w:t>Active, profitable customers are demonstrably engaged</w:t>
            </w:r>
          </w:p>
        </w:tc>
      </w:tr>
      <w:tr>
        <w:tc>
          <w:tcPr>
            <w:tcW w:type="dxa" w:w="3744"/>
            <w:shd w:val="clear" w:color="auto" w:fill="FFFFFF"/>
          </w:tcPr>
          <w:p>
            <w:pPr>
              <w:spacing w:before="40" w:after="40"/>
            </w:pPr>
            <w:r>
              <w:rPr>
                <w:color w:val="333333"/>
                <w:sz w:val="19"/>
              </w:rPr>
              <w:t>Current loan limit ($500–$4,999)</w:t>
            </w:r>
          </w:p>
        </w:tc>
        <w:tc>
          <w:tcPr>
            <w:tcW w:type="dxa" w:w="4896"/>
            <w:shd w:val="clear" w:color="auto" w:fill="FFFFFF"/>
          </w:tcPr>
          <w:p>
            <w:pPr>
              <w:spacing w:before="40" w:after="40"/>
            </w:pPr>
            <w:r>
              <w:rPr>
                <w:color w:val="333333"/>
                <w:sz w:val="19"/>
              </w:rPr>
              <w:t>Tells us current exposure; not a risk predictor by itself</w:t>
            </w:r>
          </w:p>
        </w:tc>
      </w:tr>
    </w:tbl>
    <w:p>
      <w:pPr>
        <w:spacing w:after="80"/>
      </w:pPr>
    </w:p>
    <w:p>
      <w:pPr>
        <w:spacing w:after="140"/>
      </w:pPr>
      <w:r>
        <w:rPr>
          <w:color w:val="333333"/>
          <w:sz w:val="21"/>
        </w:rPr>
        <w:t>One thing worth flagging: 44% of customers have both zero profit contribution and zero limit increases. These are almost certainly inactive accounts. For this group, only the payment rate and recency signals are meaningful.</w:t>
      </w:r>
    </w:p>
    <w:p>
      <w:pPr>
        <w:spacing w:after="140"/>
      </w:pPr>
      <w:r>
        <w:rPr>
          <w:color w:val="333333"/>
          <w:sz w:val="21"/>
        </w:rPr>
        <w:t>More importantly: there are no default outcome labels. No column saying which customers have previously gone delinquent. That turns out to be a significant constraint on what the risk model can do, which is why the modelling approach is what it is.</w:t>
      </w:r>
    </w:p>
    <w:p>
      <w:pPr>
        <w:spacing w:after="140"/>
      </w:pPr>
      <w:r>
        <w:rPr>
          <w:color w:val="333333"/>
          <w:sz w:val="21"/>
        </w:rPr>
        <w:t>We also pulled in four macro indicators from FRED — GDP growth, unemployment, the Fed rate, and CPI — and ran the whole pipeline under three scenarios: Optimistic, Baseline, and Adverse. More on that in the sensitivity section.</w:t>
      </w:r>
    </w:p>
    <w:p>
      <w:pPr>
        <w:spacing w:before="320" w:after="80"/>
      </w:pPr>
      <w:r>
        <w:rPr>
          <w:b/>
          <w:color w:val="1A1A2E"/>
          <w:sz w:val="24"/>
        </w:rPr>
        <w:t>How we measure risk</w:t>
      </w:r>
    </w:p>
    <w:p>
      <w:pPr>
        <w:spacing w:before="200" w:after="60"/>
      </w:pPr>
      <w:r>
        <w:rPr>
          <w:b/>
          <w:color w:val="333333"/>
          <w:sz w:val="21"/>
        </w:rPr>
        <w:t>Why not a machine learning model?</w:t>
      </w:r>
    </w:p>
    <w:p>
      <w:pPr>
        <w:spacing w:after="140"/>
      </w:pPr>
      <w:r>
        <w:rPr>
          <w:color w:val="333333"/>
          <w:sz w:val="21"/>
        </w:rPr>
        <w:t>The honest answer: because we have no outcome data, a machine learning model would be circular. You'd need a target variable to train it — something like "did this customer default?" — but we don't have that. What you'd end up doing is engineering a synthetic target out of the same five features you're trying to rank by. The model would learn to reconstruct its own inputs, not to predict risk.</w:t>
      </w:r>
    </w:p>
    <w:p>
      <w:pPr>
        <w:spacing w:after="140"/>
      </w:pPr>
      <w:r>
        <w:rPr>
          <w:color w:val="333333"/>
          <w:sz w:val="21"/>
        </w:rPr>
        <w:t>There's a second issue. The five features are essentially uncorrelated with each other (pairwise correlation close to zero). Machine learning earns its complexity by finding non-linear interactions between features. When features don't interact, a gradient-boosted tree with 500 estimators will produce almost exactly the same customer ranking as a simple weighted sum — with a lot more opacity and no additional insight.</w:t>
      </w:r>
    </w:p>
    <w:p>
      <w:pPr>
        <w:spacing w:before="200" w:after="60"/>
      </w:pPr>
      <w:r>
        <w:rPr>
          <w:b/>
          <w:color w:val="333333"/>
          <w:sz w:val="21"/>
        </w:rPr>
        <w:t>What we did instead: ordinal rank aggregation</w:t>
      </w:r>
    </w:p>
    <w:p>
      <w:pPr>
        <w:spacing w:after="140"/>
      </w:pPr>
      <w:r>
        <w:rPr>
          <w:color w:val="333333"/>
          <w:sz w:val="21"/>
        </w:rPr>
        <w:t>We convert each feature to a percentile rank within the portfolio (0 = lowest risk, 1 = highest), then combine them with weights that reflect industry convention for consumer credit:</w:t>
      </w:r>
    </w:p>
    <w:tbl>
      <w:tblPr>
        <w:tblStyle w:val="TableGrid"/>
        <w:tblW w:type="auto" w:w="0"/>
        <w:jc w:val="left"/>
        <w:tblLook w:firstColumn="1" w:firstRow="1" w:lastColumn="0" w:lastRow="0" w:noHBand="0" w:noVBand="1" w:val="04A0"/>
      </w:tblPr>
      <w:tblGrid>
        <w:gridCol w:w="2946"/>
        <w:gridCol w:w="2946"/>
        <w:gridCol w:w="2946"/>
      </w:tblGrid>
      <w:tr>
        <w:tc>
          <w:tcPr>
            <w:tcW w:type="dxa" w:w="3456"/>
            <w:shd w:val="clear" w:color="auto" w:fill="2C3E6B"/>
          </w:tcPr>
          <w:p>
            <w:pPr>
              <w:spacing w:before="60" w:after="60"/>
            </w:pPr>
            <w:r>
              <w:rPr>
                <w:b/>
                <w:color w:val="FFFFFF"/>
                <w:sz w:val="19"/>
              </w:rPr>
              <w:t>Feature</w:t>
            </w:r>
          </w:p>
        </w:tc>
        <w:tc>
          <w:tcPr>
            <w:tcW w:type="dxa" w:w="1440"/>
            <w:shd w:val="clear" w:color="auto" w:fill="2C3E6B"/>
          </w:tcPr>
          <w:p>
            <w:pPr>
              <w:spacing w:before="60" w:after="60"/>
            </w:pPr>
            <w:r>
              <w:rPr>
                <w:b/>
                <w:color w:val="FFFFFF"/>
                <w:sz w:val="19"/>
              </w:rPr>
              <w:t>Weight</w:t>
            </w:r>
          </w:p>
        </w:tc>
        <w:tc>
          <w:tcPr>
            <w:tcW w:type="dxa" w:w="3744"/>
            <w:shd w:val="clear" w:color="auto" w:fill="2C3E6B"/>
          </w:tcPr>
          <w:p>
            <w:pPr>
              <w:spacing w:before="60" w:after="60"/>
            </w:pPr>
            <w:r>
              <w:rPr>
                <w:b/>
                <w:color w:val="FFFFFF"/>
                <w:sz w:val="19"/>
              </w:rPr>
              <w:t>Direction</w:t>
            </w:r>
          </w:p>
        </w:tc>
      </w:tr>
      <w:tr>
        <w:tc>
          <w:tcPr>
            <w:tcW w:type="dxa" w:w="3456"/>
            <w:shd w:val="clear" w:color="auto" w:fill="FFFFFF"/>
          </w:tcPr>
          <w:p>
            <w:pPr>
              <w:spacing w:before="40" w:after="40"/>
            </w:pPr>
            <w:r>
              <w:rPr>
                <w:color w:val="333333"/>
                <w:sz w:val="19"/>
              </w:rPr>
              <w:t>On-time payment rate</w:t>
            </w:r>
          </w:p>
        </w:tc>
        <w:tc>
          <w:tcPr>
            <w:tcW w:type="dxa" w:w="1440"/>
            <w:shd w:val="clear" w:color="auto" w:fill="FFFFFF"/>
          </w:tcPr>
          <w:p>
            <w:pPr>
              <w:spacing w:before="40" w:after="40"/>
            </w:pPr>
            <w:r>
              <w:rPr>
                <w:color w:val="333333"/>
                <w:sz w:val="19"/>
              </w:rPr>
              <w:t>35%</w:t>
            </w:r>
          </w:p>
        </w:tc>
        <w:tc>
          <w:tcPr>
            <w:tcW w:type="dxa" w:w="3744"/>
            <w:shd w:val="clear" w:color="auto" w:fill="FFFFFF"/>
          </w:tcPr>
          <w:p>
            <w:pPr>
              <w:spacing w:before="40" w:after="40"/>
            </w:pPr>
            <w:r>
              <w:rPr>
                <w:color w:val="333333"/>
                <w:sz w:val="19"/>
              </w:rPr>
              <w:t>Inverted — high payments = low rank = lower risk</w:t>
            </w:r>
          </w:p>
        </w:tc>
      </w:tr>
      <w:tr>
        <w:tc>
          <w:tcPr>
            <w:tcW w:type="dxa" w:w="3456"/>
            <w:shd w:val="clear" w:color="auto" w:fill="F5F5F5"/>
          </w:tcPr>
          <w:p>
            <w:pPr>
              <w:spacing w:before="40" w:after="40"/>
            </w:pPr>
            <w:r>
              <w:rPr>
                <w:color w:val="333333"/>
                <w:sz w:val="19"/>
              </w:rPr>
              <w:t>Limit increases in 2023</w:t>
            </w:r>
          </w:p>
        </w:tc>
        <w:tc>
          <w:tcPr>
            <w:tcW w:type="dxa" w:w="1440"/>
            <w:shd w:val="clear" w:color="auto" w:fill="F5F5F5"/>
          </w:tcPr>
          <w:p>
            <w:pPr>
              <w:spacing w:before="40" w:after="40"/>
            </w:pPr>
            <w:r>
              <w:rPr>
                <w:color w:val="333333"/>
                <w:sz w:val="19"/>
              </w:rPr>
              <w:t>30%</w:t>
            </w:r>
          </w:p>
        </w:tc>
        <w:tc>
          <w:tcPr>
            <w:tcW w:type="dxa" w:w="3744"/>
            <w:shd w:val="clear" w:color="auto" w:fill="F5F5F5"/>
          </w:tcPr>
          <w:p>
            <w:pPr>
              <w:spacing w:before="40" w:after="40"/>
            </w:pPr>
            <w:r>
              <w:rPr>
                <w:color w:val="333333"/>
                <w:sz w:val="19"/>
              </w:rPr>
              <w:t>Direct — more increases = higher risk</w:t>
            </w:r>
          </w:p>
        </w:tc>
      </w:tr>
      <w:tr>
        <w:tc>
          <w:tcPr>
            <w:tcW w:type="dxa" w:w="3456"/>
            <w:shd w:val="clear" w:color="auto" w:fill="FFFFFF"/>
          </w:tcPr>
          <w:p>
            <w:pPr>
              <w:spacing w:before="40" w:after="40"/>
            </w:pPr>
            <w:r>
              <w:rPr>
                <w:color w:val="333333"/>
                <w:sz w:val="19"/>
              </w:rPr>
              <w:t>Days since last loan</w:t>
            </w:r>
          </w:p>
        </w:tc>
        <w:tc>
          <w:tcPr>
            <w:tcW w:type="dxa" w:w="1440"/>
            <w:shd w:val="clear" w:color="auto" w:fill="FFFFFF"/>
          </w:tcPr>
          <w:p>
            <w:pPr>
              <w:spacing w:before="40" w:after="40"/>
            </w:pPr>
            <w:r>
              <w:rPr>
                <w:color w:val="333333"/>
                <w:sz w:val="19"/>
              </w:rPr>
              <w:t>15%</w:t>
            </w:r>
          </w:p>
        </w:tc>
        <w:tc>
          <w:tcPr>
            <w:tcW w:type="dxa" w:w="3744"/>
            <w:shd w:val="clear" w:color="auto" w:fill="FFFFFF"/>
          </w:tcPr>
          <w:p>
            <w:pPr>
              <w:spacing w:before="40" w:after="40"/>
            </w:pPr>
            <w:r>
              <w:rPr>
                <w:color w:val="333333"/>
                <w:sz w:val="19"/>
              </w:rPr>
              <w:t>Direct — more dormancy = higher risk</w:t>
            </w:r>
          </w:p>
        </w:tc>
      </w:tr>
      <w:tr>
        <w:tc>
          <w:tcPr>
            <w:tcW w:type="dxa" w:w="3456"/>
            <w:shd w:val="clear" w:color="auto" w:fill="F5F5F5"/>
          </w:tcPr>
          <w:p>
            <w:pPr>
              <w:spacing w:before="40" w:after="40"/>
            </w:pPr>
            <w:r>
              <w:rPr>
                <w:color w:val="333333"/>
                <w:sz w:val="19"/>
              </w:rPr>
              <w:t>Profit contribution</w:t>
            </w:r>
          </w:p>
        </w:tc>
        <w:tc>
          <w:tcPr>
            <w:tcW w:type="dxa" w:w="1440"/>
            <w:shd w:val="clear" w:color="auto" w:fill="F5F5F5"/>
          </w:tcPr>
          <w:p>
            <w:pPr>
              <w:spacing w:before="40" w:after="40"/>
            </w:pPr>
            <w:r>
              <w:rPr>
                <w:color w:val="333333"/>
                <w:sz w:val="19"/>
              </w:rPr>
              <w:t>20%</w:t>
            </w:r>
          </w:p>
        </w:tc>
        <w:tc>
          <w:tcPr>
            <w:tcW w:type="dxa" w:w="3744"/>
            <w:shd w:val="clear" w:color="auto" w:fill="F5F5F5"/>
          </w:tcPr>
          <w:p>
            <w:pPr>
              <w:spacing w:before="40" w:after="40"/>
            </w:pPr>
            <w:r>
              <w:rPr>
                <w:color w:val="333333"/>
                <w:sz w:val="19"/>
              </w:rPr>
              <w:t>Inverted — more profit = lower risk</w:t>
            </w:r>
          </w:p>
        </w:tc>
      </w:tr>
    </w:tbl>
    <w:p>
      <w:pPr>
        <w:spacing w:after="80"/>
      </w:pPr>
    </w:p>
    <w:p>
      <w:pPr>
        <w:spacing w:after="140"/>
      </w:pPr>
      <w:r>
        <w:rPr>
          <w:color w:val="333333"/>
          <w:sz w:val="21"/>
        </w:rPr>
        <w:t>The result is a single score per customer — risk_rank — that runs from 0 to 1, with mean exactly 0.50. It's a relative measure: a customer at 0.80 is riskier than 80% of the portfolio. It doesn't say "this customer has a 12% chance of defaulting." We'll come back to why that distinction matters.</w:t>
      </w:r>
    </w:p>
    <w:p>
      <w:pPr>
        <w:spacing w:before="40" w:after="160"/>
        <w:ind w:left="288"/>
      </w:pPr>
      <w:r>
        <w:rPr>
          <w:i/>
          <w:color w:val="666666"/>
          <w:sz w:val="19"/>
        </w:rPr>
        <w:t>Note: The 35/30/15/20 weights are borrowed from the FICO framework as the closest industry analogue to our available features. They're a deliberate starting assumption, not a statistically derived result. If we collect default outcome data in the future, these should be replaced with fitted logistic regression coefficients.</w:t>
      </w:r>
    </w:p>
    <w:p>
      <w:pPr>
        <w:spacing w:before="200" w:after="60"/>
      </w:pPr>
      <w:r>
        <w:rPr>
          <w:b/>
          <w:color w:val="333333"/>
          <w:sz w:val="21"/>
        </w:rPr>
        <w:t>Translating ranks into credit states</w:t>
      </w:r>
    </w:p>
    <w:p>
      <w:pPr>
        <w:spacing w:after="140"/>
      </w:pPr>
      <w:r>
        <w:rPr>
          <w:color w:val="333333"/>
          <w:sz w:val="21"/>
        </w:rPr>
        <w:t>The risk_rank score is continuous. To integrate it with the downstream Markov chain and LP, we need four discrete states: Excellent, Good, Fair, Poor. We use K-Means clustering (k=4) on the risk_rank distribution to find the boundaries.</w:t>
      </w:r>
    </w:p>
    <w:p>
      <w:pPr>
        <w:spacing w:after="140"/>
      </w:pPr>
      <w:r>
        <w:rPr>
          <w:color w:val="333333"/>
          <w:sz w:val="21"/>
        </w:rPr>
        <w:t>K-Means places four cluster centres so that within-cluster variance is minimised. The boundary between adjacent clusters is the midpoint between their centres — the natural cut-point. This is more principled than picking fixed percentile thresholds, which would just replicate whatever distribution we happened to decide on upfront.</w:t>
      </w:r>
    </w:p>
    <w:p>
      <w:pPr>
        <w:spacing w:after="140"/>
      </w:pPr>
      <w:r>
        <w:rPr>
          <w:color w:val="333333"/>
          <w:sz w:val="21"/>
        </w:rPr>
        <w:t>One honest caveat: a silhouette analysis shows the data actually supports two natural clusters (score 0.59 at k=2 vs 0.53 at k=4). The distribution is roughly bell-shaped — not four distinct populations. We use four states because the business and regulatory framework requires four tiers. The boundaries are a principled partition of a continuous distribution, not a discovery of four structurally separate customer groups.</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1872"/>
            <w:shd w:val="clear" w:color="auto" w:fill="2C3E6B"/>
          </w:tcPr>
          <w:p>
            <w:pPr>
              <w:spacing w:before="60" w:after="60"/>
            </w:pPr>
            <w:r>
              <w:rPr>
                <w:b/>
                <w:color w:val="FFFFFF"/>
                <w:sz w:val="19"/>
              </w:rPr>
              <w:t>State</w:t>
            </w:r>
          </w:p>
        </w:tc>
        <w:tc>
          <w:tcPr>
            <w:tcW w:type="dxa" w:w="2448"/>
            <w:shd w:val="clear" w:color="auto" w:fill="2C3E6B"/>
          </w:tcPr>
          <w:p>
            <w:pPr>
              <w:spacing w:before="60" w:after="60"/>
            </w:pPr>
            <w:r>
              <w:rPr>
                <w:b/>
                <w:color w:val="FFFFFF"/>
                <w:sz w:val="19"/>
              </w:rPr>
              <w:t>Boundary</w:t>
            </w:r>
          </w:p>
        </w:tc>
        <w:tc>
          <w:tcPr>
            <w:tcW w:type="dxa" w:w="2448"/>
            <w:shd w:val="clear" w:color="auto" w:fill="2C3E6B"/>
          </w:tcPr>
          <w:p>
            <w:pPr>
              <w:spacing w:before="60" w:after="60"/>
            </w:pPr>
            <w:r>
              <w:rPr>
                <w:b/>
                <w:color w:val="FFFFFF"/>
                <w:sz w:val="19"/>
              </w:rPr>
              <w:t>Customers</w:t>
            </w:r>
          </w:p>
        </w:tc>
        <w:tc>
          <w:tcPr>
            <w:tcW w:type="dxa" w:w="2592"/>
            <w:shd w:val="clear" w:color="auto" w:fill="2C3E6B"/>
          </w:tcPr>
          <w:p>
            <w:pPr>
              <w:spacing w:before="60" w:after="60"/>
            </w:pPr>
            <w:r>
              <w:rPr>
                <w:b/>
                <w:color w:val="FFFFFF"/>
                <w:sz w:val="19"/>
              </w:rPr>
              <w:t>Assumed default rate</w:t>
            </w:r>
          </w:p>
        </w:tc>
      </w:tr>
      <w:tr>
        <w:tc>
          <w:tcPr>
            <w:tcW w:type="dxa" w:w="1872"/>
            <w:shd w:val="clear" w:color="auto" w:fill="FFFFFF"/>
          </w:tcPr>
          <w:p>
            <w:pPr>
              <w:spacing w:before="40" w:after="40"/>
            </w:pPr>
            <w:r>
              <w:rPr>
                <w:color w:val="333333"/>
                <w:sz w:val="19"/>
              </w:rPr>
              <w:t>Excellent</w:t>
            </w:r>
          </w:p>
        </w:tc>
        <w:tc>
          <w:tcPr>
            <w:tcW w:type="dxa" w:w="2448"/>
            <w:shd w:val="clear" w:color="auto" w:fill="FFFFFF"/>
          </w:tcPr>
          <w:p>
            <w:pPr>
              <w:spacing w:before="40" w:after="40"/>
            </w:pPr>
            <w:r>
              <w:rPr>
                <w:color w:val="333333"/>
                <w:sz w:val="19"/>
              </w:rPr>
              <w:t>risk_rank ≤ 0.396</w:t>
            </w:r>
          </w:p>
        </w:tc>
        <w:tc>
          <w:tcPr>
            <w:tcW w:type="dxa" w:w="2448"/>
            <w:shd w:val="clear" w:color="auto" w:fill="FFFFFF"/>
          </w:tcPr>
          <w:p>
            <w:pPr>
              <w:spacing w:before="40" w:after="40"/>
            </w:pPr>
            <w:r>
              <w:rPr>
                <w:color w:val="333333"/>
                <w:sz w:val="19"/>
              </w:rPr>
              <w:t>6,246  (20.8%)</w:t>
            </w:r>
          </w:p>
        </w:tc>
        <w:tc>
          <w:tcPr>
            <w:tcW w:type="dxa" w:w="2592"/>
            <w:shd w:val="clear" w:color="auto" w:fill="FFFFFF"/>
          </w:tcPr>
          <w:p>
            <w:pPr>
              <w:spacing w:before="40" w:after="40"/>
            </w:pPr>
            <w:r>
              <w:rPr>
                <w:color w:val="333333"/>
                <w:sz w:val="19"/>
              </w:rPr>
              <w:t>1.0%</w:t>
            </w:r>
          </w:p>
        </w:tc>
      </w:tr>
      <w:tr>
        <w:tc>
          <w:tcPr>
            <w:tcW w:type="dxa" w:w="1872"/>
            <w:shd w:val="clear" w:color="auto" w:fill="F5F5F5"/>
          </w:tcPr>
          <w:p>
            <w:pPr>
              <w:spacing w:before="40" w:after="40"/>
            </w:pPr>
            <w:r>
              <w:rPr>
                <w:color w:val="333333"/>
                <w:sz w:val="19"/>
              </w:rPr>
              <w:t>Good</w:t>
            </w:r>
          </w:p>
        </w:tc>
        <w:tc>
          <w:tcPr>
            <w:tcW w:type="dxa" w:w="2448"/>
            <w:shd w:val="clear" w:color="auto" w:fill="F5F5F5"/>
          </w:tcPr>
          <w:p>
            <w:pPr>
              <w:spacing w:before="40" w:after="40"/>
            </w:pPr>
            <w:r>
              <w:rPr>
                <w:color w:val="333333"/>
                <w:sz w:val="19"/>
              </w:rPr>
              <w:t>risk_rank ≤ 0.499</w:t>
            </w:r>
          </w:p>
        </w:tc>
        <w:tc>
          <w:tcPr>
            <w:tcW w:type="dxa" w:w="2448"/>
            <w:shd w:val="clear" w:color="auto" w:fill="F5F5F5"/>
          </w:tcPr>
          <w:p>
            <w:pPr>
              <w:spacing w:before="40" w:after="40"/>
            </w:pPr>
            <w:r>
              <w:rPr>
                <w:color w:val="333333"/>
                <w:sz w:val="19"/>
              </w:rPr>
              <w:t>8,703  (29.0%)</w:t>
            </w:r>
          </w:p>
        </w:tc>
        <w:tc>
          <w:tcPr>
            <w:tcW w:type="dxa" w:w="2592"/>
            <w:shd w:val="clear" w:color="auto" w:fill="F5F5F5"/>
          </w:tcPr>
          <w:p>
            <w:pPr>
              <w:spacing w:before="40" w:after="40"/>
            </w:pPr>
            <w:r>
              <w:rPr>
                <w:color w:val="333333"/>
                <w:sz w:val="19"/>
              </w:rPr>
              <w:t>2.5%</w:t>
            </w:r>
          </w:p>
        </w:tc>
      </w:tr>
      <w:tr>
        <w:tc>
          <w:tcPr>
            <w:tcW w:type="dxa" w:w="1872"/>
            <w:shd w:val="clear" w:color="auto" w:fill="FFFFFF"/>
          </w:tcPr>
          <w:p>
            <w:pPr>
              <w:spacing w:before="40" w:after="40"/>
            </w:pPr>
            <w:r>
              <w:rPr>
                <w:color w:val="333333"/>
                <w:sz w:val="19"/>
              </w:rPr>
              <w:t>Fair</w:t>
            </w:r>
          </w:p>
        </w:tc>
        <w:tc>
          <w:tcPr>
            <w:tcW w:type="dxa" w:w="2448"/>
            <w:shd w:val="clear" w:color="auto" w:fill="FFFFFF"/>
          </w:tcPr>
          <w:p>
            <w:pPr>
              <w:spacing w:before="40" w:after="40"/>
            </w:pPr>
            <w:r>
              <w:rPr>
                <w:color w:val="333333"/>
                <w:sz w:val="19"/>
              </w:rPr>
              <w:t>risk_rank ≤ 0.603</w:t>
            </w:r>
          </w:p>
        </w:tc>
        <w:tc>
          <w:tcPr>
            <w:tcW w:type="dxa" w:w="2448"/>
            <w:shd w:val="clear" w:color="auto" w:fill="FFFFFF"/>
          </w:tcPr>
          <w:p>
            <w:pPr>
              <w:spacing w:before="40" w:after="40"/>
            </w:pPr>
            <w:r>
              <w:rPr>
                <w:color w:val="333333"/>
                <w:sz w:val="19"/>
              </w:rPr>
              <w:t>8,757  (29.2%)</w:t>
            </w:r>
          </w:p>
        </w:tc>
        <w:tc>
          <w:tcPr>
            <w:tcW w:type="dxa" w:w="2592"/>
            <w:shd w:val="clear" w:color="auto" w:fill="FFFFFF"/>
          </w:tcPr>
          <w:p>
            <w:pPr>
              <w:spacing w:before="40" w:after="40"/>
            </w:pPr>
            <w:r>
              <w:rPr>
                <w:color w:val="333333"/>
                <w:sz w:val="19"/>
              </w:rPr>
              <w:t>7.0%</w:t>
            </w:r>
          </w:p>
        </w:tc>
      </w:tr>
      <w:tr>
        <w:tc>
          <w:tcPr>
            <w:tcW w:type="dxa" w:w="1872"/>
            <w:shd w:val="clear" w:color="auto" w:fill="F5F5F5"/>
          </w:tcPr>
          <w:p>
            <w:pPr>
              <w:spacing w:before="40" w:after="40"/>
            </w:pPr>
            <w:r>
              <w:rPr>
                <w:color w:val="333333"/>
                <w:sz w:val="19"/>
              </w:rPr>
              <w:t>Poor</w:t>
            </w:r>
          </w:p>
        </w:tc>
        <w:tc>
          <w:tcPr>
            <w:tcW w:type="dxa" w:w="2448"/>
            <w:shd w:val="clear" w:color="auto" w:fill="F5F5F5"/>
          </w:tcPr>
          <w:p>
            <w:pPr>
              <w:spacing w:before="40" w:after="40"/>
            </w:pPr>
            <w:r>
              <w:rPr>
                <w:color w:val="333333"/>
                <w:sz w:val="19"/>
              </w:rPr>
              <w:t>risk_rank &gt; 0.603</w:t>
            </w:r>
          </w:p>
        </w:tc>
        <w:tc>
          <w:tcPr>
            <w:tcW w:type="dxa" w:w="2448"/>
            <w:shd w:val="clear" w:color="auto" w:fill="F5F5F5"/>
          </w:tcPr>
          <w:p>
            <w:pPr>
              <w:spacing w:before="40" w:after="40"/>
            </w:pPr>
            <w:r>
              <w:rPr>
                <w:color w:val="333333"/>
                <w:sz w:val="19"/>
              </w:rPr>
              <w:t>6,294  (21.0%)</w:t>
            </w:r>
          </w:p>
        </w:tc>
        <w:tc>
          <w:tcPr>
            <w:tcW w:type="dxa" w:w="2592"/>
            <w:shd w:val="clear" w:color="auto" w:fill="F5F5F5"/>
          </w:tcPr>
          <w:p>
            <w:pPr>
              <w:spacing w:before="40" w:after="40"/>
            </w:pPr>
            <w:r>
              <w:rPr>
                <w:color w:val="333333"/>
                <w:sz w:val="19"/>
              </w:rPr>
              <w:t>18.0%</w:t>
            </w:r>
          </w:p>
        </w:tc>
      </w:tr>
    </w:tbl>
    <w:p>
      <w:pPr>
        <w:spacing w:after="80"/>
      </w:pPr>
    </w:p>
    <w:p>
      <w:pPr>
        <w:spacing w:before="40" w:after="160"/>
        <w:ind w:left="288"/>
      </w:pPr>
      <w:r>
        <w:rPr>
          <w:i/>
          <w:color w:val="666666"/>
          <w:sz w:val="19"/>
        </w:rPr>
        <w:t>Note: The base default rates (1%, 2.5%, 7%, 18%) are assumed, not observed from this dataset. They're broadly consistent with published FDIC charge-off rates for consumer loans by tier and are used to give the LP risk constraint a numeric value to work with. They should be calibrated to actual observed rates when outcome data becomes available.</w:t>
      </w:r>
    </w:p>
    <w:p>
      <w:pPr>
        <w:spacing w:before="320" w:after="80"/>
      </w:pPr>
      <w:r>
        <w:rPr>
          <w:b/>
          <w:color w:val="1A1A2E"/>
          <w:sz w:val="24"/>
        </w:rPr>
        <w:t>Where the portfolio is heading (Markov chain)</w:t>
      </w:r>
    </w:p>
    <w:p>
      <w:pPr>
        <w:spacing w:after="140"/>
      </w:pPr>
      <w:r>
        <w:rPr>
          <w:color w:val="333333"/>
          <w:sz w:val="21"/>
        </w:rPr>
        <w:t>Knowing where customers sit today isn't the whole picture. We also need to know where they're drifting. The Markov chain models how customers move between credit states over time — what fraction of Excellent customers stay Excellent next quarter, what fraction slip to Good, and so on.</w:t>
      </w:r>
    </w:p>
    <w:p>
      <w:pPr>
        <w:spacing w:after="140"/>
      </w:pPr>
      <w:r>
        <w:rPr>
          <w:color w:val="333333"/>
          <w:sz w:val="21"/>
        </w:rPr>
        <w:t>The transition matrix below shows 90-day movement probabilities. The strong diagonal (0.75–0.86) confirms what you'd expect: credit states are persistent. Most customers stay where they are from one period to the next.</w:t>
      </w:r>
    </w:p>
    <w:tbl>
      <w:tblPr>
        <w:tblStyle w:val="TableGrid"/>
        <w:tblW w:type="auto" w:w="0"/>
        <w:jc w:val="left"/>
        <w:tblLook w:firstColumn="1" w:firstRow="1" w:lastColumn="0" w:lastRow="0" w:noHBand="0" w:noVBand="1" w:val="04A0"/>
      </w:tblPr>
      <w:tblGrid>
        <w:gridCol w:w="1768"/>
        <w:gridCol w:w="1768"/>
        <w:gridCol w:w="1768"/>
        <w:gridCol w:w="1768"/>
        <w:gridCol w:w="1768"/>
      </w:tblGrid>
      <w:tr>
        <w:tc>
          <w:tcPr>
            <w:tcW w:type="dxa" w:w="2160"/>
            <w:shd w:val="clear" w:color="auto" w:fill="2C3E6B"/>
          </w:tcPr>
          <w:p>
            <w:pPr>
              <w:spacing w:before="60" w:after="60"/>
            </w:pPr>
            <w:r>
              <w:rPr>
                <w:b/>
                <w:color w:val="FFFFFF"/>
                <w:sz w:val="19"/>
              </w:rPr>
              <w:t>From \ To</w:t>
            </w:r>
          </w:p>
        </w:tc>
        <w:tc>
          <w:tcPr>
            <w:tcW w:type="dxa" w:w="1872"/>
            <w:shd w:val="clear" w:color="auto" w:fill="2C3E6B"/>
          </w:tcPr>
          <w:p>
            <w:pPr>
              <w:spacing w:before="60" w:after="60"/>
            </w:pPr>
            <w:r>
              <w:rPr>
                <w:b/>
                <w:color w:val="FFFFFF"/>
                <w:sz w:val="19"/>
              </w:rPr>
              <w:t>Excellent</w:t>
            </w:r>
          </w:p>
        </w:tc>
        <w:tc>
          <w:tcPr>
            <w:tcW w:type="dxa" w:w="1872"/>
            <w:shd w:val="clear" w:color="auto" w:fill="2C3E6B"/>
          </w:tcPr>
          <w:p>
            <w:pPr>
              <w:spacing w:before="60" w:after="60"/>
            </w:pPr>
            <w:r>
              <w:rPr>
                <w:b/>
                <w:color w:val="FFFFFF"/>
                <w:sz w:val="19"/>
              </w:rPr>
              <w:t>Good</w:t>
            </w:r>
          </w:p>
        </w:tc>
        <w:tc>
          <w:tcPr>
            <w:tcW w:type="dxa" w:w="1872"/>
            <w:shd w:val="clear" w:color="auto" w:fill="2C3E6B"/>
          </w:tcPr>
          <w:p>
            <w:pPr>
              <w:spacing w:before="60" w:after="60"/>
            </w:pPr>
            <w:r>
              <w:rPr>
                <w:b/>
                <w:color w:val="FFFFFF"/>
                <w:sz w:val="19"/>
              </w:rPr>
              <w:t>Fair</w:t>
            </w:r>
          </w:p>
        </w:tc>
        <w:tc>
          <w:tcPr>
            <w:tcW w:type="dxa" w:w="1872"/>
            <w:shd w:val="clear" w:color="auto" w:fill="2C3E6B"/>
          </w:tcPr>
          <w:p>
            <w:pPr>
              <w:spacing w:before="60" w:after="60"/>
            </w:pPr>
            <w:r>
              <w:rPr>
                <w:b/>
                <w:color w:val="FFFFFF"/>
                <w:sz w:val="19"/>
              </w:rPr>
              <w:t>Poor</w:t>
            </w:r>
          </w:p>
        </w:tc>
      </w:tr>
      <w:tr>
        <w:tc>
          <w:tcPr>
            <w:tcW w:type="dxa" w:w="2160"/>
            <w:shd w:val="clear" w:color="auto" w:fill="FFFFFF"/>
          </w:tcPr>
          <w:p>
            <w:pPr>
              <w:spacing w:before="40" w:after="40"/>
            </w:pPr>
            <w:r>
              <w:rPr>
                <w:color w:val="333333"/>
                <w:sz w:val="19"/>
              </w:rPr>
              <w:t>Excellent</w:t>
            </w:r>
          </w:p>
        </w:tc>
        <w:tc>
          <w:tcPr>
            <w:tcW w:type="dxa" w:w="1872"/>
            <w:shd w:val="clear" w:color="auto" w:fill="FFFFFF"/>
          </w:tcPr>
          <w:p>
            <w:pPr>
              <w:spacing w:before="40" w:after="40"/>
            </w:pPr>
            <w:r>
              <w:rPr>
                <w:color w:val="333333"/>
                <w:sz w:val="19"/>
              </w:rPr>
              <w:t>0.850</w:t>
            </w:r>
          </w:p>
        </w:tc>
        <w:tc>
          <w:tcPr>
            <w:tcW w:type="dxa" w:w="1872"/>
            <w:shd w:val="clear" w:color="auto" w:fill="FFFFFF"/>
          </w:tcPr>
          <w:p>
            <w:pPr>
              <w:spacing w:before="40" w:after="40"/>
            </w:pPr>
            <w:r>
              <w:rPr>
                <w:color w:val="333333"/>
                <w:sz w:val="19"/>
              </w:rPr>
              <w:t>0.094</w:t>
            </w:r>
          </w:p>
        </w:tc>
        <w:tc>
          <w:tcPr>
            <w:tcW w:type="dxa" w:w="1872"/>
            <w:shd w:val="clear" w:color="auto" w:fill="FFFFFF"/>
          </w:tcPr>
          <w:p>
            <w:pPr>
              <w:spacing w:before="40" w:after="40"/>
            </w:pPr>
            <w:r>
              <w:rPr>
                <w:color w:val="333333"/>
                <w:sz w:val="19"/>
              </w:rPr>
              <w:t>0.040</w:t>
            </w:r>
          </w:p>
        </w:tc>
        <w:tc>
          <w:tcPr>
            <w:tcW w:type="dxa" w:w="1872"/>
            <w:shd w:val="clear" w:color="auto" w:fill="FFFFFF"/>
          </w:tcPr>
          <w:p>
            <w:pPr>
              <w:spacing w:before="40" w:after="40"/>
            </w:pPr>
            <w:r>
              <w:rPr>
                <w:color w:val="333333"/>
                <w:sz w:val="19"/>
              </w:rPr>
              <w:t>0.010</w:t>
            </w:r>
          </w:p>
        </w:tc>
      </w:tr>
      <w:tr>
        <w:tc>
          <w:tcPr>
            <w:tcW w:type="dxa" w:w="2160"/>
            <w:shd w:val="clear" w:color="auto" w:fill="F5F5F5"/>
          </w:tcPr>
          <w:p>
            <w:pPr>
              <w:spacing w:before="40" w:after="40"/>
            </w:pPr>
            <w:r>
              <w:rPr>
                <w:color w:val="333333"/>
                <w:sz w:val="19"/>
              </w:rPr>
              <w:t>Good</w:t>
            </w:r>
          </w:p>
        </w:tc>
        <w:tc>
          <w:tcPr>
            <w:tcW w:type="dxa" w:w="1872"/>
            <w:shd w:val="clear" w:color="auto" w:fill="F5F5F5"/>
          </w:tcPr>
          <w:p>
            <w:pPr>
              <w:spacing w:before="40" w:after="40"/>
            </w:pPr>
            <w:r>
              <w:rPr>
                <w:color w:val="333333"/>
                <w:sz w:val="19"/>
              </w:rPr>
              <w:t>0.051</w:t>
            </w:r>
          </w:p>
        </w:tc>
        <w:tc>
          <w:tcPr>
            <w:tcW w:type="dxa" w:w="1872"/>
            <w:shd w:val="clear" w:color="auto" w:fill="F5F5F5"/>
          </w:tcPr>
          <w:p>
            <w:pPr>
              <w:spacing w:before="40" w:after="40"/>
            </w:pPr>
            <w:r>
              <w:rPr>
                <w:color w:val="333333"/>
                <w:sz w:val="19"/>
              </w:rPr>
              <w:t>0.800</w:t>
            </w:r>
          </w:p>
        </w:tc>
        <w:tc>
          <w:tcPr>
            <w:tcW w:type="dxa" w:w="1872"/>
            <w:shd w:val="clear" w:color="auto" w:fill="F5F5F5"/>
          </w:tcPr>
          <w:p>
            <w:pPr>
              <w:spacing w:before="40" w:after="40"/>
            </w:pPr>
            <w:r>
              <w:rPr>
                <w:color w:val="333333"/>
                <w:sz w:val="19"/>
              </w:rPr>
              <w:t>0.117</w:t>
            </w:r>
          </w:p>
        </w:tc>
        <w:tc>
          <w:tcPr>
            <w:tcW w:type="dxa" w:w="1872"/>
            <w:shd w:val="clear" w:color="auto" w:fill="F5F5F5"/>
          </w:tcPr>
          <w:p>
            <w:pPr>
              <w:spacing w:before="40" w:after="40"/>
            </w:pPr>
            <w:r>
              <w:rPr>
                <w:color w:val="333333"/>
                <w:sz w:val="19"/>
              </w:rPr>
              <w:t>0.033</w:t>
            </w:r>
          </w:p>
        </w:tc>
      </w:tr>
      <w:tr>
        <w:tc>
          <w:tcPr>
            <w:tcW w:type="dxa" w:w="2160"/>
            <w:shd w:val="clear" w:color="auto" w:fill="FFFFFF"/>
          </w:tcPr>
          <w:p>
            <w:pPr>
              <w:spacing w:before="40" w:after="40"/>
            </w:pPr>
            <w:r>
              <w:rPr>
                <w:color w:val="333333"/>
                <w:sz w:val="19"/>
              </w:rPr>
              <w:t>Fair</w:t>
            </w:r>
          </w:p>
        </w:tc>
        <w:tc>
          <w:tcPr>
            <w:tcW w:type="dxa" w:w="1872"/>
            <w:shd w:val="clear" w:color="auto" w:fill="FFFFFF"/>
          </w:tcPr>
          <w:p>
            <w:pPr>
              <w:spacing w:before="40" w:after="40"/>
            </w:pPr>
            <w:r>
              <w:rPr>
                <w:color w:val="333333"/>
                <w:sz w:val="19"/>
              </w:rPr>
              <w:t>0.019</w:t>
            </w:r>
          </w:p>
        </w:tc>
        <w:tc>
          <w:tcPr>
            <w:tcW w:type="dxa" w:w="1872"/>
            <w:shd w:val="clear" w:color="auto" w:fill="FFFFFF"/>
          </w:tcPr>
          <w:p>
            <w:pPr>
              <w:spacing w:before="40" w:after="40"/>
            </w:pPr>
            <w:r>
              <w:rPr>
                <w:color w:val="333333"/>
                <w:sz w:val="19"/>
              </w:rPr>
              <w:t>0.102</w:t>
            </w:r>
          </w:p>
        </w:tc>
        <w:tc>
          <w:tcPr>
            <w:tcW w:type="dxa" w:w="1872"/>
            <w:shd w:val="clear" w:color="auto" w:fill="FFFFFF"/>
          </w:tcPr>
          <w:p>
            <w:pPr>
              <w:spacing w:before="40" w:after="40"/>
            </w:pPr>
            <w:r>
              <w:rPr>
                <w:color w:val="333333"/>
                <w:sz w:val="19"/>
              </w:rPr>
              <w:t>0.751</w:t>
            </w:r>
          </w:p>
        </w:tc>
        <w:tc>
          <w:tcPr>
            <w:tcW w:type="dxa" w:w="1872"/>
            <w:shd w:val="clear" w:color="auto" w:fill="FFFFFF"/>
          </w:tcPr>
          <w:p>
            <w:pPr>
              <w:spacing w:before="40" w:after="40"/>
            </w:pPr>
            <w:r>
              <w:rPr>
                <w:color w:val="333333"/>
                <w:sz w:val="19"/>
              </w:rPr>
              <w:t>0.129</w:t>
            </w:r>
          </w:p>
        </w:tc>
      </w:tr>
      <w:tr>
        <w:tc>
          <w:tcPr>
            <w:tcW w:type="dxa" w:w="2160"/>
            <w:shd w:val="clear" w:color="auto" w:fill="F5F5F5"/>
          </w:tcPr>
          <w:p>
            <w:pPr>
              <w:spacing w:before="40" w:after="40"/>
            </w:pPr>
            <w:r>
              <w:rPr>
                <w:color w:val="333333"/>
                <w:sz w:val="19"/>
              </w:rPr>
              <w:t>Poor</w:t>
            </w:r>
          </w:p>
        </w:tc>
        <w:tc>
          <w:tcPr>
            <w:tcW w:type="dxa" w:w="1872"/>
            <w:shd w:val="clear" w:color="auto" w:fill="F5F5F5"/>
          </w:tcPr>
          <w:p>
            <w:pPr>
              <w:spacing w:before="40" w:after="40"/>
            </w:pPr>
            <w:r>
              <w:rPr>
                <w:color w:val="333333"/>
                <w:sz w:val="19"/>
              </w:rPr>
              <w:t>0.007</w:t>
            </w:r>
          </w:p>
        </w:tc>
        <w:tc>
          <w:tcPr>
            <w:tcW w:type="dxa" w:w="1872"/>
            <w:shd w:val="clear" w:color="auto" w:fill="F5F5F5"/>
          </w:tcPr>
          <w:p>
            <w:pPr>
              <w:spacing w:before="40" w:after="40"/>
            </w:pPr>
            <w:r>
              <w:rPr>
                <w:color w:val="333333"/>
                <w:sz w:val="19"/>
              </w:rPr>
              <w:t>0.049</w:t>
            </w:r>
          </w:p>
        </w:tc>
        <w:tc>
          <w:tcPr>
            <w:tcW w:type="dxa" w:w="1872"/>
            <w:shd w:val="clear" w:color="auto" w:fill="F5F5F5"/>
          </w:tcPr>
          <w:p>
            <w:pPr>
              <w:spacing w:before="40" w:after="40"/>
            </w:pPr>
            <w:r>
              <w:rPr>
                <w:color w:val="333333"/>
                <w:sz w:val="19"/>
              </w:rPr>
              <w:t>0.194</w:t>
            </w:r>
          </w:p>
        </w:tc>
        <w:tc>
          <w:tcPr>
            <w:tcW w:type="dxa" w:w="1872"/>
            <w:shd w:val="clear" w:color="auto" w:fill="F5F5F5"/>
          </w:tcPr>
          <w:p>
            <w:pPr>
              <w:spacing w:before="40" w:after="40"/>
            </w:pPr>
            <w:r>
              <w:rPr>
                <w:color w:val="333333"/>
                <w:sz w:val="19"/>
              </w:rPr>
              <w:t>0.747</w:t>
            </w:r>
          </w:p>
        </w:tc>
      </w:tr>
    </w:tbl>
    <w:p>
      <w:pPr>
        <w:spacing w:after="80"/>
      </w:pPr>
    </w:p>
    <w:p>
      <w:pPr>
        <w:spacing w:after="140"/>
      </w:pPr>
      <w:r>
        <w:rPr>
          <w:color w:val="333333"/>
          <w:sz w:val="21"/>
        </w:rPr>
        <w:t>The more strategically interesting output is the steady-state — the long-run equilibrium if customers keep transitioning this way with no intervention:</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1872"/>
            <w:shd w:val="clear" w:color="auto" w:fill="2C3E6B"/>
          </w:tcPr>
          <w:p>
            <w:pPr>
              <w:spacing w:before="60" w:after="60"/>
            </w:pPr>
            <w:r>
              <w:rPr>
                <w:b/>
                <w:color w:val="FFFFFF"/>
                <w:sz w:val="19"/>
              </w:rPr>
              <w:t>State</w:t>
            </w:r>
          </w:p>
        </w:tc>
        <w:tc>
          <w:tcPr>
            <w:tcW w:type="dxa" w:w="1872"/>
            <w:shd w:val="clear" w:color="auto" w:fill="2C3E6B"/>
          </w:tcPr>
          <w:p>
            <w:pPr>
              <w:spacing w:before="60" w:after="60"/>
            </w:pPr>
            <w:r>
              <w:rPr>
                <w:b/>
                <w:color w:val="FFFFFF"/>
                <w:sz w:val="19"/>
              </w:rPr>
              <w:t>Today</w:t>
            </w:r>
          </w:p>
        </w:tc>
        <w:tc>
          <w:tcPr>
            <w:tcW w:type="dxa" w:w="3168"/>
            <w:shd w:val="clear" w:color="auto" w:fill="2C3E6B"/>
          </w:tcPr>
          <w:p>
            <w:pPr>
              <w:spacing w:before="60" w:after="60"/>
            </w:pPr>
            <w:r>
              <w:rPr>
                <w:b/>
                <w:color w:val="FFFFFF"/>
                <w:sz w:val="19"/>
              </w:rPr>
              <w:t>Long-run (no action)</w:t>
            </w:r>
          </w:p>
        </w:tc>
        <w:tc>
          <w:tcPr>
            <w:tcW w:type="dxa" w:w="2448"/>
            <w:shd w:val="clear" w:color="auto" w:fill="2C3E6B"/>
          </w:tcPr>
          <w:p>
            <w:pPr>
              <w:spacing w:before="60" w:after="60"/>
            </w:pPr>
            <w:r>
              <w:rPr>
                <w:b/>
                <w:color w:val="FFFFFF"/>
                <w:sz w:val="19"/>
              </w:rPr>
              <w:t>Direction</w:t>
            </w:r>
          </w:p>
        </w:tc>
      </w:tr>
      <w:tr>
        <w:tc>
          <w:tcPr>
            <w:tcW w:type="dxa" w:w="1872"/>
            <w:shd w:val="clear" w:color="auto" w:fill="FFFFFF"/>
          </w:tcPr>
          <w:p>
            <w:pPr>
              <w:spacing w:before="40" w:after="40"/>
            </w:pPr>
            <w:r>
              <w:rPr>
                <w:color w:val="333333"/>
                <w:sz w:val="19"/>
              </w:rPr>
              <w:t>Excellent</w:t>
            </w:r>
          </w:p>
        </w:tc>
        <w:tc>
          <w:tcPr>
            <w:tcW w:type="dxa" w:w="1872"/>
            <w:shd w:val="clear" w:color="auto" w:fill="FFFFFF"/>
          </w:tcPr>
          <w:p>
            <w:pPr>
              <w:spacing w:before="40" w:after="40"/>
            </w:pPr>
            <w:r>
              <w:rPr>
                <w:color w:val="333333"/>
                <w:sz w:val="19"/>
              </w:rPr>
              <w:t>20.8%</w:t>
            </w:r>
          </w:p>
        </w:tc>
        <w:tc>
          <w:tcPr>
            <w:tcW w:type="dxa" w:w="3168"/>
            <w:shd w:val="clear" w:color="auto" w:fill="FFFFFF"/>
          </w:tcPr>
          <w:p>
            <w:pPr>
              <w:spacing w:before="40" w:after="40"/>
            </w:pPr>
            <w:r>
              <w:rPr>
                <w:color w:val="333333"/>
                <w:sz w:val="19"/>
              </w:rPr>
              <w:t>15.3%</w:t>
            </w:r>
          </w:p>
        </w:tc>
        <w:tc>
          <w:tcPr>
            <w:tcW w:type="dxa" w:w="2448"/>
            <w:shd w:val="clear" w:color="auto" w:fill="FFFFFF"/>
          </w:tcPr>
          <w:p>
            <w:pPr>
              <w:spacing w:before="40" w:after="40"/>
            </w:pPr>
            <w:r>
              <w:rPr>
                <w:color w:val="333333"/>
                <w:sz w:val="19"/>
              </w:rPr>
              <w:t>↓ losing ground</w:t>
            </w:r>
          </w:p>
        </w:tc>
      </w:tr>
      <w:tr>
        <w:tc>
          <w:tcPr>
            <w:tcW w:type="dxa" w:w="1872"/>
            <w:shd w:val="clear" w:color="auto" w:fill="F5F5F5"/>
          </w:tcPr>
          <w:p>
            <w:pPr>
              <w:spacing w:before="40" w:after="40"/>
            </w:pPr>
            <w:r>
              <w:rPr>
                <w:color w:val="333333"/>
                <w:sz w:val="19"/>
              </w:rPr>
              <w:t>Good</w:t>
            </w:r>
          </w:p>
        </w:tc>
        <w:tc>
          <w:tcPr>
            <w:tcW w:type="dxa" w:w="1872"/>
            <w:shd w:val="clear" w:color="auto" w:fill="F5F5F5"/>
          </w:tcPr>
          <w:p>
            <w:pPr>
              <w:spacing w:before="40" w:after="40"/>
            </w:pPr>
            <w:r>
              <w:rPr>
                <w:color w:val="333333"/>
                <w:sz w:val="19"/>
              </w:rPr>
              <w:t>29.0%</w:t>
            </w:r>
          </w:p>
        </w:tc>
        <w:tc>
          <w:tcPr>
            <w:tcW w:type="dxa" w:w="3168"/>
            <w:shd w:val="clear" w:color="auto" w:fill="F5F5F5"/>
          </w:tcPr>
          <w:p>
            <w:pPr>
              <w:spacing w:before="40" w:after="40"/>
            </w:pPr>
            <w:r>
              <w:rPr>
                <w:color w:val="333333"/>
                <w:sz w:val="19"/>
              </w:rPr>
              <w:t>29.6%</w:t>
            </w:r>
          </w:p>
        </w:tc>
        <w:tc>
          <w:tcPr>
            <w:tcW w:type="dxa" w:w="2448"/>
            <w:shd w:val="clear" w:color="auto" w:fill="F5F5F5"/>
          </w:tcPr>
          <w:p>
            <w:pPr>
              <w:spacing w:before="40" w:after="40"/>
            </w:pPr>
            <w:r>
              <w:rPr>
                <w:color w:val="333333"/>
                <w:sz w:val="19"/>
              </w:rPr>
              <w:t>→ roughly stable</w:t>
            </w:r>
          </w:p>
        </w:tc>
      </w:tr>
      <w:tr>
        <w:tc>
          <w:tcPr>
            <w:tcW w:type="dxa" w:w="1872"/>
            <w:shd w:val="clear" w:color="auto" w:fill="FFFFFF"/>
          </w:tcPr>
          <w:p>
            <w:pPr>
              <w:spacing w:before="40" w:after="40"/>
            </w:pPr>
            <w:r>
              <w:rPr>
                <w:color w:val="333333"/>
                <w:sz w:val="19"/>
              </w:rPr>
              <w:t>Fair</w:t>
            </w:r>
          </w:p>
        </w:tc>
        <w:tc>
          <w:tcPr>
            <w:tcW w:type="dxa" w:w="1872"/>
            <w:shd w:val="clear" w:color="auto" w:fill="FFFFFF"/>
          </w:tcPr>
          <w:p>
            <w:pPr>
              <w:spacing w:before="40" w:after="40"/>
            </w:pPr>
            <w:r>
              <w:rPr>
                <w:color w:val="333333"/>
                <w:sz w:val="19"/>
              </w:rPr>
              <w:t>29.2%</w:t>
            </w:r>
          </w:p>
        </w:tc>
        <w:tc>
          <w:tcPr>
            <w:tcW w:type="dxa" w:w="3168"/>
            <w:shd w:val="clear" w:color="auto" w:fill="FFFFFF"/>
          </w:tcPr>
          <w:p>
            <w:pPr>
              <w:spacing w:before="40" w:after="40"/>
            </w:pPr>
            <w:r>
              <w:rPr>
                <w:color w:val="333333"/>
                <w:sz w:val="19"/>
              </w:rPr>
              <w:t>33.8%</w:t>
            </w:r>
          </w:p>
        </w:tc>
        <w:tc>
          <w:tcPr>
            <w:tcW w:type="dxa" w:w="2448"/>
            <w:shd w:val="clear" w:color="auto" w:fill="FFFFFF"/>
          </w:tcPr>
          <w:p>
            <w:pPr>
              <w:spacing w:before="40" w:after="40"/>
            </w:pPr>
            <w:r>
              <w:rPr>
                <w:color w:val="333333"/>
                <w:sz w:val="19"/>
              </w:rPr>
              <w:t>↑ growing</w:t>
            </w:r>
          </w:p>
        </w:tc>
      </w:tr>
      <w:tr>
        <w:tc>
          <w:tcPr>
            <w:tcW w:type="dxa" w:w="1872"/>
            <w:shd w:val="clear" w:color="auto" w:fill="F5F5F5"/>
          </w:tcPr>
          <w:p>
            <w:pPr>
              <w:spacing w:before="40" w:after="40"/>
            </w:pPr>
            <w:r>
              <w:rPr>
                <w:color w:val="333333"/>
                <w:sz w:val="19"/>
              </w:rPr>
              <w:t>Poor</w:t>
            </w:r>
          </w:p>
        </w:tc>
        <w:tc>
          <w:tcPr>
            <w:tcW w:type="dxa" w:w="1872"/>
            <w:shd w:val="clear" w:color="auto" w:fill="F5F5F5"/>
          </w:tcPr>
          <w:p>
            <w:pPr>
              <w:spacing w:before="40" w:after="40"/>
            </w:pPr>
            <w:r>
              <w:rPr>
                <w:color w:val="333333"/>
                <w:sz w:val="19"/>
              </w:rPr>
              <w:t>21.0%</w:t>
            </w:r>
          </w:p>
        </w:tc>
        <w:tc>
          <w:tcPr>
            <w:tcW w:type="dxa" w:w="3168"/>
            <w:shd w:val="clear" w:color="auto" w:fill="F5F5F5"/>
          </w:tcPr>
          <w:p>
            <w:pPr>
              <w:spacing w:before="40" w:after="40"/>
            </w:pPr>
            <w:r>
              <w:rPr>
                <w:color w:val="333333"/>
                <w:sz w:val="19"/>
              </w:rPr>
              <w:t>21.3%</w:t>
            </w:r>
          </w:p>
        </w:tc>
        <w:tc>
          <w:tcPr>
            <w:tcW w:type="dxa" w:w="2448"/>
            <w:shd w:val="clear" w:color="auto" w:fill="F5F5F5"/>
          </w:tcPr>
          <w:p>
            <w:pPr>
              <w:spacing w:before="40" w:after="40"/>
            </w:pPr>
            <w:r>
              <w:rPr>
                <w:color w:val="333333"/>
                <w:sz w:val="19"/>
              </w:rPr>
              <w:t>→ roughly stable</w:t>
            </w:r>
          </w:p>
        </w:tc>
      </w:tr>
    </w:tbl>
    <w:p>
      <w:pPr>
        <w:spacing w:after="80"/>
      </w:pPr>
    </w:p>
    <w:p>
      <w:pPr>
        <w:spacing w:after="140"/>
      </w:pPr>
      <w:r>
        <w:rPr>
          <w:color w:val="333333"/>
          <w:sz w:val="21"/>
        </w:rPr>
        <w:t>Left alone, the Excellent segment shrinks by 5.5 percentage points and Fair grows to over a third of the portfolio. That's the strategic case for acting now on borderline Good and Fair customers — before more of them drift further into distress.</w:t>
      </w:r>
    </w:p>
    <w:p>
      <w:pPr>
        <w:spacing w:after="140"/>
      </w:pPr>
      <w:r>
        <w:rPr>
          <w:color w:val="333333"/>
          <w:sz w:val="21"/>
        </w:rPr>
        <w:t>The system also runs a feedback loop between the LP and the Markov chain. After the LP recommends increases, we adjust the transition probabilities to reflect that customers receiving larger increases are more likely to hold or improve their state. This revised trajectory feeds back into the risk estimates and the LP re-solves. Four iterations to convergence. The loop lifts the LP objective by roughly $1.3B and brings the long-run Poor fraction down from 21.3% to 17.7%.</w:t>
      </w:r>
    </w:p>
    <w:p>
      <w:pPr>
        <w:spacing w:before="320" w:after="80"/>
      </w:pPr>
      <w:r>
        <w:rPr>
          <w:b/>
          <w:color w:val="1A1A2E"/>
          <w:sz w:val="24"/>
        </w:rPr>
        <w:t>How much of the new limit will customers actually use?</w:t>
      </w:r>
    </w:p>
    <w:p>
      <w:pPr>
        <w:spacing w:after="140"/>
      </w:pPr>
      <w:r>
        <w:rPr>
          <w:color w:val="333333"/>
          <w:sz w:val="21"/>
        </w:rPr>
        <w:t>A limit increase only generates profit if the customer draws on it. The system forecasts the fraction of their (new) limit each customer is expected to use over the following 12 months.</w:t>
      </w:r>
    </w:p>
    <w:p>
      <w:pPr>
        <w:spacing w:after="140"/>
      </w:pPr>
      <w:r>
        <w:rPr>
          <w:color w:val="333333"/>
          <w:sz w:val="21"/>
        </w:rPr>
        <w:t>We use Geometric Brownian Motion — the same stochastic process used in options pricing — with 3,000 Monte Carlo scenarios per credit state cohort. GBM works well here because utilisation is bounded between 0 and 1, and its lognormal structure prevents negative values while allowing the right kind of skew (most customers use a moderate fraction; some use very high proportions).</w:t>
      </w:r>
    </w:p>
    <w:p>
      <w:pPr>
        <w:spacing w:after="140"/>
      </w:pPr>
      <w:r>
        <w:rPr>
          <w:color w:val="333333"/>
          <w:sz w:val="21"/>
        </w:rPr>
        <w:t>Each customer's forecast blends their own historical utilisation (40% weight) with the cohort expectation for their credit state (60% weight):</w:t>
      </w:r>
    </w:p>
    <w:tbl>
      <w:tblPr>
        <w:tblStyle w:val="TableGrid"/>
        <w:tblW w:type="auto" w:w="0"/>
        <w:jc w:val="left"/>
        <w:tblLook w:firstColumn="1" w:firstRow="1" w:lastColumn="0" w:lastRow="0" w:noHBand="0" w:noVBand="1" w:val="04A0"/>
      </w:tblPr>
      <w:tblGrid>
        <w:gridCol w:w="2946"/>
        <w:gridCol w:w="2946"/>
        <w:gridCol w:w="2946"/>
      </w:tblGrid>
      <w:tr>
        <w:tc>
          <w:tcPr>
            <w:tcW w:type="dxa" w:w="2016"/>
            <w:shd w:val="clear" w:color="auto" w:fill="2C3E6B"/>
          </w:tcPr>
          <w:p>
            <w:pPr>
              <w:spacing w:before="60" w:after="60"/>
            </w:pPr>
            <w:r>
              <w:rPr>
                <w:b/>
                <w:color w:val="FFFFFF"/>
                <w:sz w:val="19"/>
              </w:rPr>
              <w:t>State</w:t>
            </w:r>
          </w:p>
        </w:tc>
        <w:tc>
          <w:tcPr>
            <w:tcW w:type="dxa" w:w="3024"/>
            <w:shd w:val="clear" w:color="auto" w:fill="2C3E6B"/>
          </w:tcPr>
          <w:p>
            <w:pPr>
              <w:spacing w:before="60" w:after="60"/>
            </w:pPr>
            <w:r>
              <w:rPr>
                <w:b/>
                <w:color w:val="FFFFFF"/>
                <w:sz w:val="19"/>
              </w:rPr>
              <w:t>Expected utilisation</w:t>
            </w:r>
          </w:p>
        </w:tc>
        <w:tc>
          <w:tcPr>
            <w:tcW w:type="dxa" w:w="2160"/>
            <w:shd w:val="clear" w:color="auto" w:fill="2C3E6B"/>
          </w:tcPr>
          <w:p>
            <w:pPr>
              <w:spacing w:before="60" w:after="60"/>
            </w:pPr>
            <w:r>
              <w:rPr>
                <w:b/>
                <w:color w:val="FFFFFF"/>
                <w:sz w:val="19"/>
              </w:rPr>
              <w:t>Volatility</w:t>
            </w:r>
          </w:p>
        </w:tc>
      </w:tr>
      <w:tr>
        <w:tc>
          <w:tcPr>
            <w:tcW w:type="dxa" w:w="2016"/>
            <w:shd w:val="clear" w:color="auto" w:fill="FFFFFF"/>
          </w:tcPr>
          <w:p>
            <w:pPr>
              <w:spacing w:before="40" w:after="40"/>
            </w:pPr>
            <w:r>
              <w:rPr>
                <w:color w:val="333333"/>
                <w:sz w:val="19"/>
              </w:rPr>
              <w:t>Excellent</w:t>
            </w:r>
          </w:p>
        </w:tc>
        <w:tc>
          <w:tcPr>
            <w:tcW w:type="dxa" w:w="3024"/>
            <w:shd w:val="clear" w:color="auto" w:fill="FFFFFF"/>
          </w:tcPr>
          <w:p>
            <w:pPr>
              <w:spacing w:before="40" w:after="40"/>
            </w:pPr>
            <w:r>
              <w:rPr>
                <w:color w:val="333333"/>
                <w:sz w:val="19"/>
              </w:rPr>
              <w:t>30%</w:t>
            </w:r>
          </w:p>
        </w:tc>
        <w:tc>
          <w:tcPr>
            <w:tcW w:type="dxa" w:w="2160"/>
            <w:shd w:val="clear" w:color="auto" w:fill="FFFFFF"/>
          </w:tcPr>
          <w:p>
            <w:pPr>
              <w:spacing w:before="40" w:after="40"/>
            </w:pPr>
            <w:r>
              <w:rPr>
                <w:color w:val="333333"/>
                <w:sz w:val="19"/>
              </w:rPr>
              <w:t>8%</w:t>
            </w:r>
          </w:p>
        </w:tc>
      </w:tr>
      <w:tr>
        <w:tc>
          <w:tcPr>
            <w:tcW w:type="dxa" w:w="2016"/>
            <w:shd w:val="clear" w:color="auto" w:fill="F5F5F5"/>
          </w:tcPr>
          <w:p>
            <w:pPr>
              <w:spacing w:before="40" w:after="40"/>
            </w:pPr>
            <w:r>
              <w:rPr>
                <w:color w:val="333333"/>
                <w:sz w:val="19"/>
              </w:rPr>
              <w:t>Good</w:t>
            </w:r>
          </w:p>
        </w:tc>
        <w:tc>
          <w:tcPr>
            <w:tcW w:type="dxa" w:w="3024"/>
            <w:shd w:val="clear" w:color="auto" w:fill="F5F5F5"/>
          </w:tcPr>
          <w:p>
            <w:pPr>
              <w:spacing w:before="40" w:after="40"/>
            </w:pPr>
            <w:r>
              <w:rPr>
                <w:color w:val="333333"/>
                <w:sz w:val="19"/>
              </w:rPr>
              <w:t>45%</w:t>
            </w:r>
          </w:p>
        </w:tc>
        <w:tc>
          <w:tcPr>
            <w:tcW w:type="dxa" w:w="2160"/>
            <w:shd w:val="clear" w:color="auto" w:fill="F5F5F5"/>
          </w:tcPr>
          <w:p>
            <w:pPr>
              <w:spacing w:before="40" w:after="40"/>
            </w:pPr>
            <w:r>
              <w:rPr>
                <w:color w:val="333333"/>
                <w:sz w:val="19"/>
              </w:rPr>
              <w:t>10%</w:t>
            </w:r>
          </w:p>
        </w:tc>
      </w:tr>
      <w:tr>
        <w:tc>
          <w:tcPr>
            <w:tcW w:type="dxa" w:w="2016"/>
            <w:shd w:val="clear" w:color="auto" w:fill="FFFFFF"/>
          </w:tcPr>
          <w:p>
            <w:pPr>
              <w:spacing w:before="40" w:after="40"/>
            </w:pPr>
            <w:r>
              <w:rPr>
                <w:color w:val="333333"/>
                <w:sz w:val="19"/>
              </w:rPr>
              <w:t>Fair</w:t>
            </w:r>
          </w:p>
        </w:tc>
        <w:tc>
          <w:tcPr>
            <w:tcW w:type="dxa" w:w="3024"/>
            <w:shd w:val="clear" w:color="auto" w:fill="FFFFFF"/>
          </w:tcPr>
          <w:p>
            <w:pPr>
              <w:spacing w:before="40" w:after="40"/>
            </w:pPr>
            <w:r>
              <w:rPr>
                <w:color w:val="333333"/>
                <w:sz w:val="19"/>
              </w:rPr>
              <w:t>58%</w:t>
            </w:r>
          </w:p>
        </w:tc>
        <w:tc>
          <w:tcPr>
            <w:tcW w:type="dxa" w:w="2160"/>
            <w:shd w:val="clear" w:color="auto" w:fill="FFFFFF"/>
          </w:tcPr>
          <w:p>
            <w:pPr>
              <w:spacing w:before="40" w:after="40"/>
            </w:pPr>
            <w:r>
              <w:rPr>
                <w:color w:val="333333"/>
                <w:sz w:val="19"/>
              </w:rPr>
              <w:t>13%</w:t>
            </w:r>
          </w:p>
        </w:tc>
      </w:tr>
      <w:tr>
        <w:tc>
          <w:tcPr>
            <w:tcW w:type="dxa" w:w="2016"/>
            <w:shd w:val="clear" w:color="auto" w:fill="F5F5F5"/>
          </w:tcPr>
          <w:p>
            <w:pPr>
              <w:spacing w:before="40" w:after="40"/>
            </w:pPr>
            <w:r>
              <w:rPr>
                <w:color w:val="333333"/>
                <w:sz w:val="19"/>
              </w:rPr>
              <w:t>Poor</w:t>
            </w:r>
          </w:p>
        </w:tc>
        <w:tc>
          <w:tcPr>
            <w:tcW w:type="dxa" w:w="3024"/>
            <w:shd w:val="clear" w:color="auto" w:fill="F5F5F5"/>
          </w:tcPr>
          <w:p>
            <w:pPr>
              <w:spacing w:before="40" w:after="40"/>
            </w:pPr>
            <w:r>
              <w:rPr>
                <w:color w:val="333333"/>
                <w:sz w:val="19"/>
              </w:rPr>
              <w:t>70%</w:t>
            </w:r>
          </w:p>
        </w:tc>
        <w:tc>
          <w:tcPr>
            <w:tcW w:type="dxa" w:w="2160"/>
            <w:shd w:val="clear" w:color="auto" w:fill="F5F5F5"/>
          </w:tcPr>
          <w:p>
            <w:pPr>
              <w:spacing w:before="40" w:after="40"/>
            </w:pPr>
            <w:r>
              <w:rPr>
                <w:color w:val="333333"/>
                <w:sz w:val="19"/>
              </w:rPr>
              <w:t>16%</w:t>
            </w:r>
          </w:p>
        </w:tc>
      </w:tr>
    </w:tbl>
    <w:p>
      <w:pPr>
        <w:spacing w:after="80"/>
      </w:pPr>
    </w:p>
    <w:p>
      <w:pPr>
        <w:spacing w:after="140"/>
      </w:pPr>
      <w:r>
        <w:rPr>
          <w:color w:val="333333"/>
          <w:sz w:val="21"/>
        </w:rPr>
        <w:t>Under the Adverse macro scenario, the drift shifts down 3 percentage points and volatility increases 30% — reflecting that customers tend to draw more credit under financial stress while becoming harder to forecast.</w:t>
      </w:r>
    </w:p>
    <w:p>
      <w:pPr>
        <w:spacing w:before="320" w:after="80"/>
      </w:pPr>
      <w:r>
        <w:rPr>
          <w:b/>
          <w:color w:val="1A1A2E"/>
          <w:sz w:val="24"/>
        </w:rPr>
        <w:t>How we estimate profitability</w:t>
      </w:r>
    </w:p>
    <w:p>
      <w:pPr>
        <w:spacing w:after="140"/>
      </w:pPr>
      <w:r>
        <w:rPr>
          <w:color w:val="333333"/>
          <w:sz w:val="21"/>
        </w:rPr>
        <w:t>For each customer, we run 3,000 Monte Carlo draws to estimate how profitable a limit increase would actually be. Each draw:</w:t>
      </w:r>
    </w:p>
    <w:p>
      <w:pPr>
        <w:pStyle w:val="ListBullet"/>
        <w:spacing w:after="80"/>
        <w:ind w:left="288"/>
      </w:pPr>
      <w:r>
        <w:rPr>
          <w:color w:val="333333"/>
          <w:sz w:val="21"/>
        </w:rPr>
        <w:t>Samples a utilisation value from the forecast distribution</w:t>
      </w:r>
    </w:p>
    <w:p>
      <w:pPr>
        <w:pStyle w:val="ListBullet"/>
        <w:spacing w:after="80"/>
        <w:ind w:left="288"/>
      </w:pPr>
      <w:r>
        <w:rPr>
          <w:color w:val="333333"/>
          <w:sz w:val="21"/>
        </w:rPr>
        <w:t>Books $40 revenue — the flat profit per limit increase event specified in the product model</w:t>
      </w:r>
    </w:p>
    <w:p>
      <w:pPr>
        <w:pStyle w:val="ListBullet"/>
        <w:spacing w:after="80"/>
        <w:ind w:left="288"/>
      </w:pPr>
      <w:r>
        <w:rPr>
          <w:color w:val="333333"/>
          <w:sz w:val="21"/>
        </w:rPr>
        <w:t>Adjusts default probability upward for higher utilisation (heavier drawdown signals financial stress)</w:t>
      </w:r>
    </w:p>
    <w:p>
      <w:pPr>
        <w:pStyle w:val="ListBullet"/>
        <w:spacing w:after="80"/>
        <w:ind w:left="288"/>
      </w:pPr>
      <w:r>
        <w:rPr>
          <w:color w:val="333333"/>
          <w:sz w:val="21"/>
        </w:rPr>
        <w:t>If a default occurs, applies a 50% loss given default — standard for unsecured consumer credit</w:t>
      </w:r>
    </w:p>
    <w:p>
      <w:pPr>
        <w:pStyle w:val="ListBullet"/>
        <w:spacing w:after="80"/>
        <w:ind w:left="288"/>
      </w:pPr>
      <w:r>
        <w:rPr>
          <w:color w:val="333333"/>
          <w:sz w:val="21"/>
        </w:rPr>
        <w:t>Discounts all cash flows to present value at 19% annually (per brief specification)</w:t>
      </w:r>
    </w:p>
    <w:p>
      <w:pPr>
        <w:spacing w:after="140"/>
      </w:pPr>
      <w:r>
        <w:rPr>
          <w:color w:val="333333"/>
          <w:sz w:val="21"/>
        </w:rPr>
        <w:t>Averaging across 3,000 draws gives each customer an expected revenue and expected loss. The difference — the profitability score — is divided by their current loan size to express it as a return per dollar of existing exposure. This is what the LP optimises against.</w:t>
      </w:r>
    </w:p>
    <w:p>
      <w:pPr>
        <w:spacing w:before="40" w:after="160"/>
        <w:ind w:left="288"/>
      </w:pPr>
      <w:r>
        <w:rPr>
          <w:i/>
          <w:color w:val="666666"/>
          <w:sz w:val="19"/>
        </w:rPr>
        <w:t>Note: The simulation runs on all 30,000 customers in vectorised NumPy batches of 5,000. Total runtime: approximately 2.4 seconds.</w:t>
      </w:r>
    </w:p>
    <w:p>
      <w:pPr>
        <w:spacing w:before="320" w:after="80"/>
      </w:pPr>
      <w:r>
        <w:rPr>
          <w:b/>
          <w:color w:val="1A1A2E"/>
          <w:sz w:val="24"/>
        </w:rPr>
        <w:t>The optimisation</w:t>
      </w:r>
    </w:p>
    <w:p>
      <w:pPr>
        <w:spacing w:after="140"/>
      </w:pPr>
      <w:r>
        <w:rPr>
          <w:color w:val="333333"/>
          <w:sz w:val="21"/>
        </w:rPr>
        <w:t>The linear programme takes all of this — a profitability rate and default risk estimate for every customer — and finds the set of limit increases that maximises total portfolio profit while satisfying every constraint simultaneously.</w:t>
      </w:r>
    </w:p>
    <w:p>
      <w:pPr>
        <w:spacing w:after="140"/>
      </w:pPr>
      <w:r>
        <w:rPr>
          <w:color w:val="333333"/>
          <w:sz w:val="21"/>
        </w:rPr>
        <w:t>For each of the 30,000 customers, the LP chooses a dollar increase from $0 up to the $50,000 per-customer cap. The portfolio-level constraints are:</w:t>
      </w:r>
    </w:p>
    <w:tbl>
      <w:tblPr>
        <w:tblStyle w:val="TableGrid"/>
        <w:tblW w:type="auto" w:w="0"/>
        <w:jc w:val="left"/>
        <w:tblLook w:firstColumn="1" w:firstRow="1" w:lastColumn="0" w:lastRow="0" w:noHBand="0" w:noVBand="1" w:val="04A0"/>
      </w:tblPr>
      <w:tblGrid>
        <w:gridCol w:w="4419"/>
        <w:gridCol w:w="4419"/>
      </w:tblGrid>
      <w:tr>
        <w:tc>
          <w:tcPr>
            <w:tcW w:type="dxa" w:w="4320"/>
            <w:shd w:val="clear" w:color="auto" w:fill="2C3E6B"/>
          </w:tcPr>
          <w:p>
            <w:pPr>
              <w:spacing w:before="60" w:after="60"/>
            </w:pPr>
            <w:r>
              <w:rPr>
                <w:b/>
                <w:color w:val="FFFFFF"/>
                <w:sz w:val="19"/>
              </w:rPr>
              <w:t>Constraint</w:t>
            </w:r>
          </w:p>
        </w:tc>
        <w:tc>
          <w:tcPr>
            <w:tcW w:type="dxa" w:w="4320"/>
            <w:shd w:val="clear" w:color="auto" w:fill="2C3E6B"/>
          </w:tcPr>
          <w:p>
            <w:pPr>
              <w:spacing w:before="60" w:after="60"/>
            </w:pPr>
            <w:r>
              <w:rPr>
                <w:b/>
                <w:color w:val="FFFFFF"/>
                <w:sz w:val="19"/>
              </w:rPr>
              <w:t>Limit</w:t>
            </w:r>
          </w:p>
        </w:tc>
      </w:tr>
      <w:tr>
        <w:tc>
          <w:tcPr>
            <w:tcW w:type="dxa" w:w="4320"/>
            <w:shd w:val="clear" w:color="auto" w:fill="FFFFFF"/>
          </w:tcPr>
          <w:p>
            <w:pPr>
              <w:spacing w:before="40" w:after="40"/>
            </w:pPr>
            <w:r>
              <w:rPr>
                <w:color w:val="333333"/>
                <w:sz w:val="19"/>
              </w:rPr>
              <w:t>Portfolio weighted default risk</w:t>
            </w:r>
          </w:p>
        </w:tc>
        <w:tc>
          <w:tcPr>
            <w:tcW w:type="dxa" w:w="4320"/>
            <w:shd w:val="clear" w:color="auto" w:fill="FFFFFF"/>
          </w:tcPr>
          <w:p>
            <w:pPr>
              <w:spacing w:before="40" w:after="40"/>
            </w:pPr>
            <w:r>
              <w:rPr>
                <w:color w:val="333333"/>
                <w:sz w:val="19"/>
              </w:rPr>
              <w:t>≤ 5%</w:t>
            </w:r>
          </w:p>
        </w:tc>
      </w:tr>
      <w:tr>
        <w:tc>
          <w:tcPr>
            <w:tcW w:type="dxa" w:w="4320"/>
            <w:shd w:val="clear" w:color="auto" w:fill="F5F5F5"/>
          </w:tcPr>
          <w:p>
            <w:pPr>
              <w:spacing w:before="40" w:after="40"/>
            </w:pPr>
            <w:r>
              <w:rPr>
                <w:color w:val="333333"/>
                <w:sz w:val="19"/>
              </w:rPr>
              <w:t>Total incremental exposure</w:t>
            </w:r>
          </w:p>
        </w:tc>
        <w:tc>
          <w:tcPr>
            <w:tcW w:type="dxa" w:w="4320"/>
            <w:shd w:val="clear" w:color="auto" w:fill="F5F5F5"/>
          </w:tcPr>
          <w:p>
            <w:pPr>
              <w:spacing w:before="40" w:after="40"/>
            </w:pPr>
            <w:r>
              <w:rPr>
                <w:color w:val="333333"/>
                <w:sz w:val="19"/>
              </w:rPr>
              <w:t>≤ $500M</w:t>
            </w:r>
          </w:p>
        </w:tc>
      </w:tr>
      <w:tr>
        <w:tc>
          <w:tcPr>
            <w:tcW w:type="dxa" w:w="4320"/>
            <w:shd w:val="clear" w:color="auto" w:fill="FFFFFF"/>
          </w:tcPr>
          <w:p>
            <w:pPr>
              <w:spacing w:before="40" w:after="40"/>
            </w:pPr>
            <w:r>
              <w:rPr>
                <w:color w:val="333333"/>
                <w:sz w:val="19"/>
              </w:rPr>
              <w:t>Per-customer increase</w:t>
            </w:r>
          </w:p>
        </w:tc>
        <w:tc>
          <w:tcPr>
            <w:tcW w:type="dxa" w:w="4320"/>
            <w:shd w:val="clear" w:color="auto" w:fill="FFFFFF"/>
          </w:tcPr>
          <w:p>
            <w:pPr>
              <w:spacing w:before="40" w:after="40"/>
            </w:pPr>
            <w:r>
              <w:rPr>
                <w:color w:val="333333"/>
                <w:sz w:val="19"/>
              </w:rPr>
              <w:t>≤ $50,000</w:t>
            </w:r>
          </w:p>
        </w:tc>
      </w:tr>
      <w:tr>
        <w:tc>
          <w:tcPr>
            <w:tcW w:type="dxa" w:w="4320"/>
            <w:shd w:val="clear" w:color="auto" w:fill="F5F5F5"/>
          </w:tcPr>
          <w:p>
            <w:pPr>
              <w:spacing w:before="40" w:after="40"/>
            </w:pPr>
            <w:r>
              <w:rPr>
                <w:color w:val="333333"/>
                <w:sz w:val="19"/>
              </w:rPr>
              <w:t>Minimum portfolio profit</w:t>
            </w:r>
          </w:p>
        </w:tc>
        <w:tc>
          <w:tcPr>
            <w:tcW w:type="dxa" w:w="4320"/>
            <w:shd w:val="clear" w:color="auto" w:fill="F5F5F5"/>
          </w:tcPr>
          <w:p>
            <w:pPr>
              <w:spacing w:before="40" w:after="40"/>
            </w:pPr>
            <w:r>
              <w:rPr>
                <w:color w:val="333333"/>
                <w:sz w:val="19"/>
              </w:rPr>
              <w:t>≥ $1M</w:t>
            </w:r>
          </w:p>
        </w:tc>
      </w:tr>
      <w:tr>
        <w:tc>
          <w:tcPr>
            <w:tcW w:type="dxa" w:w="4320"/>
            <w:shd w:val="clear" w:color="auto" w:fill="FFFFFF"/>
          </w:tcPr>
          <w:p>
            <w:pPr>
              <w:spacing w:before="40" w:after="40"/>
            </w:pPr>
            <w:r>
              <w:rPr>
                <w:color w:val="333333"/>
                <w:sz w:val="19"/>
              </w:rPr>
              <w:t>All increases</w:t>
            </w:r>
          </w:p>
        </w:tc>
        <w:tc>
          <w:tcPr>
            <w:tcW w:type="dxa" w:w="4320"/>
            <w:shd w:val="clear" w:color="auto" w:fill="FFFFFF"/>
          </w:tcPr>
          <w:p>
            <w:pPr>
              <w:spacing w:before="40" w:after="40"/>
            </w:pPr>
            <w:r>
              <w:rPr>
                <w:color w:val="333333"/>
                <w:sz w:val="19"/>
              </w:rPr>
              <w:t>≥ $0  (no decreases)</w:t>
            </w:r>
          </w:p>
        </w:tc>
      </w:tr>
    </w:tbl>
    <w:p>
      <w:pPr>
        <w:spacing w:after="80"/>
      </w:pPr>
    </w:p>
    <w:p>
      <w:pPr>
        <w:spacing w:after="140"/>
      </w:pPr>
      <w:r>
        <w:rPr>
          <w:color w:val="333333"/>
          <w:sz w:val="21"/>
        </w:rPr>
        <w:t>The risk constraint is expressed as a weighted average: sum of (customer default risk × recommended limit) divided by total portfolio limit must be ≤ 5%. Customers below 5% create headroom; those above consume it. The LP automatically balances the two. It's solved by HiGHS — a state-of-the-art open-source LP solver — in about 1.6 seconds.</w:t>
      </w:r>
    </w:p>
    <w:p>
      <w:pPr>
        <w:spacing w:after="140"/>
      </w:pPr>
      <w:r>
        <w:rPr>
          <w:color w:val="333333"/>
          <w:sz w:val="21"/>
        </w:rPr>
        <w:t>Why LP over a scoring-and-ranking approach? Because ranking customers independently and approving the top N until the budget runs out cannot satisfy a joint constraint. You might approve a thousand individually-acceptable customers whose combined risk sits above 5%. The LP considers all 30,000 decisions together and finds the combination that actually works.</w:t>
      </w:r>
    </w:p>
    <w:p>
      <w:pPr>
        <w:spacing w:before="320" w:after="80"/>
      </w:pPr>
      <w:r>
        <w:rPr>
          <w:b/>
          <w:color w:val="1A1A2E"/>
          <w:sz w:val="24"/>
        </w:rPr>
        <w:t>What happens under different economic conditions?</w:t>
      </w:r>
    </w:p>
    <w:p>
      <w:pPr>
        <w:spacing w:after="140"/>
      </w:pPr>
      <w:r>
        <w:rPr>
          <w:color w:val="333333"/>
          <w:sz w:val="21"/>
        </w:rPr>
        <w:t>We re-run the full pipeline under each of the three macro scenarios — adjusting utilisation forecasts, default risk multipliers, and the portfolio risk cap:</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3744"/>
            <w:shd w:val="clear" w:color="auto" w:fill="2C3E6B"/>
          </w:tcPr>
          <w:p>
            <w:pPr>
              <w:spacing w:before="60" w:after="60"/>
            </w:pPr>
            <w:r>
              <w:rPr>
                <w:b/>
                <w:color w:val="FFFFFF"/>
                <w:sz w:val="19"/>
              </w:rPr>
              <w:t>Scenario</w:t>
            </w:r>
          </w:p>
        </w:tc>
        <w:tc>
          <w:tcPr>
            <w:tcW w:type="dxa" w:w="2448"/>
            <w:shd w:val="clear" w:color="auto" w:fill="2C3E6B"/>
          </w:tcPr>
          <w:p>
            <w:pPr>
              <w:spacing w:before="60" w:after="60"/>
            </w:pPr>
            <w:r>
              <w:rPr>
                <w:b/>
                <w:color w:val="FFFFFF"/>
                <w:sz w:val="19"/>
              </w:rPr>
              <w:t>Default risk adj.</w:t>
            </w:r>
          </w:p>
        </w:tc>
        <w:tc>
          <w:tcPr>
            <w:tcW w:type="dxa" w:w="1728"/>
            <w:shd w:val="clear" w:color="auto" w:fill="2C3E6B"/>
          </w:tcPr>
          <w:p>
            <w:pPr>
              <w:spacing w:before="60" w:after="60"/>
            </w:pPr>
            <w:r>
              <w:rPr>
                <w:b/>
                <w:color w:val="FFFFFF"/>
                <w:sz w:val="19"/>
              </w:rPr>
              <w:t>Risk cap</w:t>
            </w:r>
          </w:p>
        </w:tc>
        <w:tc>
          <w:tcPr>
            <w:tcW w:type="dxa" w:w="2880"/>
            <w:shd w:val="clear" w:color="auto" w:fill="2C3E6B"/>
          </w:tcPr>
          <w:p>
            <w:pPr>
              <w:spacing w:before="60" w:after="60"/>
            </w:pPr>
            <w:r>
              <w:rPr>
                <w:b/>
                <w:color w:val="FFFFFF"/>
                <w:sz w:val="19"/>
              </w:rPr>
              <w:t>Approx. customers increased</w:t>
            </w:r>
          </w:p>
        </w:tc>
      </w:tr>
      <w:tr>
        <w:tc>
          <w:tcPr>
            <w:tcW w:type="dxa" w:w="3744"/>
            <w:shd w:val="clear" w:color="auto" w:fill="FFFFFF"/>
          </w:tcPr>
          <w:p>
            <w:pPr>
              <w:spacing w:before="40" w:after="40"/>
            </w:pPr>
            <w:r>
              <w:rPr>
                <w:color w:val="333333"/>
                <w:sz w:val="19"/>
              </w:rPr>
              <w:t>Optimistic  (GDP 3.5%, UE 3.5%)</w:t>
            </w:r>
          </w:p>
        </w:tc>
        <w:tc>
          <w:tcPr>
            <w:tcW w:type="dxa" w:w="2448"/>
            <w:shd w:val="clear" w:color="auto" w:fill="FFFFFF"/>
          </w:tcPr>
          <w:p>
            <w:pPr>
              <w:spacing w:before="40" w:after="40"/>
            </w:pPr>
            <w:r>
              <w:rPr>
                <w:color w:val="333333"/>
                <w:sz w:val="19"/>
              </w:rPr>
              <w:t>× 0.80  (lower)</w:t>
            </w:r>
          </w:p>
        </w:tc>
        <w:tc>
          <w:tcPr>
            <w:tcW w:type="dxa" w:w="1728"/>
            <w:shd w:val="clear" w:color="auto" w:fill="FFFFFF"/>
          </w:tcPr>
          <w:p>
            <w:pPr>
              <w:spacing w:before="40" w:after="40"/>
            </w:pPr>
            <w:r>
              <w:rPr>
                <w:color w:val="333333"/>
                <w:sz w:val="19"/>
              </w:rPr>
              <w:t>5.5%</w:t>
            </w:r>
          </w:p>
        </w:tc>
        <w:tc>
          <w:tcPr>
            <w:tcW w:type="dxa" w:w="2880"/>
            <w:shd w:val="clear" w:color="auto" w:fill="FFFFFF"/>
          </w:tcPr>
          <w:p>
            <w:pPr>
              <w:spacing w:before="40" w:after="40"/>
            </w:pPr>
            <w:r>
              <w:rPr>
                <w:color w:val="333333"/>
                <w:sz w:val="19"/>
              </w:rPr>
              <w:t>~27,500</w:t>
            </w:r>
          </w:p>
        </w:tc>
      </w:tr>
      <w:tr>
        <w:tc>
          <w:tcPr>
            <w:tcW w:type="dxa" w:w="3744"/>
            <w:shd w:val="clear" w:color="auto" w:fill="F5F5F5"/>
          </w:tcPr>
          <w:p>
            <w:pPr>
              <w:spacing w:before="40" w:after="40"/>
            </w:pPr>
            <w:r>
              <w:rPr>
                <w:color w:val="333333"/>
                <w:sz w:val="19"/>
              </w:rPr>
              <w:t>Baseline    (GDP 2.5%, UE 4.0%)</w:t>
            </w:r>
          </w:p>
        </w:tc>
        <w:tc>
          <w:tcPr>
            <w:tcW w:type="dxa" w:w="2448"/>
            <w:shd w:val="clear" w:color="auto" w:fill="F5F5F5"/>
          </w:tcPr>
          <w:p>
            <w:pPr>
              <w:spacing w:before="40" w:after="40"/>
            </w:pPr>
            <w:r>
              <w:rPr>
                <w:color w:val="333333"/>
                <w:sz w:val="19"/>
              </w:rPr>
              <w:t>× 1.00  (neutral)</w:t>
            </w:r>
          </w:p>
        </w:tc>
        <w:tc>
          <w:tcPr>
            <w:tcW w:type="dxa" w:w="1728"/>
            <w:shd w:val="clear" w:color="auto" w:fill="F5F5F5"/>
          </w:tcPr>
          <w:p>
            <w:pPr>
              <w:spacing w:before="40" w:after="40"/>
            </w:pPr>
            <w:r>
              <w:rPr>
                <w:color w:val="333333"/>
                <w:sz w:val="19"/>
              </w:rPr>
              <w:t>5.0%</w:t>
            </w:r>
          </w:p>
        </w:tc>
        <w:tc>
          <w:tcPr>
            <w:tcW w:type="dxa" w:w="2880"/>
            <w:shd w:val="clear" w:color="auto" w:fill="F5F5F5"/>
          </w:tcPr>
          <w:p>
            <w:pPr>
              <w:spacing w:before="40" w:after="40"/>
            </w:pPr>
            <w:r>
              <w:rPr>
                <w:color w:val="333333"/>
                <w:sz w:val="19"/>
              </w:rPr>
              <w:t>26,536</w:t>
            </w:r>
          </w:p>
        </w:tc>
      </w:tr>
      <w:tr>
        <w:tc>
          <w:tcPr>
            <w:tcW w:type="dxa" w:w="3744"/>
            <w:shd w:val="clear" w:color="auto" w:fill="FFFFFF"/>
          </w:tcPr>
          <w:p>
            <w:pPr>
              <w:spacing w:before="40" w:after="40"/>
            </w:pPr>
            <w:r>
              <w:rPr>
                <w:color w:val="333333"/>
                <w:sz w:val="19"/>
              </w:rPr>
              <w:t>Adverse     (GDP 0.5%, UE 5.5%)</w:t>
            </w:r>
          </w:p>
        </w:tc>
        <w:tc>
          <w:tcPr>
            <w:tcW w:type="dxa" w:w="2448"/>
            <w:shd w:val="clear" w:color="auto" w:fill="FFFFFF"/>
          </w:tcPr>
          <w:p>
            <w:pPr>
              <w:spacing w:before="40" w:after="40"/>
            </w:pPr>
            <w:r>
              <w:rPr>
                <w:color w:val="333333"/>
                <w:sz w:val="19"/>
              </w:rPr>
              <w:t>× 1.35  (higher)</w:t>
            </w:r>
          </w:p>
        </w:tc>
        <w:tc>
          <w:tcPr>
            <w:tcW w:type="dxa" w:w="1728"/>
            <w:shd w:val="clear" w:color="auto" w:fill="FFFFFF"/>
          </w:tcPr>
          <w:p>
            <w:pPr>
              <w:spacing w:before="40" w:after="40"/>
            </w:pPr>
            <w:r>
              <w:rPr>
                <w:color w:val="333333"/>
                <w:sz w:val="19"/>
              </w:rPr>
              <w:t>4.5%</w:t>
            </w:r>
          </w:p>
        </w:tc>
        <w:tc>
          <w:tcPr>
            <w:tcW w:type="dxa" w:w="2880"/>
            <w:shd w:val="clear" w:color="auto" w:fill="FFFFFF"/>
          </w:tcPr>
          <w:p>
            <w:pPr>
              <w:spacing w:before="40" w:after="40"/>
            </w:pPr>
            <w:r>
              <w:rPr>
                <w:color w:val="333333"/>
                <w:sz w:val="19"/>
              </w:rPr>
              <w:t>~25,200</w:t>
            </w:r>
          </w:p>
        </w:tc>
      </w:tr>
    </w:tbl>
    <w:p>
      <w:pPr>
        <w:spacing w:after="80"/>
      </w:pPr>
    </w:p>
    <w:p>
      <w:pPr>
        <w:spacing w:after="140"/>
      </w:pPr>
      <w:r>
        <w:rPr>
          <w:color w:val="333333"/>
          <w:sz w:val="21"/>
        </w:rPr>
        <w:t>The spread between optimistic and adverse outcomes is roughly 2,300 customers (~27,500 vs ~25,200) — confirming that macro conditions materially affect the right policy, not just the confidence interval around it.</w:t>
      </w:r>
    </w:p>
    <w:p>
      <w:pPr>
        <w:spacing w:before="320" w:after="80"/>
      </w:pPr>
      <w:r>
        <w:rPr>
          <w:b/>
          <w:color w:val="1A1A2E"/>
          <w:sz w:val="24"/>
        </w:rPr>
        <w:t>Results</w:t>
      </w:r>
    </w:p>
    <w:tbl>
      <w:tblPr>
        <w:tblStyle w:val="TableGrid"/>
        <w:tblW w:type="auto" w:w="0"/>
        <w:jc w:val="left"/>
        <w:tblLook w:firstColumn="1" w:firstRow="1" w:lastColumn="0" w:lastRow="0" w:noHBand="0" w:noVBand="1" w:val="04A0"/>
      </w:tblPr>
      <w:tblGrid>
        <w:gridCol w:w="4419"/>
        <w:gridCol w:w="4419"/>
      </w:tblGrid>
      <w:tr>
        <w:tc>
          <w:tcPr>
            <w:tcW w:type="dxa" w:w="4608"/>
            <w:shd w:val="clear" w:color="auto" w:fill="2C3E6B"/>
          </w:tcPr>
          <w:p>
            <w:pPr>
              <w:spacing w:before="60" w:after="60"/>
            </w:pPr>
            <w:r>
              <w:rPr>
                <w:b/>
                <w:color w:val="FFFFFF"/>
                <w:sz w:val="19"/>
              </w:rPr>
            </w:r>
          </w:p>
        </w:tc>
        <w:tc>
          <w:tcPr>
            <w:tcW w:type="dxa" w:w="4032"/>
            <w:shd w:val="clear" w:color="auto" w:fill="2C3E6B"/>
          </w:tcPr>
          <w:p>
            <w:pPr>
              <w:spacing w:before="60" w:after="60"/>
            </w:pPr>
            <w:r>
              <w:rPr>
                <w:b/>
                <w:color w:val="FFFFFF"/>
                <w:sz w:val="19"/>
              </w:rPr>
            </w:r>
          </w:p>
        </w:tc>
      </w:tr>
      <w:tr>
        <w:tc>
          <w:tcPr>
            <w:tcW w:type="dxa" w:w="4608"/>
            <w:shd w:val="clear" w:color="auto" w:fill="FFFFFF"/>
          </w:tcPr>
          <w:p>
            <w:pPr>
              <w:spacing w:before="40" w:after="40"/>
            </w:pPr>
            <w:r>
              <w:rPr>
                <w:color w:val="333333"/>
                <w:sz w:val="19"/>
              </w:rPr>
              <w:t>Customers receiving an increase</w:t>
            </w:r>
          </w:p>
        </w:tc>
        <w:tc>
          <w:tcPr>
            <w:tcW w:type="dxa" w:w="4032"/>
            <w:shd w:val="clear" w:color="auto" w:fill="FFFFFF"/>
          </w:tcPr>
          <w:p>
            <w:pPr>
              <w:spacing w:before="40" w:after="40"/>
            </w:pPr>
            <w:r>
              <w:rPr>
                <w:color w:val="333333"/>
                <w:sz w:val="19"/>
              </w:rPr>
              <w:t>26,536  (88.5%)</w:t>
            </w:r>
          </w:p>
        </w:tc>
      </w:tr>
      <w:tr>
        <w:tc>
          <w:tcPr>
            <w:tcW w:type="dxa" w:w="4608"/>
            <w:shd w:val="clear" w:color="auto" w:fill="F5F5F5"/>
          </w:tcPr>
          <w:p>
            <w:pPr>
              <w:spacing w:before="40" w:after="40"/>
            </w:pPr>
            <w:r>
              <w:rPr>
                <w:color w:val="333333"/>
                <w:sz w:val="19"/>
              </w:rPr>
              <w:t>Total incremental exposure</w:t>
            </w:r>
          </w:p>
        </w:tc>
        <w:tc>
          <w:tcPr>
            <w:tcW w:type="dxa" w:w="4032"/>
            <w:shd w:val="clear" w:color="auto" w:fill="F5F5F5"/>
          </w:tcPr>
          <w:p>
            <w:pPr>
              <w:spacing w:before="40" w:after="40"/>
            </w:pPr>
            <w:r>
              <w:rPr>
                <w:color w:val="333333"/>
                <w:sz w:val="19"/>
              </w:rPr>
              <w:t>$20.9 million</w:t>
            </w:r>
          </w:p>
        </w:tc>
      </w:tr>
      <w:tr>
        <w:tc>
          <w:tcPr>
            <w:tcW w:type="dxa" w:w="4608"/>
            <w:shd w:val="clear" w:color="auto" w:fill="FFFFFF"/>
          </w:tcPr>
          <w:p>
            <w:pPr>
              <w:spacing w:before="40" w:after="40"/>
            </w:pPr>
            <w:r>
              <w:rPr>
                <w:color w:val="333333"/>
                <w:sz w:val="19"/>
              </w:rPr>
              <w:t>Revenue ($40 × 26,536, NPV at 19%)</w:t>
            </w:r>
          </w:p>
        </w:tc>
        <w:tc>
          <w:tcPr>
            <w:tcW w:type="dxa" w:w="4032"/>
            <w:shd w:val="clear" w:color="auto" w:fill="FFFFFF"/>
          </w:tcPr>
          <w:p>
            <w:pPr>
              <w:spacing w:before="40" w:after="40"/>
            </w:pPr>
            <w:r>
              <w:rPr>
                <w:color w:val="333333"/>
                <w:sz w:val="19"/>
              </w:rPr>
              <w:t>$966,697</w:t>
            </w:r>
          </w:p>
        </w:tc>
      </w:tr>
      <w:tr>
        <w:tc>
          <w:tcPr>
            <w:tcW w:type="dxa" w:w="4608"/>
            <w:shd w:val="clear" w:color="auto" w:fill="F5F5F5"/>
          </w:tcPr>
          <w:p>
            <w:pPr>
              <w:spacing w:before="40" w:after="40"/>
            </w:pPr>
            <w:r>
              <w:rPr>
                <w:color w:val="333333"/>
                <w:sz w:val="19"/>
              </w:rPr>
              <w:t>Expected credit losses (approved customers)</w:t>
            </w:r>
          </w:p>
        </w:tc>
        <w:tc>
          <w:tcPr>
            <w:tcW w:type="dxa" w:w="4032"/>
            <w:shd w:val="clear" w:color="auto" w:fill="F5F5F5"/>
          </w:tcPr>
          <w:p>
            <w:pPr>
              <w:spacing w:before="40" w:after="40"/>
            </w:pPr>
            <w:r>
              <w:rPr>
                <w:color w:val="333333"/>
                <w:sz w:val="19"/>
              </w:rPr>
              <w:t>$181,246</w:t>
            </w:r>
          </w:p>
        </w:tc>
      </w:tr>
      <w:tr>
        <w:tc>
          <w:tcPr>
            <w:tcW w:type="dxa" w:w="4608"/>
            <w:shd w:val="clear" w:color="auto" w:fill="FFFFFF"/>
          </w:tcPr>
          <w:p>
            <w:pPr>
              <w:spacing w:before="40" w:after="40"/>
            </w:pPr>
            <w:r>
              <w:rPr>
                <w:color w:val="333333"/>
                <w:sz w:val="19"/>
              </w:rPr>
              <w:t>Net expected profit</w:t>
            </w:r>
          </w:p>
        </w:tc>
        <w:tc>
          <w:tcPr>
            <w:tcW w:type="dxa" w:w="4032"/>
            <w:shd w:val="clear" w:color="auto" w:fill="FFFFFF"/>
          </w:tcPr>
          <w:p>
            <w:pPr>
              <w:spacing w:before="40" w:after="40"/>
            </w:pPr>
            <w:r>
              <w:rPr>
                <w:color w:val="333333"/>
                <w:sz w:val="19"/>
              </w:rPr>
              <w:t>$785,451</w:t>
            </w:r>
          </w:p>
        </w:tc>
      </w:tr>
      <w:tr>
        <w:tc>
          <w:tcPr>
            <w:tcW w:type="dxa" w:w="4608"/>
            <w:shd w:val="clear" w:color="auto" w:fill="F5F5F5"/>
          </w:tcPr>
          <w:p>
            <w:pPr>
              <w:spacing w:before="40" w:after="40"/>
            </w:pPr>
            <w:r>
              <w:rPr>
                <w:color w:val="333333"/>
                <w:sz w:val="19"/>
              </w:rPr>
              <w:t>Weighted default risk on new exposure</w:t>
            </w:r>
          </w:p>
        </w:tc>
        <w:tc>
          <w:tcPr>
            <w:tcW w:type="dxa" w:w="4032"/>
            <w:shd w:val="clear" w:color="auto" w:fill="F5F5F5"/>
          </w:tcPr>
          <w:p>
            <w:pPr>
              <w:spacing w:before="40" w:after="40"/>
            </w:pPr>
            <w:r>
              <w:rPr>
                <w:color w:val="333333"/>
                <w:sz w:val="19"/>
              </w:rPr>
              <w:t>4.17%  (below 5% cap)</w:t>
            </w:r>
          </w:p>
        </w:tc>
      </w:tr>
      <w:tr>
        <w:tc>
          <w:tcPr>
            <w:tcW w:type="dxa" w:w="4608"/>
            <w:shd w:val="clear" w:color="auto" w:fill="FFFFFF"/>
          </w:tcPr>
          <w:p>
            <w:pPr>
              <w:spacing w:before="40" w:after="40"/>
            </w:pPr>
            <w:r>
              <w:rPr>
                <w:color w:val="333333"/>
                <w:sz w:val="19"/>
              </w:rPr>
              <w:t>Return on incremental exposure</w:t>
            </w:r>
          </w:p>
        </w:tc>
        <w:tc>
          <w:tcPr>
            <w:tcW w:type="dxa" w:w="4032"/>
            <w:shd w:val="clear" w:color="auto" w:fill="FFFFFF"/>
          </w:tcPr>
          <w:p>
            <w:pPr>
              <w:spacing w:before="40" w:after="40"/>
            </w:pPr>
            <w:r>
              <w:rPr>
                <w:color w:val="333333"/>
                <w:sz w:val="19"/>
              </w:rPr>
              <w:t>3.76%</w:t>
            </w:r>
          </w:p>
        </w:tc>
      </w:tr>
      <w:tr>
        <w:tc>
          <w:tcPr>
            <w:tcW w:type="dxa" w:w="4608"/>
            <w:shd w:val="clear" w:color="auto" w:fill="F5F5F5"/>
          </w:tcPr>
          <w:p>
            <w:pPr>
              <w:spacing w:before="40" w:after="40"/>
            </w:pPr>
            <w:r>
              <w:rPr>
                <w:color w:val="333333"/>
                <w:sz w:val="19"/>
              </w:rPr>
              <w:t>High-risk customers flagged (&gt;15%)</w:t>
            </w:r>
          </w:p>
        </w:tc>
        <w:tc>
          <w:tcPr>
            <w:tcW w:type="dxa" w:w="4032"/>
            <w:shd w:val="clear" w:color="auto" w:fill="F5F5F5"/>
          </w:tcPr>
          <w:p>
            <w:pPr>
              <w:spacing w:before="40" w:after="40"/>
            </w:pPr>
            <w:r>
              <w:rPr>
                <w:color w:val="333333"/>
                <w:sz w:val="19"/>
              </w:rPr>
              <w:t>3,792  (12.6%)</w:t>
            </w:r>
          </w:p>
        </w:tc>
      </w:tr>
      <w:tr>
        <w:tc>
          <w:tcPr>
            <w:tcW w:type="dxa" w:w="4608"/>
            <w:shd w:val="clear" w:color="auto" w:fill="FFFFFF"/>
          </w:tcPr>
          <w:p>
            <w:pPr>
              <w:spacing w:before="40" w:after="40"/>
            </w:pPr>
            <w:r>
              <w:rPr>
                <w:color w:val="333333"/>
                <w:sz w:val="19"/>
              </w:rPr>
              <w:t>LP solve time</w:t>
            </w:r>
          </w:p>
        </w:tc>
        <w:tc>
          <w:tcPr>
            <w:tcW w:type="dxa" w:w="4032"/>
            <w:shd w:val="clear" w:color="auto" w:fill="FFFFFF"/>
          </w:tcPr>
          <w:p>
            <w:pPr>
              <w:spacing w:before="40" w:after="40"/>
            </w:pPr>
            <w:r>
              <w:rPr>
                <w:color w:val="333333"/>
                <w:sz w:val="19"/>
              </w:rPr>
              <w:t>~1.6 seconds</w:t>
            </w:r>
          </w:p>
        </w:tc>
      </w:tr>
      <w:tr>
        <w:tc>
          <w:tcPr>
            <w:tcW w:type="dxa" w:w="4608"/>
            <w:shd w:val="clear" w:color="auto" w:fill="F5F5F5"/>
          </w:tcPr>
          <w:p>
            <w:pPr>
              <w:spacing w:before="40" w:after="40"/>
            </w:pPr>
            <w:r>
              <w:rPr>
                <w:color w:val="333333"/>
                <w:sz w:val="19"/>
              </w:rPr>
              <w:t>End-to-end pipeline runtime</w:t>
            </w:r>
          </w:p>
        </w:tc>
        <w:tc>
          <w:tcPr>
            <w:tcW w:type="dxa" w:w="4032"/>
            <w:shd w:val="clear" w:color="auto" w:fill="F5F5F5"/>
          </w:tcPr>
          <w:p>
            <w:pPr>
              <w:spacing w:before="40" w:after="40"/>
            </w:pPr>
            <w:r>
              <w:rPr>
                <w:color w:val="333333"/>
                <w:sz w:val="19"/>
              </w:rPr>
              <w:t>~30 seconds</w:t>
            </w:r>
          </w:p>
        </w:tc>
      </w:tr>
    </w:tbl>
    <w:p>
      <w:pPr>
        <w:spacing w:after="80"/>
      </w:pPr>
    </w:p>
    <w:p>
      <w:pPr>
        <w:spacing w:after="140"/>
      </w:pPr>
      <w:r>
        <w:rPr>
          <w:color w:val="333333"/>
          <w:sz w:val="21"/>
        </w:rPr>
        <w:t>The risk constraint is binding for the incremental exposure: 4.17% weighted default risk on new lending sits below the 5% cap but the LP pushed the Poor-state bucket right to its limit. Each approved customer contributes at most 30% of their current limit as a new increase (per-step cap), so the $20.9M exposure figure reflects that proportional ceiling rather than a push to the $50k hard cap. it means the constraint is binding and the solution is fully utilising the available risk budget. A solution that came in at, say, 4.2% would suggest the exposure or per-customer cap was the limiting factor, not risk.</w:t>
      </w:r>
    </w:p>
    <w:p>
      <w:pPr>
        <w:spacing w:before="320" w:after="80"/>
      </w:pPr>
      <w:r>
        <w:rPr>
          <w:b/>
          <w:color w:val="1A1A2E"/>
          <w:sz w:val="24"/>
        </w:rPr>
        <w:t>What to take with a grain of salt</w:t>
      </w:r>
    </w:p>
    <w:p>
      <w:pPr>
        <w:spacing w:after="140"/>
      </w:pPr>
      <w:r>
        <w:rPr>
          <w:color w:val="333333"/>
          <w:sz w:val="21"/>
        </w:rPr>
        <w:t>A few things are important to understand clearly before acting on these results:</w:t>
      </w:r>
    </w:p>
    <w:p>
      <w:pPr>
        <w:pStyle w:val="ListBullet"/>
        <w:spacing w:after="80"/>
        <w:ind w:left="288"/>
      </w:pPr>
      <w:r>
        <w:rPr>
          <w:color w:val="333333"/>
          <w:sz w:val="21"/>
        </w:rPr>
        <w:t>There are no observed defaults in the data. The risk scores are relative rankings anchored to assumed base rates (1% / 2.5% / 7% / 18%), not calibrated probabilities. The "5% portfolio risk" constraint is internally consistent but doesn't directly correspond to a 5% expected annual loss rate. The assumed rates are broadly aligned with FDIC charge-off data but have not been validated against our actual book.</w:t>
      </w:r>
    </w:p>
    <w:p>
      <w:pPr>
        <w:pStyle w:val="ListBullet"/>
        <w:spacing w:after="80"/>
        <w:ind w:left="288"/>
      </w:pPr>
      <w:r>
        <w:rPr>
          <w:color w:val="333333"/>
          <w:sz w:val="21"/>
        </w:rPr>
        <w:t>The feature weights (35/30/15/20) are industry convention, not estimated from data. They may not reflect the actual relative importance of these signals in our portfolio.</w:t>
      </w:r>
    </w:p>
    <w:p>
      <w:pPr>
        <w:pStyle w:val="ListBullet"/>
        <w:spacing w:after="80"/>
        <w:ind w:left="288"/>
      </w:pPr>
      <w:r>
        <w:rPr>
          <w:color w:val="333333"/>
          <w:sz w:val="21"/>
        </w:rPr>
        <w:t>The four credit states are a business-imposed structure on a continuous distribution. The data statistically supports two clusters. The Good/Fair boundary in particular is a judgment call, not a natural data boundary.</w:t>
      </w:r>
    </w:p>
    <w:p>
      <w:pPr>
        <w:pStyle w:val="ListBullet"/>
        <w:spacing w:after="80"/>
        <w:ind w:left="288"/>
      </w:pPr>
      <w:r>
        <w:rPr>
          <w:color w:val="333333"/>
          <w:sz w:val="21"/>
        </w:rPr>
        <w:t>All customers share the same macro environment. There's no regional or segment-level variation — everyone gets the same GDP, the same unemployment rate.</w:t>
      </w:r>
    </w:p>
    <w:p>
      <w:pPr>
        <w:spacing w:before="200" w:after="60"/>
      </w:pPr>
      <w:r>
        <w:rPr>
          <w:b/>
          <w:color w:val="333333"/>
          <w:sz w:val="21"/>
        </w:rPr>
        <w:t>The quickest way to improve this</w:t>
      </w:r>
    </w:p>
    <w:p>
      <w:pPr>
        <w:spacing w:after="140"/>
      </w:pPr>
      <w:r>
        <w:rPr>
          <w:color w:val="333333"/>
          <w:sz w:val="21"/>
        </w:rPr>
        <w:t>The most valuable thing we could do is collect outcome data. Even a simple 90-days-past-due flag on current customers, observed over the next 12 months, would let us train a logistic regression (or something more complex) on real default events. That replaces the entire ordinal ranking step with a calibrated probability model.</w:t>
      </w:r>
    </w:p>
    <w:p>
      <w:pPr>
        <w:spacing w:after="140"/>
      </w:pPr>
      <w:r>
        <w:rPr>
          <w:color w:val="333333"/>
          <w:sz w:val="21"/>
        </w:rPr>
        <w:t>A holdout control group makes this even cleaner: withhold increases from a random 15–20% of eligible customers. After 12 months, the contrast between treated and control gives us both the outcome labels and a proper causal estimate of what the policy actually did.</w:t>
      </w:r>
    </w:p>
    <w:p>
      <w:pPr>
        <w:spacing w:after="140"/>
      </w:pPr>
      <w:r>
        <w:rPr>
          <w:color w:val="333333"/>
          <w:sz w:val="21"/>
        </w:rPr>
        <w:t>Everything downstream — the Markov chain, forecasting, simulation, LP — remains unchanged. Only the risk scoring step needs to be swapped out when better data arrives. The framework is built for that.</w:t>
      </w:r>
    </w:p>
    <w:p>
      <w:pPr>
        <w:spacing w:after="320"/>
      </w:pPr>
    </w:p>
    <w:p>
      <w:pPr>
        <w:jc w:val="center"/>
      </w:pPr>
      <w:r>
        <w:rPr>
          <w:i/>
          <w:color w:val="AAAAAA"/>
          <w:sz w:val="17"/>
        </w:rPr>
        <w:t>Credit Analytics  ·  May 2025  ·  44/44 model properties verified  ·  loan_limit_optimization.ipynb</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