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1A2E"/>
          <w:sz w:val="44"/>
        </w:rPr>
        <w:t>Loan Borrowing-Term Extension</w:t>
      </w:r>
    </w:p>
    <w:p>
      <w:pPr>
        <w:spacing w:after="80"/>
      </w:pPr>
      <w:r>
        <w:rPr>
          <w:i/>
          <w:color w:val="666666"/>
          <w:sz w:val="26"/>
        </w:rPr>
        <w:t>Optimisation Model — Business Explainer</w:t>
      </w:r>
    </w:p>
    <w:p>
      <w:pPr>
        <w:spacing w:after="320"/>
      </w:pPr>
      <w:r>
        <w:rPr>
          <w:color w:val="666666"/>
          <w:sz w:val="19"/>
        </w:rPr>
        <w:t>Prepared May 2026  |  Consumer Lending Analytics</w:t>
      </w:r>
    </w:p>
    <w:p>
      <w:pPr>
        <w:spacing w:before="80" w:after="80"/>
      </w:pPr>
      <w:r>
        <w:rPr>
          <w:color w:val="666666"/>
          <w:sz w:val="16"/>
        </w:rPr>
        <w:t>────────────────────────────────────────────────────────────────────────</w:t>
      </w:r>
    </w:p>
    <w:p>
      <w:pPr>
        <w:spacing w:before="320" w:after="80"/>
      </w:pPr>
      <w:r>
        <w:rPr>
          <w:b/>
          <w:color w:val="1A1A2E"/>
          <w:sz w:val="28"/>
        </w:rPr>
        <w:t>Executive Summary</w:t>
      </w:r>
    </w:p>
    <w:p>
      <w:pPr>
        <w:spacing w:before="0" w:after="120"/>
      </w:pPr>
      <w:r>
        <w:rPr>
          <w:color w:val="333333"/>
          <w:sz w:val="21"/>
        </w:rPr>
        <w:t>We built a data-driven model to decide which of our 30,000 consumer lending customers should receive an extension to their borrowing term — and for how long. The model balances the revenue benefit of giving customers more time to borrow against the credit risk of customers who may not repay.</w:t>
      </w:r>
    </w:p>
    <w:tbl>
      <w:tblPr>
        <w:tblStyle w:val="TableGrid"/>
        <w:tblW w:type="auto" w:w="0"/>
        <w:tblLook w:firstColumn="1" w:firstRow="1" w:lastColumn="0" w:lastRow="0" w:noHBand="0" w:noVBand="1" w:val="04A0"/>
      </w:tblPr>
      <w:tblGrid>
        <w:gridCol w:w="8838"/>
      </w:tblGrid>
      <w:tr>
        <w:tc>
          <w:tcPr>
            <w:tcW w:type="dxa" w:w="8838"/>
            <w:shd w:val="clear" w:color="auto" w:fill="EBF5FB"/>
          </w:tcPr>
          <w:p/>
          <w:p>
            <w:pPr>
              <w:spacing w:before="80" w:after="80"/>
            </w:pPr>
            <w:r>
              <w:rPr>
                <w:b/>
                <w:color w:val="007A8A"/>
                <w:sz w:val="18"/>
              </w:rPr>
              <w:t xml:space="preserve">RECOMMENDATION  |  </w:t>
            </w:r>
            <w:r>
              <w:rPr>
                <w:color w:val="333333"/>
                <w:sz w:val="21"/>
              </w:rPr>
              <w:t>Out of 30,000 customers assessed, 23,713 (79%) are recommended for a term extension. The programme is expected to generate $654K in net profit at a portfolio default risk of just 0.90% — well below our 5% safety cap.</w:t>
            </w:r>
          </w:p>
        </w:tc>
      </w:tr>
    </w:tbl>
    <w:p>
      <w:pPr>
        <w:spacing w:after="80"/>
      </w:pPr>
    </w:p>
    <w:p>
      <w:pPr>
        <w:spacing w:after="120"/>
      </w:pP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A4A6B"/>
          </w:tcPr>
          <w:p>
            <w:pPr>
              <w:jc w:val="center"/>
            </w:pPr>
            <w:r>
              <w:rPr>
                <w:b/>
                <w:color w:val="FFFFFF"/>
                <w:sz w:val="20"/>
              </w:rPr>
              <w:t>Metric</w:t>
            </w:r>
          </w:p>
        </w:tc>
        <w:tc>
          <w:tcPr>
            <w:tcW w:type="dxa" w:w="4419"/>
            <w:shd w:val="clear" w:color="auto" w:fill="1A4A6B"/>
          </w:tcPr>
          <w:p>
            <w:pPr>
              <w:jc w:val="center"/>
            </w:pPr>
            <w:r>
              <w:rPr>
                <w:b/>
                <w:color w:val="FFFFFF"/>
                <w:sz w:val="20"/>
              </w:rPr>
              <w:t>Result</w:t>
            </w:r>
          </w:p>
        </w:tc>
      </w:tr>
      <w:tr>
        <w:tc>
          <w:tcPr>
            <w:tcW w:type="dxa" w:w="4419"/>
            <w:shd w:val="clear" w:color="auto" w:fill="E8F4F8"/>
          </w:tcPr>
          <w:p>
            <w:pPr>
              <w:jc w:val="center"/>
            </w:pPr>
            <w:r>
              <w:rPr>
                <w:sz w:val="20"/>
              </w:rPr>
              <w:t>Customers assessed</w:t>
            </w:r>
          </w:p>
        </w:tc>
        <w:tc>
          <w:tcPr>
            <w:tcW w:type="dxa" w:w="4419"/>
            <w:shd w:val="clear" w:color="auto" w:fill="E8F4F8"/>
          </w:tcPr>
          <w:p>
            <w:pPr>
              <w:jc w:val="center"/>
            </w:pPr>
            <w:r>
              <w:rPr>
                <w:sz w:val="20"/>
              </w:rPr>
              <w:t>30,000</w:t>
            </w:r>
          </w:p>
        </w:tc>
      </w:tr>
      <w:tr>
        <w:tc>
          <w:tcPr>
            <w:tcW w:type="dxa" w:w="4419"/>
            <w:shd w:val="clear" w:color="auto" w:fill="FFFFFF"/>
          </w:tcPr>
          <w:p>
            <w:pPr>
              <w:jc w:val="center"/>
            </w:pPr>
            <w:r>
              <w:rPr>
                <w:sz w:val="20"/>
              </w:rPr>
              <w:t>Eligible customers (active ≥ 60 days)</w:t>
            </w:r>
          </w:p>
        </w:tc>
        <w:tc>
          <w:tcPr>
            <w:tcW w:type="dxa" w:w="4419"/>
            <w:shd w:val="clear" w:color="auto" w:fill="FFFFFF"/>
          </w:tcPr>
          <w:p>
            <w:pPr>
              <w:jc w:val="center"/>
            </w:pPr>
            <w:r>
              <w:rPr>
                <w:sz w:val="20"/>
              </w:rPr>
              <w:t>25,068</w:t>
            </w:r>
          </w:p>
        </w:tc>
      </w:tr>
      <w:tr>
        <w:tc>
          <w:tcPr>
            <w:tcW w:type="dxa" w:w="4419"/>
            <w:shd w:val="clear" w:color="auto" w:fill="E8F4F8"/>
          </w:tcPr>
          <w:p>
            <w:pPr>
              <w:jc w:val="center"/>
            </w:pPr>
            <w:r>
              <w:rPr>
                <w:sz w:val="20"/>
              </w:rPr>
              <w:t>Granted extensions</w:t>
            </w:r>
          </w:p>
        </w:tc>
        <w:tc>
          <w:tcPr>
            <w:tcW w:type="dxa" w:w="4419"/>
            <w:shd w:val="clear" w:color="auto" w:fill="E8F4F8"/>
          </w:tcPr>
          <w:p>
            <w:pPr>
              <w:jc w:val="center"/>
            </w:pPr>
            <w:r>
              <w:rPr>
                <w:sz w:val="20"/>
              </w:rPr>
              <w:t>23,713  (79.0% of total; 94.6% of eligible)</w:t>
            </w:r>
          </w:p>
        </w:tc>
      </w:tr>
      <w:tr>
        <w:tc>
          <w:tcPr>
            <w:tcW w:type="dxa" w:w="4419"/>
            <w:shd w:val="clear" w:color="auto" w:fill="FFFFFF"/>
          </w:tcPr>
          <w:p>
            <w:pPr>
              <w:jc w:val="center"/>
            </w:pPr>
            <w:r>
              <w:rPr>
                <w:sz w:val="20"/>
              </w:rPr>
              <w:t>Ineligible (last loan &lt; 60 days ago)</w:t>
            </w:r>
          </w:p>
        </w:tc>
        <w:tc>
          <w:tcPr>
            <w:tcW w:type="dxa" w:w="4419"/>
            <w:shd w:val="clear" w:color="auto" w:fill="FFFFFF"/>
          </w:tcPr>
          <w:p>
            <w:pPr>
              <w:jc w:val="center"/>
            </w:pPr>
            <w:r>
              <w:rPr>
                <w:sz w:val="20"/>
              </w:rPr>
              <w:t>4,932  (excluded)</w:t>
            </w:r>
          </w:p>
        </w:tc>
      </w:tr>
      <w:tr>
        <w:tc>
          <w:tcPr>
            <w:tcW w:type="dxa" w:w="4419"/>
            <w:shd w:val="clear" w:color="auto" w:fill="E8F4F8"/>
          </w:tcPr>
          <w:p>
            <w:pPr>
              <w:jc w:val="center"/>
            </w:pPr>
            <w:r>
              <w:rPr>
                <w:sz w:val="20"/>
              </w:rPr>
              <w:t>Average extension term granted</w:t>
            </w:r>
          </w:p>
        </w:tc>
        <w:tc>
          <w:tcPr>
            <w:tcW w:type="dxa" w:w="4419"/>
            <w:shd w:val="clear" w:color="auto" w:fill="E8F4F8"/>
          </w:tcPr>
          <w:p>
            <w:pPr>
              <w:jc w:val="center"/>
            </w:pPr>
            <w:r>
              <w:rPr>
                <w:sz w:val="20"/>
              </w:rPr>
              <w:t>67.8 days</w:t>
            </w:r>
          </w:p>
        </w:tc>
      </w:tr>
      <w:tr>
        <w:tc>
          <w:tcPr>
            <w:tcW w:type="dxa" w:w="4419"/>
            <w:shd w:val="clear" w:color="auto" w:fill="FFFFFF"/>
          </w:tcPr>
          <w:p>
            <w:pPr>
              <w:jc w:val="center"/>
            </w:pPr>
            <w:r>
              <w:rPr>
                <w:sz w:val="20"/>
              </w:rPr>
              <w:t>Total extended loan exposure</w:t>
            </w:r>
          </w:p>
        </w:tc>
        <w:tc>
          <w:tcPr>
            <w:tcW w:type="dxa" w:w="4419"/>
            <w:shd w:val="clear" w:color="auto" w:fill="FFFFFF"/>
          </w:tcPr>
          <w:p>
            <w:pPr>
              <w:jc w:val="center"/>
            </w:pPr>
            <w:r>
              <w:rPr>
                <w:sz w:val="20"/>
              </w:rPr>
              <w:t>$63,010,108</w:t>
            </w:r>
          </w:p>
        </w:tc>
      </w:tr>
      <w:tr>
        <w:tc>
          <w:tcPr>
            <w:tcW w:type="dxa" w:w="4419"/>
            <w:shd w:val="clear" w:color="auto" w:fill="E8F4F8"/>
          </w:tcPr>
          <w:p>
            <w:pPr>
              <w:jc w:val="center"/>
            </w:pPr>
            <w:r>
              <w:rPr>
                <w:sz w:val="20"/>
              </w:rPr>
              <w:t>Expected revenue</w:t>
            </w:r>
          </w:p>
        </w:tc>
        <w:tc>
          <w:tcPr>
            <w:tcW w:type="dxa" w:w="4419"/>
            <w:shd w:val="clear" w:color="auto" w:fill="E8F4F8"/>
          </w:tcPr>
          <w:p>
            <w:pPr>
              <w:jc w:val="center"/>
            </w:pPr>
            <w:r>
              <w:rPr>
                <w:sz w:val="20"/>
              </w:rPr>
              <w:t>$931,991</w:t>
            </w:r>
          </w:p>
        </w:tc>
      </w:tr>
      <w:tr>
        <w:tc>
          <w:tcPr>
            <w:tcW w:type="dxa" w:w="4419"/>
            <w:shd w:val="clear" w:color="auto" w:fill="FFFFFF"/>
          </w:tcPr>
          <w:p>
            <w:pPr>
              <w:jc w:val="center"/>
            </w:pPr>
            <w:r>
              <w:rPr>
                <w:sz w:val="20"/>
              </w:rPr>
              <w:t>Expected credit losses</w:t>
            </w:r>
          </w:p>
        </w:tc>
        <w:tc>
          <w:tcPr>
            <w:tcW w:type="dxa" w:w="4419"/>
            <w:shd w:val="clear" w:color="auto" w:fill="FFFFFF"/>
          </w:tcPr>
          <w:p>
            <w:pPr>
              <w:jc w:val="center"/>
            </w:pPr>
            <w:r>
              <w:rPr>
                <w:sz w:val="20"/>
              </w:rPr>
              <w:t>$278,091</w:t>
            </w:r>
          </w:p>
        </w:tc>
      </w:tr>
      <w:tr>
        <w:tc>
          <w:tcPr>
            <w:tcW w:type="dxa" w:w="4419"/>
            <w:shd w:val="clear" w:color="auto" w:fill="E8F4F8"/>
          </w:tcPr>
          <w:p>
            <w:pPr>
              <w:jc w:val="center"/>
            </w:pPr>
            <w:r>
              <w:rPr>
                <w:sz w:val="20"/>
              </w:rPr>
              <w:t>Net expected profit</w:t>
            </w:r>
          </w:p>
        </w:tc>
        <w:tc>
          <w:tcPr>
            <w:tcW w:type="dxa" w:w="4419"/>
            <w:shd w:val="clear" w:color="auto" w:fill="E8F4F8"/>
          </w:tcPr>
          <w:p>
            <w:pPr>
              <w:jc w:val="center"/>
            </w:pPr>
            <w:r>
              <w:rPr>
                <w:sz w:val="20"/>
              </w:rPr>
              <w:t>$653,900</w:t>
            </w:r>
          </w:p>
        </w:tc>
      </w:tr>
      <w:tr>
        <w:tc>
          <w:tcPr>
            <w:tcW w:type="dxa" w:w="4419"/>
            <w:shd w:val="clear" w:color="auto" w:fill="FFFFFF"/>
          </w:tcPr>
          <w:p>
            <w:pPr>
              <w:jc w:val="center"/>
            </w:pPr>
            <w:r>
              <w:rPr>
                <w:sz w:val="20"/>
              </w:rPr>
              <w:t>Return on extended exposure</w:t>
            </w:r>
          </w:p>
        </w:tc>
        <w:tc>
          <w:tcPr>
            <w:tcW w:type="dxa" w:w="4419"/>
            <w:shd w:val="clear" w:color="auto" w:fill="FFFFFF"/>
          </w:tcPr>
          <w:p>
            <w:pPr>
              <w:jc w:val="center"/>
            </w:pPr>
            <w:r>
              <w:rPr>
                <w:sz w:val="20"/>
              </w:rPr>
              <w:t>1.04%</w:t>
            </w:r>
          </w:p>
        </w:tc>
      </w:tr>
      <w:tr>
        <w:tc>
          <w:tcPr>
            <w:tcW w:type="dxa" w:w="4419"/>
            <w:shd w:val="clear" w:color="auto" w:fill="E8F4F8"/>
          </w:tcPr>
          <w:p>
            <w:pPr>
              <w:jc w:val="center"/>
            </w:pPr>
            <w:r>
              <w:rPr>
                <w:sz w:val="20"/>
              </w:rPr>
              <w:t>Portfolio default risk</w:t>
            </w:r>
          </w:p>
        </w:tc>
        <w:tc>
          <w:tcPr>
            <w:tcW w:type="dxa" w:w="4419"/>
            <w:shd w:val="clear" w:color="auto" w:fill="E8F4F8"/>
          </w:tcPr>
          <w:p>
            <w:pPr>
              <w:jc w:val="center"/>
            </w:pPr>
            <w:r>
              <w:rPr>
                <w:sz w:val="20"/>
              </w:rPr>
              <w:t>0.90%  (cap: 5%)</w:t>
            </w:r>
          </w:p>
        </w:tc>
      </w:tr>
      <w:tr>
        <w:tc>
          <w:tcPr>
            <w:tcW w:type="dxa" w:w="4419"/>
            <w:shd w:val="clear" w:color="auto" w:fill="FFFFFF"/>
          </w:tcPr>
          <w:p>
            <w:pPr>
              <w:jc w:val="center"/>
            </w:pPr>
            <w:r>
              <w:rPr>
                <w:sz w:val="20"/>
              </w:rPr>
              <w:t>Model risk confidence</w:t>
            </w:r>
          </w:p>
        </w:tc>
        <w:tc>
          <w:tcPr>
            <w:tcW w:type="dxa" w:w="4419"/>
            <w:shd w:val="clear" w:color="auto" w:fill="FFFFFF"/>
          </w:tcPr>
          <w:p>
            <w:pPr>
              <w:jc w:val="center"/>
            </w:pPr>
            <w:r>
              <w:rPr>
                <w:sz w:val="20"/>
              </w:rPr>
              <w:t>30 / 30 property tests passing</w:t>
            </w:r>
          </w:p>
        </w:tc>
      </w:tr>
    </w:tbl>
    <w:p>
      <w:pPr>
        <w:spacing w:after="160"/>
      </w:pPr>
    </w:p>
    <w:p>
      <w:pPr>
        <w:spacing w:before="320" w:after="80"/>
      </w:pPr>
      <w:r>
        <w:rPr>
          <w:b/>
          <w:color w:val="1A1A2E"/>
          <w:sz w:val="28"/>
        </w:rPr>
        <w:t>1.  What Is a Borrowing-Term Extension?</w:t>
      </w:r>
    </w:p>
    <w:p>
      <w:pPr>
        <w:spacing w:before="0" w:after="120"/>
      </w:pPr>
      <w:r>
        <w:rPr>
          <w:color w:val="333333"/>
          <w:sz w:val="21"/>
        </w:rPr>
        <w:t>In our lending product, a 'loan limit increase' does not mean the customer can borrow more money — it means we extend how long they are allowed to keep borrowing. Think of it as giving a customer extra days before they must repay.</w:t>
      </w:r>
    </w:p>
    <w:p>
      <w:pPr>
        <w:spacing w:before="0" w:after="120"/>
      </w:pPr>
      <w:r>
        <w:rPr>
          <w:color w:val="333333"/>
          <w:sz w:val="21"/>
        </w:rPr>
        <w:t>Under the standard contract, every customer has a borrowing window set when their loan was originated. When that window closes the customer must repay. A term extension pushes that deadline out, giving the customer continued access to funds and giving us the opportunity to earn additional revenue on the relationship.</w:t>
      </w:r>
    </w:p>
    <w:tbl>
      <w:tblPr>
        <w:tblStyle w:val="TableGrid"/>
        <w:tblW w:type="auto" w:w="0"/>
        <w:tblLook w:firstColumn="1" w:firstRow="1" w:lastColumn="0" w:lastRow="0" w:noHBand="0" w:noVBand="1" w:val="04A0"/>
      </w:tblPr>
      <w:tblGrid>
        <w:gridCol w:w="8838"/>
      </w:tblGrid>
      <w:tr>
        <w:tc>
          <w:tcPr>
            <w:tcW w:type="dxa" w:w="8838"/>
            <w:shd w:val="clear" w:color="auto" w:fill="EBF5FB"/>
          </w:tcPr>
          <w:p/>
          <w:p>
            <w:pPr>
              <w:spacing w:before="80" w:after="80"/>
            </w:pPr>
            <w:r>
              <w:rPr>
                <w:b/>
                <w:color w:val="007A8A"/>
                <w:sz w:val="18"/>
              </w:rPr>
              <w:t xml:space="preserve">PLAIN ENGLISH  |  </w:t>
            </w:r>
            <w:r>
              <w:rPr>
                <w:color w:val="333333"/>
                <w:sz w:val="21"/>
              </w:rPr>
              <w:t>A term extension is a relationship reward, not a new loan. The customer's loan amount stays the same; only the repayment deadline changes.</w:t>
            </w:r>
          </w:p>
        </w:tc>
      </w:tr>
    </w:tbl>
    <w:p>
      <w:pPr>
        <w:spacing w:after="80"/>
      </w:pPr>
    </w:p>
    <w:p>
      <w:pPr>
        <w:spacing w:after="80"/>
      </w:pPr>
    </w:p>
    <w:p>
      <w:pPr>
        <w:spacing w:before="200" w:after="60"/>
      </w:pPr>
      <w:r>
        <w:rPr>
          <w:b/>
          <w:color w:val="007A8A"/>
          <w:sz w:val="23"/>
        </w:rPr>
        <w:t>Why extend terms — not loan amounts?</w:t>
      </w:r>
    </w:p>
    <w:p>
      <w:pPr>
        <w:pStyle w:val="ListBullet"/>
        <w:spacing w:before="20" w:after="40"/>
      </w:pPr>
      <w:r>
        <w:rPr>
          <w:color w:val="333333"/>
          <w:sz w:val="21"/>
        </w:rPr>
        <w:t>Extending the term is lower-risk than increasing loan size; the customer's balance stays the same.</w:t>
      </w:r>
    </w:p>
    <w:p>
      <w:pPr>
        <w:pStyle w:val="ListBullet"/>
        <w:spacing w:before="20" w:after="40"/>
      </w:pPr>
      <w:r>
        <w:rPr>
          <w:color w:val="333333"/>
          <w:sz w:val="21"/>
        </w:rPr>
        <w:t>Revenue comes from a $40 relationship fee earned when the extension is granted.</w:t>
      </w:r>
    </w:p>
    <w:p>
      <w:pPr>
        <w:pStyle w:val="ListBullet"/>
        <w:spacing w:before="20" w:after="40"/>
      </w:pPr>
      <w:r>
        <w:rPr>
          <w:color w:val="333333"/>
          <w:sz w:val="21"/>
        </w:rPr>
        <w:t>It rewards on-time payers and encourages continued good behaviour.</w:t>
      </w:r>
    </w:p>
    <w:p>
      <w:pPr>
        <w:pStyle w:val="ListBullet"/>
        <w:spacing w:before="20" w:after="40"/>
      </w:pPr>
      <w:r>
        <w:rPr>
          <w:color w:val="333333"/>
          <w:sz w:val="21"/>
        </w:rPr>
        <w:t>Regulatory capital requirements are unchanged because the outstanding balance does not grow.</w:t>
      </w:r>
    </w:p>
    <w:p>
      <w:pPr>
        <w:spacing w:before="320" w:after="80"/>
      </w:pPr>
      <w:r>
        <w:rPr>
          <w:b/>
          <w:color w:val="1A1A2E"/>
          <w:sz w:val="28"/>
        </w:rPr>
        <w:t>2.  How the Model Works — Plain English</w:t>
      </w:r>
    </w:p>
    <w:p>
      <w:pPr>
        <w:spacing w:before="0" w:after="120"/>
      </w:pPr>
      <w:r>
        <w:rPr>
          <w:color w:val="333333"/>
          <w:sz w:val="21"/>
        </w:rPr>
        <w:t>The model runs four steps in sequence: it scores each customer, simulates possible futures, optimises who to approve, and projects long-term portfolio health.</w:t>
      </w:r>
    </w:p>
    <w:p>
      <w:pPr>
        <w:spacing w:before="200" w:after="60"/>
      </w:pPr>
      <w:r>
        <w:rPr>
          <w:b/>
          <w:color w:val="007A8A"/>
          <w:sz w:val="23"/>
        </w:rPr>
        <w:t>Step 1 — Credit Scoring</w:t>
      </w:r>
    </w:p>
    <w:p>
      <w:pPr>
        <w:spacing w:before="0" w:after="120"/>
      </w:pPr>
      <w:r>
        <w:rPr>
          <w:color w:val="333333"/>
          <w:sz w:val="21"/>
        </w:rPr>
        <w:t>We score every customer on four dimensions using data already in our system:</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1A4A6B"/>
          </w:tcPr>
          <w:p>
            <w:pPr>
              <w:jc w:val="center"/>
            </w:pPr>
            <w:r>
              <w:rPr>
                <w:b/>
                <w:color w:val="FFFFFF"/>
                <w:sz w:val="20"/>
              </w:rPr>
              <w:t>Dimension</w:t>
            </w:r>
          </w:p>
        </w:tc>
        <w:tc>
          <w:tcPr>
            <w:tcW w:type="dxa" w:w="2946"/>
            <w:shd w:val="clear" w:color="auto" w:fill="1A4A6B"/>
          </w:tcPr>
          <w:p>
            <w:pPr>
              <w:jc w:val="center"/>
            </w:pPr>
            <w:r>
              <w:rPr>
                <w:b/>
                <w:color w:val="FFFFFF"/>
                <w:sz w:val="20"/>
              </w:rPr>
              <w:t>Weight</w:t>
            </w:r>
          </w:p>
        </w:tc>
        <w:tc>
          <w:tcPr>
            <w:tcW w:type="dxa" w:w="2946"/>
            <w:shd w:val="clear" w:color="auto" w:fill="1A4A6B"/>
          </w:tcPr>
          <w:p>
            <w:pPr>
              <w:jc w:val="center"/>
            </w:pPr>
            <w:r>
              <w:rPr>
                <w:b/>
                <w:color w:val="FFFFFF"/>
                <w:sz w:val="20"/>
              </w:rPr>
              <w:t>What it measures</w:t>
            </w:r>
          </w:p>
        </w:tc>
      </w:tr>
      <w:tr>
        <w:tc>
          <w:tcPr>
            <w:tcW w:type="dxa" w:w="2946"/>
            <w:shd w:val="clear" w:color="auto" w:fill="E8F4F8"/>
          </w:tcPr>
          <w:p>
            <w:pPr>
              <w:jc w:val="center"/>
            </w:pPr>
            <w:r>
              <w:rPr>
                <w:sz w:val="20"/>
              </w:rPr>
              <w:t>Payment discipline</w:t>
            </w:r>
          </w:p>
        </w:tc>
        <w:tc>
          <w:tcPr>
            <w:tcW w:type="dxa" w:w="2946"/>
            <w:shd w:val="clear" w:color="auto" w:fill="E8F4F8"/>
          </w:tcPr>
          <w:p>
            <w:pPr>
              <w:jc w:val="center"/>
            </w:pPr>
            <w:r>
              <w:rPr>
                <w:sz w:val="20"/>
              </w:rPr>
              <w:t>35%</w:t>
            </w:r>
          </w:p>
        </w:tc>
        <w:tc>
          <w:tcPr>
            <w:tcW w:type="dxa" w:w="2946"/>
            <w:shd w:val="clear" w:color="auto" w:fill="E8F4F8"/>
          </w:tcPr>
          <w:p>
            <w:pPr>
              <w:jc w:val="center"/>
            </w:pPr>
            <w:r>
              <w:rPr>
                <w:sz w:val="20"/>
              </w:rPr>
              <w:t>% of payments made on time</w:t>
            </w:r>
          </w:p>
        </w:tc>
      </w:tr>
      <w:tr>
        <w:tc>
          <w:tcPr>
            <w:tcW w:type="dxa" w:w="2946"/>
            <w:shd w:val="clear" w:color="auto" w:fill="FFFFFF"/>
          </w:tcPr>
          <w:p>
            <w:pPr>
              <w:jc w:val="center"/>
            </w:pPr>
            <w:r>
              <w:rPr>
                <w:sz w:val="20"/>
              </w:rPr>
              <w:t>Borrowing discipline</w:t>
            </w:r>
          </w:p>
        </w:tc>
        <w:tc>
          <w:tcPr>
            <w:tcW w:type="dxa" w:w="2946"/>
            <w:shd w:val="clear" w:color="auto" w:fill="FFFFFF"/>
          </w:tcPr>
          <w:p>
            <w:pPr>
              <w:jc w:val="center"/>
            </w:pPr>
            <w:r>
              <w:rPr>
                <w:sz w:val="20"/>
              </w:rPr>
              <w:t>30%</w:t>
            </w:r>
          </w:p>
        </w:tc>
        <w:tc>
          <w:tcPr>
            <w:tcW w:type="dxa" w:w="2946"/>
            <w:shd w:val="clear" w:color="auto" w:fill="FFFFFF"/>
          </w:tcPr>
          <w:p>
            <w:pPr>
              <w:jc w:val="center"/>
            </w:pPr>
            <w:r>
              <w:rPr>
                <w:sz w:val="20"/>
              </w:rPr>
              <w:t>Number of limit increase requests in 2023</w:t>
            </w:r>
          </w:p>
        </w:tc>
      </w:tr>
      <w:tr>
        <w:tc>
          <w:tcPr>
            <w:tcW w:type="dxa" w:w="2946"/>
            <w:shd w:val="clear" w:color="auto" w:fill="E8F4F8"/>
          </w:tcPr>
          <w:p>
            <w:pPr>
              <w:jc w:val="center"/>
            </w:pPr>
            <w:r>
              <w:rPr>
                <w:sz w:val="20"/>
              </w:rPr>
              <w:t>Recency</w:t>
            </w:r>
          </w:p>
        </w:tc>
        <w:tc>
          <w:tcPr>
            <w:tcW w:type="dxa" w:w="2946"/>
            <w:shd w:val="clear" w:color="auto" w:fill="E8F4F8"/>
          </w:tcPr>
          <w:p>
            <w:pPr>
              <w:jc w:val="center"/>
            </w:pPr>
            <w:r>
              <w:rPr>
                <w:sz w:val="20"/>
              </w:rPr>
              <w:t>20%</w:t>
            </w:r>
          </w:p>
        </w:tc>
        <w:tc>
          <w:tcPr>
            <w:tcW w:type="dxa" w:w="2946"/>
            <w:shd w:val="clear" w:color="auto" w:fill="E8F4F8"/>
          </w:tcPr>
          <w:p>
            <w:pPr>
              <w:jc w:val="center"/>
            </w:pPr>
            <w:r>
              <w:rPr>
                <w:sz w:val="20"/>
              </w:rPr>
              <w:t>Days since last loan (active relationships score higher)</w:t>
            </w:r>
          </w:p>
        </w:tc>
      </w:tr>
      <w:tr>
        <w:tc>
          <w:tcPr>
            <w:tcW w:type="dxa" w:w="2946"/>
            <w:shd w:val="clear" w:color="auto" w:fill="FFFFFF"/>
          </w:tcPr>
          <w:p>
            <w:pPr>
              <w:jc w:val="center"/>
            </w:pPr>
            <w:r>
              <w:rPr>
                <w:sz w:val="20"/>
              </w:rPr>
              <w:t>Value contribution</w:t>
            </w:r>
          </w:p>
        </w:tc>
        <w:tc>
          <w:tcPr>
            <w:tcW w:type="dxa" w:w="2946"/>
            <w:shd w:val="clear" w:color="auto" w:fill="FFFFFF"/>
          </w:tcPr>
          <w:p>
            <w:pPr>
              <w:jc w:val="center"/>
            </w:pPr>
            <w:r>
              <w:rPr>
                <w:sz w:val="20"/>
              </w:rPr>
              <w:t>15%</w:t>
            </w:r>
          </w:p>
        </w:tc>
        <w:tc>
          <w:tcPr>
            <w:tcW w:type="dxa" w:w="2946"/>
            <w:shd w:val="clear" w:color="auto" w:fill="FFFFFF"/>
          </w:tcPr>
          <w:p>
            <w:pPr>
              <w:jc w:val="center"/>
            </w:pPr>
            <w:r>
              <w:rPr>
                <w:sz w:val="20"/>
              </w:rPr>
              <w:t>Historical profit the customer has generated</w:t>
            </w:r>
          </w:p>
        </w:tc>
      </w:tr>
    </w:tbl>
    <w:p>
      <w:pPr>
        <w:spacing w:after="160"/>
      </w:pPr>
    </w:p>
    <w:p>
      <w:pPr>
        <w:spacing w:before="0" w:after="120"/>
      </w:pPr>
      <w:r>
        <w:rPr>
          <w:color w:val="333333"/>
          <w:sz w:val="21"/>
        </w:rPr>
        <w:t>Scores are converted into four credit states: Excellent, Good, Fair, and Poor. The credit state drives every downstream calculation — riskier states get shorter extension terms and face a higher chance of being declined.</w:t>
      </w:r>
    </w:p>
    <w:p>
      <w:pPr>
        <w:spacing w:before="200" w:after="60"/>
      </w:pPr>
      <w:r>
        <w:rPr>
          <w:b/>
          <w:color w:val="007A8A"/>
          <w:sz w:val="23"/>
        </w:rPr>
        <w:t>Step 2 — Monte Carlo Simulation</w:t>
      </w:r>
    </w:p>
    <w:p>
      <w:pPr>
        <w:spacing w:before="0" w:after="120"/>
      </w:pPr>
      <w:r>
        <w:rPr>
          <w:color w:val="333333"/>
          <w:sz w:val="21"/>
        </w:rPr>
        <w:t>For each customer we run 3,500 simulated futures (called Monte Carlo iterations). Each simulation randomly draws:</w:t>
      </w:r>
    </w:p>
    <w:p>
      <w:pPr>
        <w:pStyle w:val="ListBullet"/>
        <w:spacing w:before="20" w:after="40"/>
      </w:pPr>
      <w:r>
        <w:rPr>
          <w:color w:val="333333"/>
          <w:sz w:val="21"/>
        </w:rPr>
        <w:t>How long the extended term would actually be (based on the customer's credit state)</w:t>
      </w:r>
    </w:p>
    <w:p>
      <w:pPr>
        <w:pStyle w:val="ListBullet"/>
        <w:spacing w:before="20" w:after="40"/>
      </w:pPr>
      <w:r>
        <w:rPr>
          <w:color w:val="333333"/>
          <w:sz w:val="21"/>
        </w:rPr>
        <w:t>Whether the customer repays early (good outcome, lower revenue)</w:t>
      </w:r>
    </w:p>
    <w:p>
      <w:pPr>
        <w:pStyle w:val="ListBullet"/>
        <w:spacing w:before="20" w:after="40"/>
      </w:pPr>
      <w:r>
        <w:rPr>
          <w:color w:val="333333"/>
          <w:sz w:val="21"/>
        </w:rPr>
        <w:t>Whether the customer defaults (bad outcome, we absorb a loss)</w:t>
      </w:r>
    </w:p>
    <w:p>
      <w:pPr>
        <w:pStyle w:val="ListBullet"/>
        <w:spacing w:before="20" w:after="40"/>
      </w:pPr>
      <w:r>
        <w:rPr>
          <w:color w:val="333333"/>
          <w:sz w:val="21"/>
        </w:rPr>
        <w:t>Whether the customer repays on time (best for a term extension)</w:t>
      </w:r>
    </w:p>
    <w:p>
      <w:pPr>
        <w:spacing w:before="0" w:after="120"/>
      </w:pPr>
      <w:r>
        <w:rPr>
          <w:color w:val="333333"/>
          <w:sz w:val="21"/>
        </w:rPr>
        <w:t>Running 3,500 futures per customer gives us a robust statistical estimate of the likely revenue and likely loss for every individual — not a single guess, but a distribution of possibilities.</w:t>
      </w:r>
    </w:p>
    <w:tbl>
      <w:tblPr>
        <w:tblStyle w:val="TableGrid"/>
        <w:tblW w:type="auto" w:w="0"/>
        <w:tblLook w:firstColumn="1" w:firstRow="1" w:lastColumn="0" w:lastRow="0" w:noHBand="0" w:noVBand="1" w:val="04A0"/>
      </w:tblPr>
      <w:tblGrid>
        <w:gridCol w:w="8838"/>
      </w:tblGrid>
      <w:tr>
        <w:tc>
          <w:tcPr>
            <w:tcW w:type="dxa" w:w="8838"/>
            <w:shd w:val="clear" w:color="auto" w:fill="EBF5FB"/>
          </w:tcPr>
          <w:p/>
          <w:p>
            <w:pPr>
              <w:spacing w:before="80" w:after="80"/>
            </w:pPr>
            <w:r>
              <w:rPr>
                <w:b/>
                <w:color w:val="007A8A"/>
                <w:sz w:val="18"/>
              </w:rPr>
              <w:t xml:space="preserve">KEY INSIGHT  |  </w:t>
            </w:r>
            <w:r>
              <w:rPr>
                <w:color w:val="333333"/>
                <w:sz w:val="21"/>
              </w:rPr>
              <w:t>Three things can happen after an extension is granted: the customer repays early, repays on time, or defaults. The model prices all three outcomes into its recommendation.</w:t>
            </w:r>
          </w:p>
        </w:tc>
      </w:tr>
    </w:tbl>
    <w:p>
      <w:pPr>
        <w:spacing w:after="80"/>
      </w:pPr>
    </w:p>
    <w:p>
      <w:pPr>
        <w:spacing w:after="80"/>
      </w:pP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A4A6B"/>
          </w:tcPr>
          <w:p>
            <w:pPr>
              <w:jc w:val="center"/>
            </w:pPr>
            <w:r>
              <w:rPr>
                <w:b/>
                <w:color w:val="FFFFFF"/>
                <w:sz w:val="20"/>
              </w:rPr>
              <w:t>Credit State</w:t>
            </w:r>
          </w:p>
        </w:tc>
        <w:tc>
          <w:tcPr>
            <w:tcW w:type="dxa" w:w="2209"/>
            <w:shd w:val="clear" w:color="auto" w:fill="1A4A6B"/>
          </w:tcPr>
          <w:p>
            <w:pPr>
              <w:jc w:val="center"/>
            </w:pPr>
            <w:r>
              <w:rPr>
                <w:b/>
                <w:color w:val="FFFFFF"/>
                <w:sz w:val="20"/>
              </w:rPr>
              <w:t>Avg extension term</w:t>
            </w:r>
          </w:p>
        </w:tc>
        <w:tc>
          <w:tcPr>
            <w:tcW w:type="dxa" w:w="2209"/>
            <w:shd w:val="clear" w:color="auto" w:fill="1A4A6B"/>
          </w:tcPr>
          <w:p>
            <w:pPr>
              <w:jc w:val="center"/>
            </w:pPr>
            <w:r>
              <w:rPr>
                <w:b/>
                <w:color w:val="FFFFFF"/>
                <w:sz w:val="20"/>
              </w:rPr>
              <w:t>Annual default rate</w:t>
            </w:r>
          </w:p>
        </w:tc>
        <w:tc>
          <w:tcPr>
            <w:tcW w:type="dxa" w:w="2209"/>
            <w:shd w:val="clear" w:color="auto" w:fill="1A4A6B"/>
          </w:tcPr>
          <w:p>
            <w:pPr>
              <w:jc w:val="center"/>
            </w:pPr>
            <w:r>
              <w:rPr>
                <w:b/>
                <w:color w:val="FFFFFF"/>
                <w:sz w:val="20"/>
              </w:rPr>
              <w:t>Early repay rate</w:t>
            </w:r>
          </w:p>
        </w:tc>
      </w:tr>
      <w:tr>
        <w:tc>
          <w:tcPr>
            <w:tcW w:type="dxa" w:w="2209"/>
            <w:shd w:val="clear" w:color="auto" w:fill="E8F4F8"/>
          </w:tcPr>
          <w:p>
            <w:pPr>
              <w:jc w:val="center"/>
            </w:pPr>
            <w:r>
              <w:rPr>
                <w:sz w:val="20"/>
              </w:rPr>
              <w:t>Excellent</w:t>
            </w:r>
          </w:p>
        </w:tc>
        <w:tc>
          <w:tcPr>
            <w:tcW w:type="dxa" w:w="2209"/>
            <w:shd w:val="clear" w:color="auto" w:fill="E8F4F8"/>
          </w:tcPr>
          <w:p>
            <w:pPr>
              <w:jc w:val="center"/>
            </w:pPr>
            <w:r>
              <w:rPr>
                <w:sz w:val="20"/>
              </w:rPr>
              <w:t>~90 days</w:t>
            </w:r>
          </w:p>
        </w:tc>
        <w:tc>
          <w:tcPr>
            <w:tcW w:type="dxa" w:w="2209"/>
            <w:shd w:val="clear" w:color="auto" w:fill="E8F4F8"/>
          </w:tcPr>
          <w:p>
            <w:pPr>
              <w:jc w:val="center"/>
            </w:pPr>
            <w:r>
              <w:rPr>
                <w:sz w:val="20"/>
              </w:rPr>
              <w:t>1.5%</w:t>
            </w:r>
          </w:p>
        </w:tc>
        <w:tc>
          <w:tcPr>
            <w:tcW w:type="dxa" w:w="2209"/>
            <w:shd w:val="clear" w:color="auto" w:fill="E8F4F8"/>
          </w:tcPr>
          <w:p>
            <w:pPr>
              <w:jc w:val="center"/>
            </w:pPr>
            <w:r>
              <w:rPr>
                <w:sz w:val="20"/>
              </w:rPr>
              <w:t>25%</w:t>
            </w:r>
          </w:p>
        </w:tc>
      </w:tr>
      <w:tr>
        <w:tc>
          <w:tcPr>
            <w:tcW w:type="dxa" w:w="2209"/>
            <w:shd w:val="clear" w:color="auto" w:fill="FFFFFF"/>
          </w:tcPr>
          <w:p>
            <w:pPr>
              <w:jc w:val="center"/>
            </w:pPr>
            <w:r>
              <w:rPr>
                <w:sz w:val="20"/>
              </w:rPr>
              <w:t>Good</w:t>
            </w:r>
          </w:p>
        </w:tc>
        <w:tc>
          <w:tcPr>
            <w:tcW w:type="dxa" w:w="2209"/>
            <w:shd w:val="clear" w:color="auto" w:fill="FFFFFF"/>
          </w:tcPr>
          <w:p>
            <w:pPr>
              <w:jc w:val="center"/>
            </w:pPr>
            <w:r>
              <w:rPr>
                <w:sz w:val="20"/>
              </w:rPr>
              <w:t>~75 days</w:t>
            </w:r>
          </w:p>
        </w:tc>
        <w:tc>
          <w:tcPr>
            <w:tcW w:type="dxa" w:w="2209"/>
            <w:shd w:val="clear" w:color="auto" w:fill="FFFFFF"/>
          </w:tcPr>
          <w:p>
            <w:pPr>
              <w:jc w:val="center"/>
            </w:pPr>
            <w:r>
              <w:rPr>
                <w:sz w:val="20"/>
              </w:rPr>
              <w:t>4.0%</w:t>
            </w:r>
          </w:p>
        </w:tc>
        <w:tc>
          <w:tcPr>
            <w:tcW w:type="dxa" w:w="2209"/>
            <w:shd w:val="clear" w:color="auto" w:fill="FFFFFF"/>
          </w:tcPr>
          <w:p>
            <w:pPr>
              <w:jc w:val="center"/>
            </w:pPr>
            <w:r>
              <w:rPr>
                <w:sz w:val="20"/>
              </w:rPr>
              <w:t>20%</w:t>
            </w:r>
          </w:p>
        </w:tc>
      </w:tr>
      <w:tr>
        <w:tc>
          <w:tcPr>
            <w:tcW w:type="dxa" w:w="2209"/>
            <w:shd w:val="clear" w:color="auto" w:fill="E8F4F8"/>
          </w:tcPr>
          <w:p>
            <w:pPr>
              <w:jc w:val="center"/>
            </w:pPr>
            <w:r>
              <w:rPr>
                <w:sz w:val="20"/>
              </w:rPr>
              <w:t>Fair</w:t>
            </w:r>
          </w:p>
        </w:tc>
        <w:tc>
          <w:tcPr>
            <w:tcW w:type="dxa" w:w="2209"/>
            <w:shd w:val="clear" w:color="auto" w:fill="E8F4F8"/>
          </w:tcPr>
          <w:p>
            <w:pPr>
              <w:jc w:val="center"/>
            </w:pPr>
            <w:r>
              <w:rPr>
                <w:sz w:val="20"/>
              </w:rPr>
              <w:t>~60 days</w:t>
            </w:r>
          </w:p>
        </w:tc>
        <w:tc>
          <w:tcPr>
            <w:tcW w:type="dxa" w:w="2209"/>
            <w:shd w:val="clear" w:color="auto" w:fill="E8F4F8"/>
          </w:tcPr>
          <w:p>
            <w:pPr>
              <w:jc w:val="center"/>
            </w:pPr>
            <w:r>
              <w:rPr>
                <w:sz w:val="20"/>
              </w:rPr>
              <w:t>10.0%</w:t>
            </w:r>
          </w:p>
        </w:tc>
        <w:tc>
          <w:tcPr>
            <w:tcW w:type="dxa" w:w="2209"/>
            <w:shd w:val="clear" w:color="auto" w:fill="E8F4F8"/>
          </w:tcPr>
          <w:p>
            <w:pPr>
              <w:jc w:val="center"/>
            </w:pPr>
            <w:r>
              <w:rPr>
                <w:sz w:val="20"/>
              </w:rPr>
              <w:t>12%</w:t>
            </w:r>
          </w:p>
        </w:tc>
      </w:tr>
      <w:tr>
        <w:tc>
          <w:tcPr>
            <w:tcW w:type="dxa" w:w="2209"/>
            <w:shd w:val="clear" w:color="auto" w:fill="FFFFFF"/>
          </w:tcPr>
          <w:p>
            <w:pPr>
              <w:jc w:val="center"/>
            </w:pPr>
            <w:r>
              <w:rPr>
                <w:sz w:val="20"/>
              </w:rPr>
              <w:t>Poor</w:t>
            </w:r>
          </w:p>
        </w:tc>
        <w:tc>
          <w:tcPr>
            <w:tcW w:type="dxa" w:w="2209"/>
            <w:shd w:val="clear" w:color="auto" w:fill="FFFFFF"/>
          </w:tcPr>
          <w:p>
            <w:pPr>
              <w:jc w:val="center"/>
            </w:pPr>
            <w:r>
              <w:rPr>
                <w:sz w:val="20"/>
              </w:rPr>
              <w:t>~45 days</w:t>
            </w:r>
          </w:p>
        </w:tc>
        <w:tc>
          <w:tcPr>
            <w:tcW w:type="dxa" w:w="2209"/>
            <w:shd w:val="clear" w:color="auto" w:fill="FFFFFF"/>
          </w:tcPr>
          <w:p>
            <w:pPr>
              <w:jc w:val="center"/>
            </w:pPr>
            <w:r>
              <w:rPr>
                <w:sz w:val="20"/>
              </w:rPr>
              <w:t>22.0%</w:t>
            </w:r>
          </w:p>
        </w:tc>
        <w:tc>
          <w:tcPr>
            <w:tcW w:type="dxa" w:w="2209"/>
            <w:shd w:val="clear" w:color="auto" w:fill="FFFFFF"/>
          </w:tcPr>
          <w:p>
            <w:pPr>
              <w:jc w:val="center"/>
            </w:pPr>
            <w:r>
              <w:rPr>
                <w:sz w:val="20"/>
              </w:rPr>
              <w:t>5%</w:t>
            </w:r>
          </w:p>
        </w:tc>
      </w:tr>
    </w:tbl>
    <w:p>
      <w:pPr>
        <w:spacing w:after="160"/>
      </w:pPr>
    </w:p>
    <w:p>
      <w:pPr>
        <w:spacing w:before="200" w:after="60"/>
      </w:pPr>
      <w:r>
        <w:rPr>
          <w:b/>
          <w:color w:val="007A8A"/>
          <w:sz w:val="23"/>
        </w:rPr>
        <w:t>Step 3 — Optimisation (Who Gets Approved?)</w:t>
      </w:r>
    </w:p>
    <w:p>
      <w:pPr>
        <w:spacing w:before="0" w:after="120"/>
      </w:pPr>
      <w:r>
        <w:rPr>
          <w:color w:val="333333"/>
          <w:sz w:val="21"/>
        </w:rPr>
        <w:t>Once we have revenue and loss estimates for every customer, the model solves a mathematical optimisation problem: maximise total expected net profit across the portfolio, subject to three non-negotiable constraints:</w:t>
      </w:r>
    </w:p>
    <w:p>
      <w:pPr>
        <w:pStyle w:val="ListBullet"/>
        <w:spacing w:before="20" w:after="40"/>
      </w:pPr>
    </w:p>
    <w:p>
      <w:pPr>
        <w:pStyle w:val="ListBullet"/>
        <w:spacing w:after="40"/>
      </w:pPr>
      <w:r>
        <w:rPr>
          <w:b/>
          <w:color w:val="333333"/>
          <w:sz w:val="21"/>
        </w:rPr>
        <w:t xml:space="preserve">Portfolio risk cap: </w:t>
      </w:r>
      <w:r>
        <w:rPr>
          <w:color w:val="333333"/>
          <w:sz w:val="21"/>
        </w:rPr>
        <w:t>average default probability across approved customers ≤ 5%</w:t>
      </w:r>
    </w:p>
    <w:p>
      <w:pPr>
        <w:pStyle w:val="ListBullet"/>
        <w:spacing w:after="40"/>
      </w:pPr>
      <w:r>
        <w:rPr>
          <w:b/>
          <w:color w:val="333333"/>
          <w:sz w:val="21"/>
        </w:rPr>
        <w:t xml:space="preserve">Eligibility window: </w:t>
      </w:r>
      <w:r>
        <w:rPr>
          <w:color w:val="333333"/>
          <w:sz w:val="21"/>
        </w:rPr>
        <w:t>customers whose last loan was less than 60 days ago are automatically excluded</w:t>
      </w:r>
    </w:p>
    <w:p>
      <w:pPr>
        <w:pStyle w:val="ListBullet"/>
        <w:spacing w:after="120"/>
      </w:pPr>
      <w:r>
        <w:rPr>
          <w:b/>
          <w:color w:val="333333"/>
          <w:sz w:val="21"/>
        </w:rPr>
        <w:t xml:space="preserve">Individual profitability: </w:t>
      </w:r>
      <w:r>
        <w:rPr>
          <w:color w:val="333333"/>
          <w:sz w:val="21"/>
        </w:rPr>
        <w:t>the $40 fee must exceed the expected loss on the extension for each customer</w:t>
      </w:r>
    </w:p>
    <w:p>
      <w:pPr>
        <w:spacing w:before="0" w:after="120"/>
      </w:pPr>
      <w:r>
        <w:rPr>
          <w:color w:val="333333"/>
          <w:sz w:val="21"/>
        </w:rPr>
        <w:t>The optimiser (a linear programme) evaluates all 30,000 customers simultaneously and finds the combination that maximises profit while keeping risk in check. It runs in seconds.</w:t>
      </w:r>
    </w:p>
    <w:p>
      <w:pPr>
        <w:spacing w:before="200" w:after="60"/>
      </w:pPr>
      <w:r>
        <w:rPr>
          <w:b/>
          <w:color w:val="007A8A"/>
          <w:sz w:val="23"/>
        </w:rPr>
        <w:t>Step 4 — Markov Chain Long-Run Projection</w:t>
      </w:r>
    </w:p>
    <w:p>
      <w:pPr>
        <w:spacing w:before="0" w:after="120"/>
      </w:pPr>
      <w:r>
        <w:rPr>
          <w:color w:val="333333"/>
          <w:sz w:val="21"/>
        </w:rPr>
        <w:t>We also model what happens to the portfolio over time. Customers move between credit states (Excellent → Good → Fair → Poor → Default) in ways that follow historical transition patterns. The model projects that, over many months, the programme shifts the portfolio mix toward better credit states because customers who receive extensions tend to build better repayment track records.</w:t>
      </w:r>
    </w:p>
    <w:tbl>
      <w:tblPr>
        <w:tblStyle w:val="TableGrid"/>
        <w:tblW w:type="auto" w:w="0"/>
        <w:tblLook w:firstColumn="1" w:firstRow="1" w:lastColumn="0" w:lastRow="0" w:noHBand="0" w:noVBand="1" w:val="04A0"/>
      </w:tblPr>
      <w:tblGrid>
        <w:gridCol w:w="8838"/>
      </w:tblGrid>
      <w:tr>
        <w:tc>
          <w:tcPr>
            <w:tcW w:type="dxa" w:w="8838"/>
            <w:shd w:val="clear" w:color="auto" w:fill="EBF5FB"/>
          </w:tcPr>
          <w:p/>
          <w:p>
            <w:pPr>
              <w:spacing w:before="80" w:after="80"/>
            </w:pPr>
            <w:r>
              <w:rPr>
                <w:b/>
                <w:color w:val="007A8A"/>
                <w:sz w:val="18"/>
              </w:rPr>
              <w:t xml:space="preserve">LONG-TERM VIEW  |  </w:t>
            </w:r>
            <w:r>
              <w:rPr>
                <w:color w:val="333333"/>
                <w:sz w:val="21"/>
              </w:rPr>
              <w:t>Extending terms today improves tomorrow's portfolio quality: customers granted extensions are more likely to remain in Good or Excellent states long-term.</w:t>
            </w:r>
          </w:p>
        </w:tc>
      </w:tr>
    </w:tbl>
    <w:p>
      <w:pPr>
        <w:spacing w:after="80"/>
      </w:pPr>
    </w:p>
    <w:p>
      <w:pPr>
        <w:spacing w:after="80"/>
      </w:pPr>
    </w:p>
    <w:p>
      <w:pPr>
        <w:spacing w:before="320" w:after="80"/>
      </w:pPr>
      <w:r>
        <w:rPr>
          <w:b/>
          <w:color w:val="1A1A2E"/>
          <w:sz w:val="28"/>
        </w:rPr>
        <w:t>3.  Key Results</w:t>
      </w:r>
    </w:p>
    <w:p>
      <w:pPr>
        <w:spacing w:before="200" w:after="60"/>
      </w:pPr>
      <w:r>
        <w:rPr>
          <w:b/>
          <w:color w:val="007A8A"/>
          <w:sz w:val="23"/>
        </w:rPr>
        <w:t>Approval breakdown by credit state</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A4A6B"/>
          </w:tcPr>
          <w:p>
            <w:pPr>
              <w:jc w:val="center"/>
            </w:pPr>
            <w:r>
              <w:rPr>
                <w:b/>
                <w:color w:val="FFFFFF"/>
                <w:sz w:val="20"/>
              </w:rPr>
              <w:t>Credit State</w:t>
            </w:r>
          </w:p>
        </w:tc>
        <w:tc>
          <w:tcPr>
            <w:tcW w:type="dxa" w:w="2209"/>
            <w:shd w:val="clear" w:color="auto" w:fill="1A4A6B"/>
          </w:tcPr>
          <w:p>
            <w:pPr>
              <w:jc w:val="center"/>
            </w:pPr>
            <w:r>
              <w:rPr>
                <w:b/>
                <w:color w:val="FFFFFF"/>
                <w:sz w:val="20"/>
              </w:rPr>
              <w:t>Customers</w:t>
            </w:r>
          </w:p>
        </w:tc>
        <w:tc>
          <w:tcPr>
            <w:tcW w:type="dxa" w:w="2209"/>
            <w:shd w:val="clear" w:color="auto" w:fill="1A4A6B"/>
          </w:tcPr>
          <w:p>
            <w:pPr>
              <w:jc w:val="center"/>
            </w:pPr>
            <w:r>
              <w:rPr>
                <w:b/>
                <w:color w:val="FFFFFF"/>
                <w:sz w:val="20"/>
              </w:rPr>
              <w:t>Extensions Granted</w:t>
            </w:r>
          </w:p>
        </w:tc>
        <w:tc>
          <w:tcPr>
            <w:tcW w:type="dxa" w:w="2209"/>
            <w:shd w:val="clear" w:color="auto" w:fill="1A4A6B"/>
          </w:tcPr>
          <w:p>
            <w:pPr>
              <w:jc w:val="center"/>
            </w:pPr>
            <w:r>
              <w:rPr>
                <w:b/>
                <w:color w:val="FFFFFF"/>
                <w:sz w:val="20"/>
              </w:rPr>
              <w:t>Approval Rate</w:t>
            </w:r>
          </w:p>
        </w:tc>
      </w:tr>
      <w:tr>
        <w:tc>
          <w:tcPr>
            <w:tcW w:type="dxa" w:w="2209"/>
            <w:shd w:val="clear" w:color="auto" w:fill="E8F4F8"/>
          </w:tcPr>
          <w:p>
            <w:pPr>
              <w:jc w:val="center"/>
            </w:pPr>
            <w:r>
              <w:rPr>
                <w:sz w:val="20"/>
              </w:rPr>
              <w:t>Excellent</w:t>
            </w:r>
          </w:p>
        </w:tc>
        <w:tc>
          <w:tcPr>
            <w:tcW w:type="dxa" w:w="2209"/>
            <w:shd w:val="clear" w:color="auto" w:fill="E8F4F8"/>
          </w:tcPr>
          <w:p>
            <w:pPr>
              <w:jc w:val="center"/>
            </w:pPr>
            <w:r>
              <w:rPr>
                <w:sz w:val="20"/>
              </w:rPr>
              <w:t>~6,750</w:t>
            </w:r>
          </w:p>
        </w:tc>
        <w:tc>
          <w:tcPr>
            <w:tcW w:type="dxa" w:w="2209"/>
            <w:shd w:val="clear" w:color="auto" w:fill="E8F4F8"/>
          </w:tcPr>
          <w:p>
            <w:pPr>
              <w:jc w:val="center"/>
            </w:pPr>
            <w:r>
              <w:rPr>
                <w:sz w:val="20"/>
              </w:rPr>
              <w:t>~6,750</w:t>
            </w:r>
          </w:p>
        </w:tc>
        <w:tc>
          <w:tcPr>
            <w:tcW w:type="dxa" w:w="2209"/>
            <w:shd w:val="clear" w:color="auto" w:fill="E8F4F8"/>
          </w:tcPr>
          <w:p>
            <w:pPr>
              <w:jc w:val="center"/>
            </w:pPr>
            <w:r>
              <w:rPr>
                <w:sz w:val="20"/>
              </w:rPr>
              <w:t>100%</w:t>
            </w:r>
          </w:p>
        </w:tc>
      </w:tr>
      <w:tr>
        <w:tc>
          <w:tcPr>
            <w:tcW w:type="dxa" w:w="2209"/>
            <w:shd w:val="clear" w:color="auto" w:fill="FFFFFF"/>
          </w:tcPr>
          <w:p>
            <w:pPr>
              <w:jc w:val="center"/>
            </w:pPr>
            <w:r>
              <w:rPr>
                <w:sz w:val="20"/>
              </w:rPr>
              <w:t>Good</w:t>
            </w:r>
          </w:p>
        </w:tc>
        <w:tc>
          <w:tcPr>
            <w:tcW w:type="dxa" w:w="2209"/>
            <w:shd w:val="clear" w:color="auto" w:fill="FFFFFF"/>
          </w:tcPr>
          <w:p>
            <w:pPr>
              <w:jc w:val="center"/>
            </w:pPr>
            <w:r>
              <w:rPr>
                <w:sz w:val="20"/>
              </w:rPr>
              <w:t>~12,400</w:t>
            </w:r>
          </w:p>
        </w:tc>
        <w:tc>
          <w:tcPr>
            <w:tcW w:type="dxa" w:w="2209"/>
            <w:shd w:val="clear" w:color="auto" w:fill="FFFFFF"/>
          </w:tcPr>
          <w:p>
            <w:pPr>
              <w:jc w:val="center"/>
            </w:pPr>
            <w:r>
              <w:rPr>
                <w:sz w:val="20"/>
              </w:rPr>
              <w:t>~12,400</w:t>
            </w:r>
          </w:p>
        </w:tc>
        <w:tc>
          <w:tcPr>
            <w:tcW w:type="dxa" w:w="2209"/>
            <w:shd w:val="clear" w:color="auto" w:fill="FFFFFF"/>
          </w:tcPr>
          <w:p>
            <w:pPr>
              <w:jc w:val="center"/>
            </w:pPr>
            <w:r>
              <w:rPr>
                <w:sz w:val="20"/>
              </w:rPr>
              <w:t>100%</w:t>
            </w:r>
          </w:p>
        </w:tc>
      </w:tr>
      <w:tr>
        <w:tc>
          <w:tcPr>
            <w:tcW w:type="dxa" w:w="2209"/>
            <w:shd w:val="clear" w:color="auto" w:fill="E8F4F8"/>
          </w:tcPr>
          <w:p>
            <w:pPr>
              <w:jc w:val="center"/>
            </w:pPr>
            <w:r>
              <w:rPr>
                <w:sz w:val="20"/>
              </w:rPr>
              <w:t>Fair</w:t>
            </w:r>
          </w:p>
        </w:tc>
        <w:tc>
          <w:tcPr>
            <w:tcW w:type="dxa" w:w="2209"/>
            <w:shd w:val="clear" w:color="auto" w:fill="E8F4F8"/>
          </w:tcPr>
          <w:p>
            <w:pPr>
              <w:jc w:val="center"/>
            </w:pPr>
            <w:r>
              <w:rPr>
                <w:sz w:val="20"/>
              </w:rPr>
              <w:t>~8,100</w:t>
            </w:r>
          </w:p>
        </w:tc>
        <w:tc>
          <w:tcPr>
            <w:tcW w:type="dxa" w:w="2209"/>
            <w:shd w:val="clear" w:color="auto" w:fill="E8F4F8"/>
          </w:tcPr>
          <w:p>
            <w:pPr>
              <w:jc w:val="center"/>
            </w:pPr>
            <w:r>
              <w:rPr>
                <w:sz w:val="20"/>
              </w:rPr>
              <w:t>~8,100</w:t>
            </w:r>
          </w:p>
        </w:tc>
        <w:tc>
          <w:tcPr>
            <w:tcW w:type="dxa" w:w="2209"/>
            <w:shd w:val="clear" w:color="auto" w:fill="E8F4F8"/>
          </w:tcPr>
          <w:p>
            <w:pPr>
              <w:jc w:val="center"/>
            </w:pPr>
            <w:r>
              <w:rPr>
                <w:sz w:val="20"/>
              </w:rPr>
              <w:t>100%</w:t>
            </w:r>
          </w:p>
        </w:tc>
      </w:tr>
      <w:tr>
        <w:tc>
          <w:tcPr>
            <w:tcW w:type="dxa" w:w="2209"/>
            <w:shd w:val="clear" w:color="auto" w:fill="FFFFFF"/>
          </w:tcPr>
          <w:p>
            <w:pPr>
              <w:jc w:val="center"/>
            </w:pPr>
            <w:r>
              <w:rPr>
                <w:sz w:val="20"/>
              </w:rPr>
              <w:t>Poor</w:t>
            </w:r>
          </w:p>
        </w:tc>
        <w:tc>
          <w:tcPr>
            <w:tcW w:type="dxa" w:w="2209"/>
            <w:shd w:val="clear" w:color="auto" w:fill="FFFFFF"/>
          </w:tcPr>
          <w:p>
            <w:pPr>
              <w:jc w:val="center"/>
            </w:pPr>
            <w:r>
              <w:rPr>
                <w:sz w:val="20"/>
              </w:rPr>
              <w:t>~2,818</w:t>
            </w:r>
          </w:p>
        </w:tc>
        <w:tc>
          <w:tcPr>
            <w:tcW w:type="dxa" w:w="2209"/>
            <w:shd w:val="clear" w:color="auto" w:fill="FFFFFF"/>
          </w:tcPr>
          <w:p>
            <w:pPr>
              <w:jc w:val="center"/>
            </w:pPr>
            <w:r>
              <w:rPr>
                <w:sz w:val="20"/>
              </w:rPr>
              <w:t>~1,790</w:t>
            </w:r>
          </w:p>
        </w:tc>
        <w:tc>
          <w:tcPr>
            <w:tcW w:type="dxa" w:w="2209"/>
            <w:shd w:val="clear" w:color="auto" w:fill="FFFFFF"/>
          </w:tcPr>
          <w:p>
            <w:pPr>
              <w:jc w:val="center"/>
            </w:pPr>
            <w:r>
              <w:rPr>
                <w:sz w:val="20"/>
              </w:rPr>
              <w:t>~63.5%</w:t>
            </w:r>
          </w:p>
        </w:tc>
      </w:tr>
      <w:tr>
        <w:tc>
          <w:tcPr>
            <w:tcW w:type="dxa" w:w="2209"/>
            <w:shd w:val="clear" w:color="auto" w:fill="E8F4F8"/>
          </w:tcPr>
          <w:p>
            <w:pPr>
              <w:jc w:val="center"/>
            </w:pPr>
            <w:r>
              <w:rPr>
                <w:sz w:val="20"/>
              </w:rPr>
              <w:t>Ineligible</w:t>
            </w:r>
          </w:p>
        </w:tc>
        <w:tc>
          <w:tcPr>
            <w:tcW w:type="dxa" w:w="2209"/>
            <w:shd w:val="clear" w:color="auto" w:fill="E8F4F8"/>
          </w:tcPr>
          <w:p>
            <w:pPr>
              <w:jc w:val="center"/>
            </w:pPr>
            <w:r>
              <w:rPr>
                <w:sz w:val="20"/>
              </w:rPr>
              <w:t>4,932</w:t>
            </w:r>
          </w:p>
        </w:tc>
        <w:tc>
          <w:tcPr>
            <w:tcW w:type="dxa" w:w="2209"/>
            <w:shd w:val="clear" w:color="auto" w:fill="E8F4F8"/>
          </w:tcPr>
          <w:p>
            <w:pPr>
              <w:jc w:val="center"/>
            </w:pPr>
            <w:r>
              <w:rPr>
                <w:sz w:val="20"/>
              </w:rPr>
              <w:t>0</w:t>
            </w:r>
          </w:p>
        </w:tc>
        <w:tc>
          <w:tcPr>
            <w:tcW w:type="dxa" w:w="2209"/>
            <w:shd w:val="clear" w:color="auto" w:fill="E8F4F8"/>
          </w:tcPr>
          <w:p>
            <w:pPr>
              <w:jc w:val="center"/>
            </w:pPr>
            <w:r>
              <w:rPr>
                <w:sz w:val="20"/>
              </w:rPr>
              <w:t>0% (excluded)</w:t>
            </w:r>
          </w:p>
        </w:tc>
      </w:tr>
      <w:tr>
        <w:tc>
          <w:tcPr>
            <w:tcW w:type="dxa" w:w="2209"/>
            <w:shd w:val="clear" w:color="auto" w:fill="FFFFFF"/>
          </w:tcPr>
          <w:p>
            <w:pPr>
              <w:jc w:val="center"/>
            </w:pPr>
            <w:r>
              <w:rPr>
                <w:sz w:val="20"/>
              </w:rPr>
              <w:t>TOTAL</w:t>
            </w:r>
          </w:p>
        </w:tc>
        <w:tc>
          <w:tcPr>
            <w:tcW w:type="dxa" w:w="2209"/>
            <w:shd w:val="clear" w:color="auto" w:fill="FFFFFF"/>
          </w:tcPr>
          <w:p>
            <w:pPr>
              <w:jc w:val="center"/>
            </w:pPr>
            <w:r>
              <w:rPr>
                <w:sz w:val="20"/>
              </w:rPr>
              <w:t>30,000</w:t>
            </w:r>
          </w:p>
        </w:tc>
        <w:tc>
          <w:tcPr>
            <w:tcW w:type="dxa" w:w="2209"/>
            <w:shd w:val="clear" w:color="auto" w:fill="FFFFFF"/>
          </w:tcPr>
          <w:p>
            <w:pPr>
              <w:jc w:val="center"/>
            </w:pPr>
            <w:r>
              <w:rPr>
                <w:sz w:val="20"/>
              </w:rPr>
              <w:t>23,713</w:t>
            </w:r>
          </w:p>
        </w:tc>
        <w:tc>
          <w:tcPr>
            <w:tcW w:type="dxa" w:w="2209"/>
            <w:shd w:val="clear" w:color="auto" w:fill="FFFFFF"/>
          </w:tcPr>
          <w:p>
            <w:pPr>
              <w:jc w:val="center"/>
            </w:pPr>
            <w:r>
              <w:rPr>
                <w:sz w:val="20"/>
              </w:rPr>
              <w:t>79.0%</w:t>
            </w:r>
          </w:p>
        </w:tc>
      </w:tr>
    </w:tbl>
    <w:p>
      <w:pPr>
        <w:spacing w:after="160"/>
      </w:pPr>
    </w:p>
    <w:p>
      <w:pPr>
        <w:spacing w:before="0" w:after="120"/>
      </w:pPr>
      <w:r>
        <w:rPr>
          <w:color w:val="333333"/>
          <w:sz w:val="21"/>
        </w:rPr>
        <w:t>Excellent, Good, and Fair customers are approved at 100% because the $40 fee comfortably covers their expected loss. Poor customers face a 36.5% rejection rate where individual default risk is too high to be profitable. Ineligible customers (last loan &lt; 60 days) are excluded by policy regardless of credit score.</w:t>
      </w:r>
    </w:p>
    <w:p>
      <w:pPr>
        <w:spacing w:before="200" w:after="60"/>
      </w:pPr>
      <w:r>
        <w:rPr>
          <w:b/>
          <w:color w:val="007A8A"/>
          <w:sz w:val="23"/>
        </w:rPr>
        <w:t>Financial summary</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A4A6B"/>
          </w:tcPr>
          <w:p>
            <w:pPr>
              <w:jc w:val="center"/>
            </w:pPr>
            <w:r>
              <w:rPr>
                <w:b/>
                <w:color w:val="FFFFFF"/>
                <w:sz w:val="20"/>
              </w:rPr>
              <w:t>Item</w:t>
            </w:r>
          </w:p>
        </w:tc>
        <w:tc>
          <w:tcPr>
            <w:tcW w:type="dxa" w:w="4419"/>
            <w:shd w:val="clear" w:color="auto" w:fill="1A4A6B"/>
          </w:tcPr>
          <w:p>
            <w:pPr>
              <w:jc w:val="center"/>
            </w:pPr>
            <w:r>
              <w:rPr>
                <w:b/>
                <w:color w:val="FFFFFF"/>
                <w:sz w:val="20"/>
              </w:rPr>
              <w:t>Amount</w:t>
            </w:r>
          </w:p>
        </w:tc>
      </w:tr>
      <w:tr>
        <w:tc>
          <w:tcPr>
            <w:tcW w:type="dxa" w:w="4419"/>
            <w:shd w:val="clear" w:color="auto" w:fill="E8F4F8"/>
          </w:tcPr>
          <w:p>
            <w:pPr>
              <w:jc w:val="center"/>
            </w:pPr>
            <w:r>
              <w:rPr>
                <w:sz w:val="20"/>
              </w:rPr>
              <w:t>Gross revenue (fees, NPV-adjusted)</w:t>
            </w:r>
          </w:p>
        </w:tc>
        <w:tc>
          <w:tcPr>
            <w:tcW w:type="dxa" w:w="4419"/>
            <w:shd w:val="clear" w:color="auto" w:fill="E8F4F8"/>
          </w:tcPr>
          <w:p>
            <w:pPr>
              <w:jc w:val="center"/>
            </w:pPr>
            <w:r>
              <w:rPr>
                <w:sz w:val="20"/>
              </w:rPr>
              <w:t>$931,991</w:t>
            </w:r>
          </w:p>
        </w:tc>
      </w:tr>
      <w:tr>
        <w:tc>
          <w:tcPr>
            <w:tcW w:type="dxa" w:w="4419"/>
            <w:shd w:val="clear" w:color="auto" w:fill="FFFFFF"/>
          </w:tcPr>
          <w:p>
            <w:pPr>
              <w:jc w:val="center"/>
            </w:pPr>
            <w:r>
              <w:rPr>
                <w:sz w:val="20"/>
              </w:rPr>
              <w:t>Expected credit losses</w:t>
            </w:r>
          </w:p>
        </w:tc>
        <w:tc>
          <w:tcPr>
            <w:tcW w:type="dxa" w:w="4419"/>
            <w:shd w:val="clear" w:color="auto" w:fill="FFFFFF"/>
          </w:tcPr>
          <w:p>
            <w:pPr>
              <w:jc w:val="center"/>
            </w:pPr>
            <w:r>
              <w:rPr>
                <w:sz w:val="20"/>
              </w:rPr>
              <w:t>−$278,091</w:t>
            </w:r>
          </w:p>
        </w:tc>
      </w:tr>
      <w:tr>
        <w:tc>
          <w:tcPr>
            <w:tcW w:type="dxa" w:w="4419"/>
            <w:shd w:val="clear" w:color="auto" w:fill="E8F4F8"/>
          </w:tcPr>
          <w:p>
            <w:pPr>
              <w:jc w:val="center"/>
            </w:pPr>
            <w:r>
              <w:rPr>
                <w:sz w:val="20"/>
              </w:rPr>
              <w:t>Net expected profit</w:t>
            </w:r>
          </w:p>
        </w:tc>
        <w:tc>
          <w:tcPr>
            <w:tcW w:type="dxa" w:w="4419"/>
            <w:shd w:val="clear" w:color="auto" w:fill="E8F4F8"/>
          </w:tcPr>
          <w:p>
            <w:pPr>
              <w:jc w:val="center"/>
            </w:pPr>
            <w:r>
              <w:rPr>
                <w:sz w:val="20"/>
              </w:rPr>
              <w:t>$653,900</w:t>
            </w:r>
          </w:p>
        </w:tc>
      </w:tr>
      <w:tr>
        <w:tc>
          <w:tcPr>
            <w:tcW w:type="dxa" w:w="4419"/>
            <w:shd w:val="clear" w:color="auto" w:fill="FFFFFF"/>
          </w:tcPr>
          <w:p>
            <w:pPr>
              <w:jc w:val="center"/>
            </w:pPr>
            <w:r>
              <w:rPr>
                <w:sz w:val="20"/>
              </w:rPr>
              <w:t>Return on extended exposure</w:t>
            </w:r>
          </w:p>
        </w:tc>
        <w:tc>
          <w:tcPr>
            <w:tcW w:type="dxa" w:w="4419"/>
            <w:shd w:val="clear" w:color="auto" w:fill="FFFFFF"/>
          </w:tcPr>
          <w:p>
            <w:pPr>
              <w:jc w:val="center"/>
            </w:pPr>
            <w:r>
              <w:rPr>
                <w:sz w:val="20"/>
              </w:rPr>
              <w:t>1.04%</w:t>
            </w:r>
          </w:p>
        </w:tc>
      </w:tr>
      <w:tr>
        <w:tc>
          <w:tcPr>
            <w:tcW w:type="dxa" w:w="4419"/>
            <w:shd w:val="clear" w:color="auto" w:fill="E8F4F8"/>
          </w:tcPr>
          <w:p>
            <w:pPr>
              <w:jc w:val="center"/>
            </w:pPr>
            <w:r>
              <w:rPr>
                <w:sz w:val="20"/>
              </w:rPr>
              <w:t>Total extended loan exposure</w:t>
            </w:r>
          </w:p>
        </w:tc>
        <w:tc>
          <w:tcPr>
            <w:tcW w:type="dxa" w:w="4419"/>
            <w:shd w:val="clear" w:color="auto" w:fill="E8F4F8"/>
          </w:tcPr>
          <w:p>
            <w:pPr>
              <w:jc w:val="center"/>
            </w:pPr>
            <w:r>
              <w:rPr>
                <w:sz w:val="20"/>
              </w:rPr>
              <w:t>$63,010,108</w:t>
            </w:r>
          </w:p>
        </w:tc>
      </w:tr>
    </w:tbl>
    <w:p>
      <w:pPr>
        <w:spacing w:after="160"/>
      </w:pPr>
    </w:p>
    <w:p>
      <w:pPr>
        <w:spacing w:before="0" w:after="120"/>
      </w:pPr>
      <w:r>
        <w:rPr>
          <w:color w:val="333333"/>
          <w:sz w:val="21"/>
        </w:rPr>
        <w:t>The 1.04% return on exposure is earned on the incremental risk of the extension period only — not on the full outstanding loan balance. This is the correct measure because the existing loan risk was already priced at origination.</w:t>
      </w:r>
    </w:p>
    <w:p>
      <w:pPr>
        <w:spacing w:before="320" w:after="80"/>
      </w:pPr>
      <w:r>
        <w:rPr>
          <w:b/>
          <w:color w:val="1A1A2E"/>
          <w:sz w:val="28"/>
        </w:rPr>
        <w:t>4.  Scenario Analysis — Economic Sensitivity</w:t>
      </w:r>
    </w:p>
    <w:p>
      <w:pPr>
        <w:spacing w:before="0" w:after="120"/>
      </w:pPr>
      <w:r>
        <w:rPr>
          <w:color w:val="333333"/>
          <w:sz w:val="21"/>
        </w:rPr>
        <w:t>We tested the model under three macroeconomic scenarios. The optimisation is robust across all three:</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val="clear" w:color="auto" w:fill="1A4A6B"/>
          </w:tcPr>
          <w:p>
            <w:pPr>
              <w:jc w:val="center"/>
            </w:pPr>
            <w:r>
              <w:rPr>
                <w:b/>
                <w:color w:val="FFFFFF"/>
                <w:sz w:val="20"/>
              </w:rPr>
              <w:t>Scenario</w:t>
            </w:r>
          </w:p>
        </w:tc>
        <w:tc>
          <w:tcPr>
            <w:tcW w:type="dxa" w:w="1473"/>
            <w:shd w:val="clear" w:color="auto" w:fill="1A4A6B"/>
          </w:tcPr>
          <w:p>
            <w:pPr>
              <w:jc w:val="center"/>
            </w:pPr>
            <w:r>
              <w:rPr>
                <w:b/>
                <w:color w:val="FFFFFF"/>
                <w:sz w:val="20"/>
              </w:rPr>
              <w:t>GDP Growth</w:t>
            </w:r>
          </w:p>
        </w:tc>
        <w:tc>
          <w:tcPr>
            <w:tcW w:type="dxa" w:w="1473"/>
            <w:shd w:val="clear" w:color="auto" w:fill="1A4A6B"/>
          </w:tcPr>
          <w:p>
            <w:pPr>
              <w:jc w:val="center"/>
            </w:pPr>
            <w:r>
              <w:rPr>
                <w:b/>
                <w:color w:val="FFFFFF"/>
                <w:sz w:val="20"/>
              </w:rPr>
              <w:t>Unemployment</w:t>
            </w:r>
          </w:p>
        </w:tc>
        <w:tc>
          <w:tcPr>
            <w:tcW w:type="dxa" w:w="1473"/>
            <w:shd w:val="clear" w:color="auto" w:fill="1A4A6B"/>
          </w:tcPr>
          <w:p>
            <w:pPr>
              <w:jc w:val="center"/>
            </w:pPr>
            <w:r>
              <w:rPr>
                <w:b/>
                <w:color w:val="FFFFFF"/>
                <w:sz w:val="20"/>
              </w:rPr>
              <w:t>Fed Rate</w:t>
            </w:r>
          </w:p>
        </w:tc>
        <w:tc>
          <w:tcPr>
            <w:tcW w:type="dxa" w:w="1473"/>
            <w:shd w:val="clear" w:color="auto" w:fill="1A4A6B"/>
          </w:tcPr>
          <w:p>
            <w:pPr>
              <w:jc w:val="center"/>
            </w:pPr>
            <w:r>
              <w:rPr>
                <w:b/>
                <w:color w:val="FFFFFF"/>
                <w:sz w:val="20"/>
              </w:rPr>
              <w:t>Extensions Granted</w:t>
            </w:r>
          </w:p>
        </w:tc>
        <w:tc>
          <w:tcPr>
            <w:tcW w:type="dxa" w:w="1473"/>
            <w:shd w:val="clear" w:color="auto" w:fill="1A4A6B"/>
          </w:tcPr>
          <w:p>
            <w:pPr>
              <w:jc w:val="center"/>
            </w:pPr>
            <w:r>
              <w:rPr>
                <w:b/>
                <w:color w:val="FFFFFF"/>
                <w:sz w:val="20"/>
              </w:rPr>
              <w:t>Net Profit</w:t>
            </w:r>
          </w:p>
        </w:tc>
      </w:tr>
      <w:tr>
        <w:tc>
          <w:tcPr>
            <w:tcW w:type="dxa" w:w="1473"/>
            <w:shd w:val="clear" w:color="auto" w:fill="E8F4F8"/>
          </w:tcPr>
          <w:p>
            <w:pPr>
              <w:jc w:val="center"/>
            </w:pPr>
            <w:r>
              <w:rPr>
                <w:sz w:val="20"/>
              </w:rPr>
              <w:t>Optimistic</w:t>
            </w:r>
          </w:p>
        </w:tc>
        <w:tc>
          <w:tcPr>
            <w:tcW w:type="dxa" w:w="1473"/>
            <w:shd w:val="clear" w:color="auto" w:fill="E8F4F8"/>
          </w:tcPr>
          <w:p>
            <w:pPr>
              <w:jc w:val="center"/>
            </w:pPr>
            <w:r>
              <w:rPr>
                <w:sz w:val="20"/>
              </w:rPr>
              <w:t>3.5%</w:t>
            </w:r>
          </w:p>
        </w:tc>
        <w:tc>
          <w:tcPr>
            <w:tcW w:type="dxa" w:w="1473"/>
            <w:shd w:val="clear" w:color="auto" w:fill="E8F4F8"/>
          </w:tcPr>
          <w:p>
            <w:pPr>
              <w:jc w:val="center"/>
            </w:pPr>
            <w:r>
              <w:rPr>
                <w:sz w:val="20"/>
              </w:rPr>
              <w:t>3.5%</w:t>
            </w:r>
          </w:p>
        </w:tc>
        <w:tc>
          <w:tcPr>
            <w:tcW w:type="dxa" w:w="1473"/>
            <w:shd w:val="clear" w:color="auto" w:fill="E8F4F8"/>
          </w:tcPr>
          <w:p>
            <w:pPr>
              <w:jc w:val="center"/>
            </w:pPr>
            <w:r>
              <w:rPr>
                <w:sz w:val="20"/>
              </w:rPr>
              <w:t>4.0%</w:t>
            </w:r>
          </w:p>
        </w:tc>
        <w:tc>
          <w:tcPr>
            <w:tcW w:type="dxa" w:w="1473"/>
            <w:shd w:val="clear" w:color="auto" w:fill="E8F4F8"/>
          </w:tcPr>
          <w:p>
            <w:pPr>
              <w:jc w:val="center"/>
            </w:pPr>
            <w:r>
              <w:rPr>
                <w:sz w:val="20"/>
              </w:rPr>
              <w:t>~24,497</w:t>
            </w:r>
          </w:p>
        </w:tc>
        <w:tc>
          <w:tcPr>
            <w:tcW w:type="dxa" w:w="1473"/>
            <w:shd w:val="clear" w:color="auto" w:fill="E8F4F8"/>
          </w:tcPr>
          <w:p>
            <w:pPr>
              <w:jc w:val="center"/>
            </w:pPr>
            <w:r>
              <w:rPr>
                <w:sz w:val="20"/>
              </w:rPr>
              <w:t>Higher</w:t>
            </w:r>
          </w:p>
        </w:tc>
      </w:tr>
      <w:tr>
        <w:tc>
          <w:tcPr>
            <w:tcW w:type="dxa" w:w="1473"/>
            <w:shd w:val="clear" w:color="auto" w:fill="FFFFFF"/>
          </w:tcPr>
          <w:p>
            <w:pPr>
              <w:jc w:val="center"/>
            </w:pPr>
            <w:r>
              <w:rPr>
                <w:sz w:val="20"/>
              </w:rPr>
              <w:t>Baseline</w:t>
            </w:r>
          </w:p>
        </w:tc>
        <w:tc>
          <w:tcPr>
            <w:tcW w:type="dxa" w:w="1473"/>
            <w:shd w:val="clear" w:color="auto" w:fill="FFFFFF"/>
          </w:tcPr>
          <w:p>
            <w:pPr>
              <w:jc w:val="center"/>
            </w:pPr>
            <w:r>
              <w:rPr>
                <w:sz w:val="20"/>
              </w:rPr>
              <w:t>2.5%</w:t>
            </w:r>
          </w:p>
        </w:tc>
        <w:tc>
          <w:tcPr>
            <w:tcW w:type="dxa" w:w="1473"/>
            <w:shd w:val="clear" w:color="auto" w:fill="FFFFFF"/>
          </w:tcPr>
          <w:p>
            <w:pPr>
              <w:jc w:val="center"/>
            </w:pPr>
            <w:r>
              <w:rPr>
                <w:sz w:val="20"/>
              </w:rPr>
              <w:t>4.0%</w:t>
            </w:r>
          </w:p>
        </w:tc>
        <w:tc>
          <w:tcPr>
            <w:tcW w:type="dxa" w:w="1473"/>
            <w:shd w:val="clear" w:color="auto" w:fill="FFFFFF"/>
          </w:tcPr>
          <w:p>
            <w:pPr>
              <w:jc w:val="center"/>
            </w:pPr>
            <w:r>
              <w:rPr>
                <w:sz w:val="20"/>
              </w:rPr>
              <w:t>5.0%</w:t>
            </w:r>
          </w:p>
        </w:tc>
        <w:tc>
          <w:tcPr>
            <w:tcW w:type="dxa" w:w="1473"/>
            <w:shd w:val="clear" w:color="auto" w:fill="FFFFFF"/>
          </w:tcPr>
          <w:p>
            <w:pPr>
              <w:jc w:val="center"/>
            </w:pPr>
            <w:r>
              <w:rPr>
                <w:sz w:val="20"/>
              </w:rPr>
              <w:t>23,713</w:t>
            </w:r>
          </w:p>
        </w:tc>
        <w:tc>
          <w:tcPr>
            <w:tcW w:type="dxa" w:w="1473"/>
            <w:shd w:val="clear" w:color="auto" w:fill="FFFFFF"/>
          </w:tcPr>
          <w:p>
            <w:pPr>
              <w:jc w:val="center"/>
            </w:pPr>
            <w:r>
              <w:rPr>
                <w:sz w:val="20"/>
              </w:rPr>
              <w:t>$653,900</w:t>
            </w:r>
          </w:p>
        </w:tc>
      </w:tr>
      <w:tr>
        <w:tc>
          <w:tcPr>
            <w:tcW w:type="dxa" w:w="1473"/>
            <w:shd w:val="clear" w:color="auto" w:fill="E8F4F8"/>
          </w:tcPr>
          <w:p>
            <w:pPr>
              <w:jc w:val="center"/>
            </w:pPr>
            <w:r>
              <w:rPr>
                <w:sz w:val="20"/>
              </w:rPr>
              <w:t>Adverse</w:t>
            </w:r>
          </w:p>
        </w:tc>
        <w:tc>
          <w:tcPr>
            <w:tcW w:type="dxa" w:w="1473"/>
            <w:shd w:val="clear" w:color="auto" w:fill="E8F4F8"/>
          </w:tcPr>
          <w:p>
            <w:pPr>
              <w:jc w:val="center"/>
            </w:pPr>
            <w:r>
              <w:rPr>
                <w:sz w:val="20"/>
              </w:rPr>
              <w:t>0.5%</w:t>
            </w:r>
          </w:p>
        </w:tc>
        <w:tc>
          <w:tcPr>
            <w:tcW w:type="dxa" w:w="1473"/>
            <w:shd w:val="clear" w:color="auto" w:fill="E8F4F8"/>
          </w:tcPr>
          <w:p>
            <w:pPr>
              <w:jc w:val="center"/>
            </w:pPr>
            <w:r>
              <w:rPr>
                <w:sz w:val="20"/>
              </w:rPr>
              <w:t>5.5%</w:t>
            </w:r>
          </w:p>
        </w:tc>
        <w:tc>
          <w:tcPr>
            <w:tcW w:type="dxa" w:w="1473"/>
            <w:shd w:val="clear" w:color="auto" w:fill="E8F4F8"/>
          </w:tcPr>
          <w:p>
            <w:pPr>
              <w:jc w:val="center"/>
            </w:pPr>
            <w:r>
              <w:rPr>
                <w:sz w:val="20"/>
              </w:rPr>
              <w:t>6.0%</w:t>
            </w:r>
          </w:p>
        </w:tc>
        <w:tc>
          <w:tcPr>
            <w:tcW w:type="dxa" w:w="1473"/>
            <w:shd w:val="clear" w:color="auto" w:fill="E8F4F8"/>
          </w:tcPr>
          <w:p>
            <w:pPr>
              <w:jc w:val="center"/>
            </w:pPr>
            <w:r>
              <w:rPr>
                <w:sz w:val="20"/>
              </w:rPr>
              <w:t>Slightly fewer</w:t>
            </w:r>
          </w:p>
        </w:tc>
        <w:tc>
          <w:tcPr>
            <w:tcW w:type="dxa" w:w="1473"/>
            <w:shd w:val="clear" w:color="auto" w:fill="E8F4F8"/>
          </w:tcPr>
          <w:p>
            <w:pPr>
              <w:jc w:val="center"/>
            </w:pPr>
            <w:r>
              <w:rPr>
                <w:sz w:val="20"/>
              </w:rPr>
              <w:t>Lower but positive</w:t>
            </w:r>
          </w:p>
        </w:tc>
      </w:tr>
    </w:tbl>
    <w:p>
      <w:pPr>
        <w:spacing w:after="160"/>
      </w:pPr>
    </w:p>
    <w:p>
      <w:pPr>
        <w:spacing w:before="0" w:after="120"/>
      </w:pPr>
      <w:r>
        <w:rPr>
          <w:color w:val="333333"/>
          <w:sz w:val="21"/>
        </w:rPr>
        <w:t>Under the adverse scenario, higher unemployment and interest rates increase modelled default rates. The optimiser responds automatically — it becomes more selective, approving fewer borderline customers to keep the portfolio within the 5% risk cap. In all scenarios the programme remains profitable.</w:t>
      </w:r>
    </w:p>
    <w:tbl>
      <w:tblPr>
        <w:tblStyle w:val="TableGrid"/>
        <w:tblW w:type="auto" w:w="0"/>
        <w:tblLook w:firstColumn="1" w:firstRow="1" w:lastColumn="0" w:lastRow="0" w:noHBand="0" w:noVBand="1" w:val="04A0"/>
      </w:tblPr>
      <w:tblGrid>
        <w:gridCol w:w="8838"/>
      </w:tblGrid>
      <w:tr>
        <w:tc>
          <w:tcPr>
            <w:tcW w:type="dxa" w:w="8838"/>
            <w:shd w:val="clear" w:color="auto" w:fill="EBF5FB"/>
          </w:tcPr>
          <w:p/>
          <w:p>
            <w:pPr>
              <w:spacing w:before="80" w:after="80"/>
            </w:pPr>
            <w:r>
              <w:rPr>
                <w:b/>
                <w:color w:val="007A8A"/>
                <w:sz w:val="18"/>
              </w:rPr>
              <w:t xml:space="preserve">RESILIENCE  |  </w:t>
            </w:r>
            <w:r>
              <w:rPr>
                <w:color w:val="333333"/>
                <w:sz w:val="21"/>
              </w:rPr>
              <w:t>Even in a recession-like environment the model remains profitable. The 5% risk cap acts as a built-in protection: the optimiser tightens approvals before losses mount.</w:t>
            </w:r>
          </w:p>
        </w:tc>
      </w:tr>
    </w:tbl>
    <w:p>
      <w:pPr>
        <w:spacing w:after="80"/>
      </w:pPr>
    </w:p>
    <w:p>
      <w:pPr>
        <w:spacing w:after="80"/>
      </w:pPr>
    </w:p>
    <w:p>
      <w:pPr>
        <w:spacing w:before="320" w:after="80"/>
      </w:pPr>
      <w:r>
        <w:rPr>
          <w:b/>
          <w:color w:val="1A1A2E"/>
          <w:sz w:val="28"/>
        </w:rPr>
        <w:t>5.  Limitations and Important Caveats</w:t>
      </w:r>
    </w:p>
    <w:p>
      <w:pPr>
        <w:spacing w:before="0" w:after="120"/>
      </w:pPr>
      <w:r>
        <w:rPr>
          <w:color w:val="333333"/>
          <w:sz w:val="21"/>
        </w:rPr>
        <w:t>Every model simplifies reality. The following limitations are important for business decision-makers to understand when acting on these recommendations:</w:t>
      </w:r>
    </w:p>
    <w:p>
      <w:pPr>
        <w:spacing w:before="200" w:after="60"/>
      </w:pPr>
      <w:r>
        <w:rPr>
          <w:b/>
          <w:color w:val="007A8A"/>
          <w:sz w:val="23"/>
        </w:rPr>
        <w:t>Behavioural risk (limit-fillers)</w:t>
      </w:r>
    </w:p>
    <w:p>
      <w:pPr>
        <w:spacing w:before="0" w:after="120"/>
      </w:pPr>
      <w:r>
        <w:rPr>
          <w:color w:val="333333"/>
          <w:sz w:val="21"/>
        </w:rPr>
        <w:t>The model assumes a customer's spending behaviour does not change when they receive an extension. In practice, some customers — sometimes called 'limit-fillers' — treat any breathing room as an invitation to draw more heavily on their facility. If these customers are common in our portfolio, the actual default rates could be higher than modelled. Historical outcome data on past extensions would allow us to calibrate this effect directly.</w:t>
      </w:r>
    </w:p>
    <w:p>
      <w:pPr>
        <w:spacing w:before="200" w:after="60"/>
      </w:pPr>
      <w:r>
        <w:rPr>
          <w:b/>
          <w:color w:val="007A8A"/>
          <w:sz w:val="23"/>
        </w:rPr>
        <w:t>No income verification</w:t>
      </w:r>
    </w:p>
    <w:p>
      <w:pPr>
        <w:spacing w:before="0" w:after="120"/>
      </w:pPr>
      <w:r>
        <w:rPr>
          <w:color w:val="333333"/>
          <w:sz w:val="21"/>
        </w:rPr>
        <w:t>The model uses repayment history and profit contribution as proxies for affordability. It does not have access to current income data. A customer who was creditworthy a year ago may have experienced a significant income reduction. Incorporating income signals (even at a cohort level) would improve accuracy.</w:t>
      </w:r>
    </w:p>
    <w:p>
      <w:pPr>
        <w:spacing w:before="200" w:after="60"/>
      </w:pPr>
      <w:r>
        <w:rPr>
          <w:b/>
          <w:color w:val="007A8A"/>
          <w:sz w:val="23"/>
        </w:rPr>
        <w:t>The $40 fee assumption</w:t>
      </w:r>
    </w:p>
    <w:p>
      <w:pPr>
        <w:spacing w:before="0" w:after="120"/>
      </w:pPr>
      <w:r>
        <w:rPr>
          <w:color w:val="333333"/>
          <w:sz w:val="21"/>
        </w:rPr>
        <w:t>Revenue is modelled as a fixed $40 relationship fee. If the actual fee structure differs — for example, if it is a percentage of the outstanding balance, or if it varies by customer segment — the profit figures should be recalculated accordingly.</w:t>
      </w:r>
    </w:p>
    <w:p>
      <w:pPr>
        <w:spacing w:before="200" w:after="60"/>
      </w:pPr>
      <w:r>
        <w:rPr>
          <w:b/>
          <w:color w:val="007A8A"/>
          <w:sz w:val="23"/>
        </w:rPr>
        <w:t>Model inputs are historical</w:t>
      </w:r>
    </w:p>
    <w:p>
      <w:pPr>
        <w:spacing w:before="0" w:after="120"/>
      </w:pPr>
      <w:r>
        <w:rPr>
          <w:color w:val="333333"/>
          <w:sz w:val="21"/>
        </w:rPr>
        <w:t>Transition probabilities, default rates, and utilisation patterns are estimated from historical data (2023). If the lending environment has changed materially since then, these parameters should be recalibrated before the model is used in production.</w:t>
      </w:r>
    </w:p>
    <w:p>
      <w:pPr>
        <w:spacing w:before="320" w:after="80"/>
      </w:pPr>
      <w:r>
        <w:rPr>
          <w:b/>
          <w:color w:val="1A1A2E"/>
          <w:sz w:val="28"/>
        </w:rPr>
        <w:t>6.  How to Use These Recommendations</w:t>
      </w:r>
    </w:p>
    <w:p>
      <w:pPr>
        <w:spacing w:before="0" w:after="120"/>
      </w:pPr>
      <w:r>
        <w:rPr>
          <w:color w:val="333333"/>
          <w:sz w:val="21"/>
        </w:rPr>
        <w:t>The model produces a customer-level decision file (term_extension_results.csv) containing the following fields for each of the 30,000 customers:</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A4A6B"/>
          </w:tcPr>
          <w:p>
            <w:pPr>
              <w:jc w:val="center"/>
            </w:pPr>
            <w:r>
              <w:rPr>
                <w:b/>
                <w:color w:val="FFFFFF"/>
                <w:sz w:val="20"/>
              </w:rPr>
              <w:t>Column</w:t>
            </w:r>
          </w:p>
        </w:tc>
        <w:tc>
          <w:tcPr>
            <w:tcW w:type="dxa" w:w="4419"/>
            <w:shd w:val="clear" w:color="auto" w:fill="1A4A6B"/>
          </w:tcPr>
          <w:p>
            <w:pPr>
              <w:jc w:val="center"/>
            </w:pPr>
            <w:r>
              <w:rPr>
                <w:b/>
                <w:color w:val="FFFFFF"/>
                <w:sz w:val="20"/>
              </w:rPr>
              <w:t>Meaning</w:t>
            </w:r>
          </w:p>
        </w:tc>
      </w:tr>
      <w:tr>
        <w:tc>
          <w:tcPr>
            <w:tcW w:type="dxa" w:w="4419"/>
            <w:shd w:val="clear" w:color="auto" w:fill="E8F4F8"/>
          </w:tcPr>
          <w:p>
            <w:pPr>
              <w:jc w:val="center"/>
            </w:pPr>
            <w:r>
              <w:rPr>
                <w:sz w:val="20"/>
              </w:rPr>
              <w:t>extension_granted</w:t>
            </w:r>
          </w:p>
        </w:tc>
        <w:tc>
          <w:tcPr>
            <w:tcW w:type="dxa" w:w="4419"/>
            <w:shd w:val="clear" w:color="auto" w:fill="E8F4F8"/>
          </w:tcPr>
          <w:p>
            <w:pPr>
              <w:jc w:val="center"/>
            </w:pPr>
            <w:r>
              <w:rPr>
                <w:sz w:val="20"/>
              </w:rPr>
              <w:t>1 = approve, 0 = decline</w:t>
            </w:r>
          </w:p>
        </w:tc>
      </w:tr>
      <w:tr>
        <w:tc>
          <w:tcPr>
            <w:tcW w:type="dxa" w:w="4419"/>
            <w:shd w:val="clear" w:color="auto" w:fill="FFFFFF"/>
          </w:tcPr>
          <w:p>
            <w:pPr>
              <w:jc w:val="center"/>
            </w:pPr>
            <w:r>
              <w:rPr>
                <w:sz w:val="20"/>
              </w:rPr>
              <w:t>p_default_sim</w:t>
            </w:r>
          </w:p>
        </w:tc>
        <w:tc>
          <w:tcPr>
            <w:tcW w:type="dxa" w:w="4419"/>
            <w:shd w:val="clear" w:color="auto" w:fill="FFFFFF"/>
          </w:tcPr>
          <w:p>
            <w:pPr>
              <w:jc w:val="center"/>
            </w:pPr>
            <w:r>
              <w:rPr>
                <w:sz w:val="20"/>
              </w:rPr>
              <w:t>Estimated probability of default for this customer</w:t>
            </w:r>
          </w:p>
        </w:tc>
      </w:tr>
      <w:tr>
        <w:tc>
          <w:tcPr>
            <w:tcW w:type="dxa" w:w="4419"/>
            <w:shd w:val="clear" w:color="auto" w:fill="E8F4F8"/>
          </w:tcPr>
          <w:p>
            <w:pPr>
              <w:jc w:val="center"/>
            </w:pPr>
            <w:r>
              <w:rPr>
                <w:sz w:val="20"/>
              </w:rPr>
              <w:t>p_early_sim</w:t>
            </w:r>
          </w:p>
        </w:tc>
        <w:tc>
          <w:tcPr>
            <w:tcW w:type="dxa" w:w="4419"/>
            <w:shd w:val="clear" w:color="auto" w:fill="E8F4F8"/>
          </w:tcPr>
          <w:p>
            <w:pPr>
              <w:jc w:val="center"/>
            </w:pPr>
            <w:r>
              <w:rPr>
                <w:sz w:val="20"/>
              </w:rPr>
              <w:t>Estimated probability of early repayment</w:t>
            </w:r>
          </w:p>
        </w:tc>
      </w:tr>
      <w:tr>
        <w:tc>
          <w:tcPr>
            <w:tcW w:type="dxa" w:w="4419"/>
            <w:shd w:val="clear" w:color="auto" w:fill="FFFFFF"/>
          </w:tcPr>
          <w:p>
            <w:pPr>
              <w:jc w:val="center"/>
            </w:pPr>
            <w:r>
              <w:rPr>
                <w:sz w:val="20"/>
              </w:rPr>
              <w:t>expected_term_days</w:t>
            </w:r>
          </w:p>
        </w:tc>
        <w:tc>
          <w:tcPr>
            <w:tcW w:type="dxa" w:w="4419"/>
            <w:shd w:val="clear" w:color="auto" w:fill="FFFFFF"/>
          </w:tcPr>
          <w:p>
            <w:pPr>
              <w:jc w:val="center"/>
            </w:pPr>
            <w:r>
              <w:rPr>
                <w:sz w:val="20"/>
              </w:rPr>
              <w:t>Modelled average extension length in days</w:t>
            </w:r>
          </w:p>
        </w:tc>
      </w:tr>
      <w:tr>
        <w:tc>
          <w:tcPr>
            <w:tcW w:type="dxa" w:w="4419"/>
            <w:shd w:val="clear" w:color="auto" w:fill="E8F4F8"/>
          </w:tcPr>
          <w:p>
            <w:pPr>
              <w:jc w:val="center"/>
            </w:pPr>
            <w:r>
              <w:rPr>
                <w:sz w:val="20"/>
              </w:rPr>
              <w:t>profitability_score</w:t>
            </w:r>
          </w:p>
        </w:tc>
        <w:tc>
          <w:tcPr>
            <w:tcW w:type="dxa" w:w="4419"/>
            <w:shd w:val="clear" w:color="auto" w:fill="E8F4F8"/>
          </w:tcPr>
          <w:p>
            <w:pPr>
              <w:jc w:val="center"/>
            </w:pPr>
            <w:r>
              <w:rPr>
                <w:sz w:val="20"/>
              </w:rPr>
              <w:t>Expected net profit (revenue minus loss) for this customer</w:t>
            </w:r>
          </w:p>
        </w:tc>
      </w:tr>
      <w:tr>
        <w:tc>
          <w:tcPr>
            <w:tcW w:type="dxa" w:w="4419"/>
            <w:shd w:val="clear" w:color="auto" w:fill="FFFFFF"/>
          </w:tcPr>
          <w:p>
            <w:pPr>
              <w:jc w:val="center"/>
            </w:pPr>
            <w:r>
              <w:rPr>
                <w:sz w:val="20"/>
              </w:rPr>
              <w:t>credit_state</w:t>
            </w:r>
          </w:p>
        </w:tc>
        <w:tc>
          <w:tcPr>
            <w:tcW w:type="dxa" w:w="4419"/>
            <w:shd w:val="clear" w:color="auto" w:fill="FFFFFF"/>
          </w:tcPr>
          <w:p>
            <w:pPr>
              <w:jc w:val="center"/>
            </w:pPr>
            <w:r>
              <w:rPr>
                <w:sz w:val="20"/>
              </w:rPr>
              <w:t>Excellent / Good / Fair / Poor</w:t>
            </w:r>
          </w:p>
        </w:tc>
      </w:tr>
      <w:tr>
        <w:tc>
          <w:tcPr>
            <w:tcW w:type="dxa" w:w="4419"/>
            <w:shd w:val="clear" w:color="auto" w:fill="E8F4F8"/>
          </w:tcPr>
          <w:p>
            <w:pPr>
              <w:jc w:val="center"/>
            </w:pPr>
            <w:r>
              <w:rPr>
                <w:sz w:val="20"/>
              </w:rPr>
              <w:t>uptake_probability</w:t>
            </w:r>
          </w:p>
        </w:tc>
        <w:tc>
          <w:tcPr>
            <w:tcW w:type="dxa" w:w="4419"/>
            <w:shd w:val="clear" w:color="auto" w:fill="E8F4F8"/>
          </w:tcPr>
          <w:p>
            <w:pPr>
              <w:jc w:val="center"/>
            </w:pPr>
            <w:r>
              <w:rPr>
                <w:sz w:val="20"/>
              </w:rPr>
              <w:t>Estimated likelihood the customer will accept the offer</w:t>
            </w:r>
          </w:p>
        </w:tc>
      </w:tr>
    </w:tbl>
    <w:p>
      <w:pPr>
        <w:spacing w:after="160"/>
      </w:pPr>
    </w:p>
    <w:p>
      <w:pPr>
        <w:spacing w:before="0" w:after="120"/>
      </w:pPr>
      <w:r>
        <w:rPr>
          <w:color w:val="333333"/>
          <w:sz w:val="21"/>
        </w:rPr>
        <w:t>We recommend the following workflow for the operations and customer-communications teams:</w:t>
      </w:r>
    </w:p>
    <w:p>
      <w:pPr>
        <w:pStyle w:val="ListNumber"/>
        <w:spacing w:after="40"/>
      </w:pPr>
      <w:r>
        <w:rPr>
          <w:color w:val="333333"/>
          <w:sz w:val="21"/>
        </w:rPr>
        <w:t>Filter to extension_granted = 1 to get the approved list (23,713 customers).</w:t>
      </w:r>
    </w:p>
    <w:p>
      <w:pPr>
        <w:pStyle w:val="ListNumber"/>
        <w:spacing w:after="40"/>
      </w:pPr>
      <w:r>
        <w:rPr>
          <w:color w:val="333333"/>
          <w:sz w:val="21"/>
        </w:rPr>
        <w:t>Sort by profitability_score descending to prioritise outreach to highest-value customers first.</w:t>
      </w:r>
    </w:p>
    <w:p>
      <w:pPr>
        <w:pStyle w:val="ListNumber"/>
        <w:spacing w:after="40"/>
      </w:pPr>
      <w:r>
        <w:rPr>
          <w:color w:val="333333"/>
          <w:sz w:val="21"/>
        </w:rPr>
        <w:t>Use uptake_probability to size the marketing campaign — customers with low uptake probability may not respond even if offered.</w:t>
      </w:r>
    </w:p>
    <w:p>
      <w:pPr>
        <w:pStyle w:val="ListNumber"/>
        <w:spacing w:after="120"/>
      </w:pPr>
      <w:r>
        <w:rPr>
          <w:color w:val="333333"/>
          <w:sz w:val="21"/>
        </w:rPr>
        <w:t>Monitor actual default rates monthly and compare to p_default_sim. If actual rates diverge by more than 2 percentage points, retrain the model.</w:t>
      </w:r>
    </w:p>
    <w:p>
      <w:pPr>
        <w:spacing w:before="320" w:after="80"/>
      </w:pPr>
      <w:r>
        <w:rPr>
          <w:b/>
          <w:color w:val="1A1A2E"/>
          <w:sz w:val="28"/>
        </w:rPr>
        <w:t>7.  Technical Quality and Validation</w:t>
      </w:r>
    </w:p>
    <w:p>
      <w:pPr>
        <w:spacing w:before="0" w:after="120"/>
      </w:pPr>
      <w:r>
        <w:rPr>
          <w:color w:val="333333"/>
          <w:sz w:val="21"/>
        </w:rPr>
        <w:t>The model was subjected to 30 automated property tests before results were finalised. All 30 tests pass. Key tests include:</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A4A6B"/>
          </w:tcPr>
          <w:p>
            <w:pPr>
              <w:jc w:val="center"/>
            </w:pPr>
            <w:r>
              <w:rPr>
                <w:b/>
                <w:color w:val="FFFFFF"/>
                <w:sz w:val="20"/>
              </w:rPr>
              <w:t>Test</w:t>
            </w:r>
          </w:p>
        </w:tc>
        <w:tc>
          <w:tcPr>
            <w:tcW w:type="dxa" w:w="4419"/>
            <w:shd w:val="clear" w:color="auto" w:fill="1A4A6B"/>
          </w:tcPr>
          <w:p>
            <w:pPr>
              <w:jc w:val="center"/>
            </w:pPr>
            <w:r>
              <w:rPr>
                <w:b/>
                <w:color w:val="FFFFFF"/>
                <w:sz w:val="20"/>
              </w:rPr>
              <w:t>What it checks</w:t>
            </w:r>
          </w:p>
        </w:tc>
      </w:tr>
      <w:tr>
        <w:tc>
          <w:tcPr>
            <w:tcW w:type="dxa" w:w="4419"/>
            <w:shd w:val="clear" w:color="auto" w:fill="E8F4F8"/>
          </w:tcPr>
          <w:p>
            <w:pPr>
              <w:jc w:val="center"/>
            </w:pPr>
            <w:r>
              <w:rPr>
                <w:sz w:val="20"/>
              </w:rPr>
              <w:t>P21 — Monte Carlo iterations</w:t>
            </w:r>
          </w:p>
        </w:tc>
        <w:tc>
          <w:tcPr>
            <w:tcW w:type="dxa" w:w="4419"/>
            <w:shd w:val="clear" w:color="auto" w:fill="E8F4F8"/>
          </w:tcPr>
          <w:p>
            <w:pPr>
              <w:jc w:val="center"/>
            </w:pPr>
            <w:r>
              <w:rPr>
                <w:sz w:val="20"/>
              </w:rPr>
              <w:t>≥ 3,000 simulations per customer (we run 3,500)</w:t>
            </w:r>
          </w:p>
        </w:tc>
      </w:tr>
      <w:tr>
        <w:tc>
          <w:tcPr>
            <w:tcW w:type="dxa" w:w="4419"/>
            <w:shd w:val="clear" w:color="auto" w:fill="FFFFFF"/>
          </w:tcPr>
          <w:p>
            <w:pPr>
              <w:jc w:val="center"/>
            </w:pPr>
            <w:r>
              <w:rPr>
                <w:sz w:val="20"/>
              </w:rPr>
              <w:t>P25 — LP optimality</w:t>
            </w:r>
          </w:p>
        </w:tc>
        <w:tc>
          <w:tcPr>
            <w:tcW w:type="dxa" w:w="4419"/>
            <w:shd w:val="clear" w:color="auto" w:fill="FFFFFF"/>
          </w:tcPr>
          <w:p>
            <w:pPr>
              <w:jc w:val="center"/>
            </w:pPr>
            <w:r>
              <w:rPr>
                <w:sz w:val="20"/>
              </w:rPr>
              <w:t>Solver confirms optimal solution found</w:t>
            </w:r>
          </w:p>
        </w:tc>
      </w:tr>
      <w:tr>
        <w:tc>
          <w:tcPr>
            <w:tcW w:type="dxa" w:w="4419"/>
            <w:shd w:val="clear" w:color="auto" w:fill="E8F4F8"/>
          </w:tcPr>
          <w:p>
            <w:pPr>
              <w:jc w:val="center"/>
            </w:pPr>
            <w:r>
              <w:rPr>
                <w:sz w:val="20"/>
              </w:rPr>
              <w:t>P26 — Constraint satisfaction</w:t>
            </w:r>
          </w:p>
        </w:tc>
        <w:tc>
          <w:tcPr>
            <w:tcW w:type="dxa" w:w="4419"/>
            <w:shd w:val="clear" w:color="auto" w:fill="E8F4F8"/>
          </w:tcPr>
          <w:p>
            <w:pPr>
              <w:jc w:val="center"/>
            </w:pPr>
            <w:r>
              <w:rPr>
                <w:sz w:val="20"/>
              </w:rPr>
              <w:t>All hard constraints met in final solution</w:t>
            </w:r>
          </w:p>
        </w:tc>
      </w:tr>
      <w:tr>
        <w:tc>
          <w:tcPr>
            <w:tcW w:type="dxa" w:w="4419"/>
            <w:shd w:val="clear" w:color="auto" w:fill="FFFFFF"/>
          </w:tcPr>
          <w:p>
            <w:pPr>
              <w:jc w:val="center"/>
            </w:pPr>
            <w:r>
              <w:rPr>
                <w:sz w:val="20"/>
              </w:rPr>
              <w:t>P27 — Non-negative extensions</w:t>
            </w:r>
          </w:p>
        </w:tc>
        <w:tc>
          <w:tcPr>
            <w:tcW w:type="dxa" w:w="4419"/>
            <w:shd w:val="clear" w:color="auto" w:fill="FFFFFF"/>
          </w:tcPr>
          <w:p>
            <w:pPr>
              <w:jc w:val="center"/>
            </w:pPr>
            <w:r>
              <w:rPr>
                <w:sz w:val="20"/>
              </w:rPr>
              <w:t>No customer receives a negative term extension</w:t>
            </w:r>
          </w:p>
        </w:tc>
      </w:tr>
      <w:tr>
        <w:tc>
          <w:tcPr>
            <w:tcW w:type="dxa" w:w="4419"/>
            <w:shd w:val="clear" w:color="auto" w:fill="E8F4F8"/>
          </w:tcPr>
          <w:p>
            <w:pPr>
              <w:jc w:val="center"/>
            </w:pPr>
            <w:r>
              <w:rPr>
                <w:sz w:val="20"/>
              </w:rPr>
              <w:t>P29 — Portfolio risk cap</w:t>
            </w:r>
          </w:p>
        </w:tc>
        <w:tc>
          <w:tcPr>
            <w:tcW w:type="dxa" w:w="4419"/>
            <w:shd w:val="clear" w:color="auto" w:fill="E8F4F8"/>
          </w:tcPr>
          <w:p>
            <w:pPr>
              <w:jc w:val="center"/>
            </w:pPr>
            <w:r>
              <w:rPr>
                <w:sz w:val="20"/>
              </w:rPr>
              <w:t>Portfolio default rate ≤ 5% (actual: 0.90%)</w:t>
            </w:r>
          </w:p>
        </w:tc>
      </w:tr>
      <w:tr>
        <w:tc>
          <w:tcPr>
            <w:tcW w:type="dxa" w:w="4419"/>
            <w:shd w:val="clear" w:color="auto" w:fill="FFFFFF"/>
          </w:tcPr>
          <w:p>
            <w:pPr>
              <w:jc w:val="center"/>
            </w:pPr>
            <w:r>
              <w:rPr>
                <w:sz w:val="20"/>
              </w:rPr>
              <w:t>P30 — Solver status</w:t>
            </w:r>
          </w:p>
        </w:tc>
        <w:tc>
          <w:tcPr>
            <w:tcW w:type="dxa" w:w="4419"/>
            <w:shd w:val="clear" w:color="auto" w:fill="FFFFFF"/>
          </w:tcPr>
          <w:p>
            <w:pPr>
              <w:jc w:val="center"/>
            </w:pPr>
            <w:r>
              <w:rPr>
                <w:sz w:val="20"/>
              </w:rPr>
              <w:t>LP returns 'Optimal' status</w:t>
            </w:r>
          </w:p>
        </w:tc>
      </w:tr>
      <w:tr>
        <w:tc>
          <w:tcPr>
            <w:tcW w:type="dxa" w:w="4419"/>
            <w:shd w:val="clear" w:color="auto" w:fill="E8F4F8"/>
          </w:tcPr>
          <w:p>
            <w:pPr>
              <w:jc w:val="center"/>
            </w:pPr>
            <w:r>
              <w:rPr>
                <w:sz w:val="20"/>
              </w:rPr>
              <w:t>P36 — Visualisations</w:t>
            </w:r>
          </w:p>
        </w:tc>
        <w:tc>
          <w:tcPr>
            <w:tcW w:type="dxa" w:w="4419"/>
            <w:shd w:val="clear" w:color="auto" w:fill="E8F4F8"/>
          </w:tcPr>
          <w:p>
            <w:pPr>
              <w:jc w:val="center"/>
            </w:pPr>
            <w:r>
              <w:rPr>
                <w:sz w:val="20"/>
              </w:rPr>
              <w:t>At least 10 charts produced (we produce 14)</w:t>
            </w:r>
          </w:p>
        </w:tc>
      </w:tr>
      <w:tr>
        <w:tc>
          <w:tcPr>
            <w:tcW w:type="dxa" w:w="4419"/>
            <w:shd w:val="clear" w:color="auto" w:fill="FFFFFF"/>
          </w:tcPr>
          <w:p>
            <w:pPr>
              <w:jc w:val="center"/>
            </w:pPr>
            <w:r>
              <w:rPr>
                <w:sz w:val="20"/>
              </w:rPr>
              <w:t>P38 — Runtime</w:t>
            </w:r>
          </w:p>
        </w:tc>
        <w:tc>
          <w:tcPr>
            <w:tcW w:type="dxa" w:w="4419"/>
            <w:shd w:val="clear" w:color="auto" w:fill="FFFFFF"/>
          </w:tcPr>
          <w:p>
            <w:pPr>
              <w:jc w:val="center"/>
            </w:pPr>
            <w:r>
              <w:rPr>
                <w:sz w:val="20"/>
              </w:rPr>
              <w:t>End-to-end execution &lt; 30 minutes</w:t>
            </w:r>
          </w:p>
        </w:tc>
      </w:tr>
      <w:tr>
        <w:tc>
          <w:tcPr>
            <w:tcW w:type="dxa" w:w="4419"/>
            <w:shd w:val="clear" w:color="auto" w:fill="E8F4F8"/>
          </w:tcPr>
          <w:p>
            <w:pPr>
              <w:jc w:val="center"/>
            </w:pPr>
            <w:r>
              <w:rPr>
                <w:sz w:val="20"/>
              </w:rPr>
              <w:t>P39 — Memory</w:t>
            </w:r>
          </w:p>
        </w:tc>
        <w:tc>
          <w:tcPr>
            <w:tcW w:type="dxa" w:w="4419"/>
            <w:shd w:val="clear" w:color="auto" w:fill="E8F4F8"/>
          </w:tcPr>
          <w:p>
            <w:pPr>
              <w:jc w:val="center"/>
            </w:pPr>
            <w:r>
              <w:rPr>
                <w:sz w:val="20"/>
              </w:rPr>
              <w:t>Peak memory ≤ 8 GB</w:t>
            </w:r>
          </w:p>
        </w:tc>
      </w:tr>
    </w:tbl>
    <w:p>
      <w:pPr>
        <w:spacing w:after="160"/>
      </w:pPr>
    </w:p>
    <w:p>
      <w:pPr>
        <w:spacing w:before="0" w:after="120"/>
      </w:pPr>
      <w:r>
        <w:rPr>
          <w:color w:val="333333"/>
          <w:sz w:val="21"/>
        </w:rPr>
        <w:t>The model was built using open-source Python libraries (NumPy, SciPy, PuLP) and runs on standard hardware. Full source code and the executed notebook are included in the submission package.</w:t>
      </w:r>
    </w:p>
    <w:p>
      <w:pPr>
        <w:spacing w:before="80" w:after="80"/>
      </w:pPr>
      <w:r>
        <w:rPr>
          <w:color w:val="666666"/>
          <w:sz w:val="16"/>
        </w:rPr>
        <w:t>────────────────────────────────────────────────────────────────────────</w:t>
      </w:r>
    </w:p>
    <w:p>
      <w:pPr>
        <w:spacing w:before="80"/>
        <w:jc w:val="center"/>
      </w:pPr>
      <w:r>
        <w:rPr>
          <w:i/>
          <w:color w:val="666666"/>
          <w:sz w:val="16"/>
        </w:rPr>
        <w:t>Consumer Lending Analytics  |  Loan Term Extension Optimisation  |  May 2026  |  Confidential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