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theme/themeOverride2.xml" ContentType="application/vnd.openxmlformats-officedocument.themeOverride+xml"/>
  <Default Extension="jpeg" ContentType="image/jpeg"/>
  <Override PartName="/word/charts/chart2.xml" ContentType="application/vnd.openxmlformats-officedocument.drawingml.chart+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package" ContentType="application/vnd.openxmlformats-officedocument.package"/>
  <Default Extension="emf" ContentType="image/x-emf"/>
  <Override PartName="/docProps/core.xml" ContentType="application/vnd.openxmlformats-package.core-properties+xml"/>
  <Override PartName="/word/theme/themeOverride1.xml" ContentType="application/vnd.openxmlformats-officedocument.themeOverrid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1622E" w:rsidRDefault="000F1E7D" w:rsidP="00AE1D36">
      <w:pPr>
        <w:jc w:val="both"/>
        <w:rPr>
          <w:b/>
          <w:lang w:val="en-GB"/>
        </w:rPr>
      </w:pPr>
      <w:r>
        <w:rPr>
          <w:b/>
          <w:lang w:val="en-GB"/>
        </w:rPr>
        <w:t>Bijlage 1</w:t>
      </w:r>
    </w:p>
    <w:p w:rsidR="0021622E" w:rsidRPr="00EF43E1" w:rsidRDefault="007D2CD6" w:rsidP="00AE1D36">
      <w:pPr>
        <w:jc w:val="both"/>
        <w:rPr>
          <w:b/>
          <w:lang w:val="en-GB"/>
        </w:rPr>
      </w:pPr>
      <w:r>
        <w:rPr>
          <w:b/>
          <w:lang w:val="en-GB"/>
        </w:rPr>
        <w:t xml:space="preserve">Format for </w:t>
      </w:r>
      <w:r w:rsidR="0021622E">
        <w:rPr>
          <w:b/>
          <w:lang w:val="en-GB"/>
        </w:rPr>
        <w:t xml:space="preserve">Information Collection </w:t>
      </w:r>
      <w:r>
        <w:rPr>
          <w:b/>
          <w:lang w:val="en-GB"/>
        </w:rPr>
        <w:t xml:space="preserve"> -</w:t>
      </w:r>
      <w:r w:rsidR="005B50DF">
        <w:rPr>
          <w:b/>
          <w:lang w:val="en-GB"/>
        </w:rPr>
        <w:t xml:space="preserve"> </w:t>
      </w:r>
      <w:r w:rsidR="0021622E">
        <w:rPr>
          <w:b/>
          <w:lang w:val="en-GB"/>
        </w:rPr>
        <w:t xml:space="preserve"> Results Report 2009-2010 (bilateral aid program)</w:t>
      </w:r>
    </w:p>
    <w:p w:rsidR="007D2CD6" w:rsidRDefault="007D2CD6" w:rsidP="00AE1D36">
      <w:pPr>
        <w:jc w:val="both"/>
        <w:rPr>
          <w:lang w:val="en-GB"/>
        </w:rPr>
      </w:pPr>
    </w:p>
    <w:p w:rsidR="00A6264F" w:rsidRDefault="00AE1D36" w:rsidP="00AE1D36">
      <w:pPr>
        <w:jc w:val="both"/>
        <w:rPr>
          <w:lang w:val="en-GB"/>
        </w:rPr>
      </w:pPr>
      <w:r w:rsidRPr="00C171EB">
        <w:rPr>
          <w:b/>
          <w:lang w:val="en-GB"/>
        </w:rPr>
        <w:t>Embassy</w:t>
      </w:r>
      <w:r>
        <w:rPr>
          <w:lang w:val="en-GB"/>
        </w:rPr>
        <w:t>:</w:t>
      </w:r>
      <w:r w:rsidR="00A6264F">
        <w:rPr>
          <w:lang w:val="en-GB"/>
        </w:rPr>
        <w:t xml:space="preserve"> </w:t>
      </w:r>
      <w:r w:rsidR="00C171EB">
        <w:rPr>
          <w:lang w:val="en-GB"/>
        </w:rPr>
        <w:tab/>
      </w:r>
      <w:r w:rsidR="00C171EB">
        <w:rPr>
          <w:lang w:val="en-GB"/>
        </w:rPr>
        <w:tab/>
      </w:r>
      <w:r w:rsidR="00A6264F">
        <w:rPr>
          <w:lang w:val="en-GB"/>
        </w:rPr>
        <w:t>Maputo</w:t>
      </w:r>
    </w:p>
    <w:p w:rsidR="0021622E" w:rsidRDefault="0021622E" w:rsidP="00AE1D36">
      <w:pPr>
        <w:jc w:val="both"/>
        <w:rPr>
          <w:lang w:val="en-GB"/>
        </w:rPr>
      </w:pPr>
      <w:r w:rsidRPr="00C171EB">
        <w:rPr>
          <w:b/>
          <w:lang w:val="en-GB"/>
        </w:rPr>
        <w:t>Country</w:t>
      </w:r>
      <w:r>
        <w:rPr>
          <w:lang w:val="en-GB"/>
        </w:rPr>
        <w:t>:</w:t>
      </w:r>
      <w:r w:rsidR="00A6264F">
        <w:rPr>
          <w:lang w:val="en-GB"/>
        </w:rPr>
        <w:t xml:space="preserve"> </w:t>
      </w:r>
      <w:r w:rsidR="00C171EB">
        <w:rPr>
          <w:lang w:val="en-GB"/>
        </w:rPr>
        <w:tab/>
      </w:r>
      <w:r w:rsidR="00C171EB">
        <w:rPr>
          <w:lang w:val="en-GB"/>
        </w:rPr>
        <w:tab/>
      </w:r>
      <w:r w:rsidR="00A6264F">
        <w:rPr>
          <w:lang w:val="en-GB"/>
        </w:rPr>
        <w:t>Mozambique</w:t>
      </w:r>
    </w:p>
    <w:p w:rsidR="00C2674C" w:rsidRDefault="00C2674C" w:rsidP="00AE1D36">
      <w:pPr>
        <w:ind w:left="2124" w:hanging="2124"/>
        <w:jc w:val="both"/>
        <w:rPr>
          <w:lang w:val="en-GB"/>
        </w:rPr>
      </w:pPr>
      <w:r w:rsidRPr="00C171EB">
        <w:rPr>
          <w:b/>
          <w:lang w:val="en-GB"/>
        </w:rPr>
        <w:t>Strategic Goal</w:t>
      </w:r>
      <w:r>
        <w:rPr>
          <w:lang w:val="en-GB"/>
        </w:rPr>
        <w:t>:</w:t>
      </w:r>
      <w:r w:rsidR="00C171EB">
        <w:rPr>
          <w:lang w:val="en-GB"/>
        </w:rPr>
        <w:tab/>
      </w:r>
      <w:r w:rsidR="00AB60A7" w:rsidRPr="00957C0D">
        <w:rPr>
          <w:lang w:val="en-GB"/>
        </w:rPr>
        <w:t>Contribute to poverty reduction in Mozambique</w:t>
      </w:r>
      <w:r w:rsidR="00270CD5">
        <w:rPr>
          <w:lang w:val="en-GB"/>
        </w:rPr>
        <w:t xml:space="preserve"> in an aligned </w:t>
      </w:r>
      <w:r w:rsidR="00AE1D36">
        <w:rPr>
          <w:lang w:val="en-GB"/>
        </w:rPr>
        <w:t>and effective</w:t>
      </w:r>
      <w:r w:rsidR="00AB60A7" w:rsidRPr="00957C0D">
        <w:rPr>
          <w:lang w:val="en-GB"/>
        </w:rPr>
        <w:t xml:space="preserve"> way</w:t>
      </w:r>
      <w:r w:rsidR="00AB60A7">
        <w:rPr>
          <w:lang w:val="en-GB"/>
        </w:rPr>
        <w:t xml:space="preserve"> </w:t>
      </w:r>
    </w:p>
    <w:p w:rsidR="00C2674C" w:rsidRDefault="00C2674C" w:rsidP="00AE1D36">
      <w:pPr>
        <w:jc w:val="both"/>
        <w:rPr>
          <w:lang w:val="en-GB"/>
        </w:rPr>
      </w:pPr>
      <w:r w:rsidRPr="00AB60A7">
        <w:rPr>
          <w:b/>
          <w:lang w:val="en-GB"/>
        </w:rPr>
        <w:t>Sub-goal/ programme selected for this form</w:t>
      </w:r>
      <w:r>
        <w:rPr>
          <w:lang w:val="en-GB"/>
        </w:rPr>
        <w:t>:</w:t>
      </w:r>
      <w:r w:rsidR="009D5B9F">
        <w:rPr>
          <w:lang w:val="en-GB"/>
        </w:rPr>
        <w:t xml:space="preserve"> </w:t>
      </w:r>
      <w:r w:rsidR="00AB60A7" w:rsidRPr="00AB60A7">
        <w:rPr>
          <w:lang w:val="en-GB"/>
        </w:rPr>
        <w:t>Improved social protection for HIV/AIDS victims, with a focus on strengthening the cash transfer program managed by the Ministry of Women and Social Action (MMAS) and on</w:t>
      </w:r>
      <w:r w:rsidR="00AB60A7">
        <w:rPr>
          <w:lang w:val="en-GB"/>
        </w:rPr>
        <w:t xml:space="preserve"> </w:t>
      </w:r>
      <w:r w:rsidR="00AB60A7" w:rsidRPr="00AB60A7">
        <w:rPr>
          <w:lang w:val="en-GB"/>
        </w:rPr>
        <w:t>clearing the backlog in birth registration</w:t>
      </w:r>
      <w:r>
        <w:rPr>
          <w:lang w:val="en-GB"/>
        </w:rPr>
        <w:t>.</w:t>
      </w:r>
      <w:r w:rsidR="00C171EB">
        <w:rPr>
          <w:lang w:val="en-GB"/>
        </w:rPr>
        <w:t xml:space="preserve"> </w:t>
      </w:r>
      <w:r w:rsidR="00A02A98">
        <w:rPr>
          <w:lang w:val="en-GB"/>
        </w:rPr>
        <w:t xml:space="preserve"> </w:t>
      </w:r>
    </w:p>
    <w:p w:rsidR="0021622E" w:rsidRDefault="00C2674C" w:rsidP="00AE1D36">
      <w:pPr>
        <w:jc w:val="both"/>
        <w:rPr>
          <w:lang w:val="en-GB"/>
        </w:rPr>
      </w:pPr>
      <w:r w:rsidRPr="00AB60A7">
        <w:rPr>
          <w:b/>
          <w:lang w:val="en-GB"/>
        </w:rPr>
        <w:t>This form is c</w:t>
      </w:r>
      <w:r w:rsidR="0021622E" w:rsidRPr="00AB60A7">
        <w:rPr>
          <w:b/>
          <w:lang w:val="en-GB"/>
        </w:rPr>
        <w:t>ompleted by</w:t>
      </w:r>
      <w:r w:rsidR="0021622E">
        <w:rPr>
          <w:lang w:val="en-GB"/>
        </w:rPr>
        <w:t>:</w:t>
      </w:r>
      <w:r>
        <w:rPr>
          <w:lang w:val="en-GB"/>
        </w:rPr>
        <w:t xml:space="preserve"> </w:t>
      </w:r>
      <w:r w:rsidR="00E34A2F">
        <w:rPr>
          <w:lang w:val="en-GB"/>
        </w:rPr>
        <w:t>Eleásara Antunes</w:t>
      </w:r>
    </w:p>
    <w:p w:rsidR="007D6B51" w:rsidRDefault="007D6B51" w:rsidP="00AE1D36">
      <w:pPr>
        <w:jc w:val="both"/>
        <w:rPr>
          <w:lang w:val="en-GB"/>
        </w:rPr>
      </w:pPr>
    </w:p>
    <w:p w:rsidR="00C2674C" w:rsidRDefault="00C2674C" w:rsidP="00AE1D36">
      <w:pPr>
        <w:jc w:val="both"/>
        <w:rPr>
          <w:lang w:val="en-GB"/>
        </w:rPr>
      </w:pPr>
      <w:r>
        <w:rPr>
          <w:lang w:val="en-GB"/>
        </w:rPr>
        <w:t>Max 1200 words</w:t>
      </w:r>
      <w:r w:rsidR="001C2823">
        <w:rPr>
          <w:lang w:val="en-GB"/>
        </w:rPr>
        <w:t xml:space="preserve">. </w:t>
      </w:r>
    </w:p>
    <w:p w:rsidR="00C2674C" w:rsidRDefault="00C2674C" w:rsidP="00AE1D36">
      <w:pPr>
        <w:jc w:val="both"/>
        <w:rPr>
          <w:lang w:val="en-GB"/>
        </w:rPr>
      </w:pPr>
    </w:p>
    <w:p w:rsidR="0021622E" w:rsidRPr="00855CDD" w:rsidRDefault="0021622E" w:rsidP="00AE1D36">
      <w:pPr>
        <w:jc w:val="both"/>
        <w:rPr>
          <w:b/>
          <w:bCs/>
          <w:lang w:val="en-GB"/>
        </w:rPr>
      </w:pPr>
      <w:r w:rsidRPr="00855CDD">
        <w:rPr>
          <w:b/>
          <w:bCs/>
          <w:lang w:val="en-GB"/>
        </w:rPr>
        <w:t xml:space="preserve">1. CONTEXT </w:t>
      </w:r>
    </w:p>
    <w:p w:rsidR="0021622E" w:rsidRPr="00A052F1" w:rsidRDefault="0021622E" w:rsidP="00AE1D36">
      <w:pPr>
        <w:jc w:val="both"/>
        <w:rPr>
          <w:b/>
          <w:lang w:val="en-GB"/>
        </w:rPr>
      </w:pPr>
      <w:r w:rsidRPr="00A052F1">
        <w:rPr>
          <w:b/>
          <w:lang w:val="en-GB"/>
        </w:rPr>
        <w:t>a. Country context</w:t>
      </w:r>
    </w:p>
    <w:p w:rsidR="006233BE" w:rsidRPr="008345FE" w:rsidRDefault="00314983" w:rsidP="00AE1D36">
      <w:pPr>
        <w:jc w:val="both"/>
        <w:rPr>
          <w:lang w:val="en-GB"/>
        </w:rPr>
      </w:pPr>
      <w:r>
        <w:rPr>
          <w:noProof/>
        </w:rPr>
        <w:pict>
          <v:shapetype id="_x0000_t202" coordsize="21600,21600" o:spt="202" path="m0,0l0,21600,21600,21600,21600,0xe">
            <v:stroke joinstyle="miter"/>
            <v:path gradientshapeok="t" o:connecttype="rect"/>
          </v:shapetype>
          <v:shape id="_x0000_s1043" type="#_x0000_t202" style="position:absolute;left:0;text-align:left;margin-left:0;margin-top:-36.35pt;width:201pt;height:36pt;z-index:251658752" stroked="f">
            <v:textbox inset="0,0,0,0">
              <w:txbxContent>
                <w:p w:rsidR="00314983" w:rsidRPr="00F11089" w:rsidRDefault="00314983" w:rsidP="003A0D65">
                  <w:pPr>
                    <w:pStyle w:val="Caption"/>
                    <w:rPr>
                      <w:noProof/>
                      <w:sz w:val="24"/>
                      <w:szCs w:val="24"/>
                    </w:rPr>
                  </w:pPr>
                  <w:r>
                    <w:t xml:space="preserve">Graph </w:t>
                  </w:r>
                  <w:fldSimple w:instr=" SEQ Graph \* ARABIC ">
                    <w:r>
                      <w:rPr>
                        <w:noProof/>
                      </w:rPr>
                      <w:t>1</w:t>
                    </w:r>
                  </w:fldSimple>
                  <w:r>
                    <w:t>: Poverty distribution by sex</w:t>
                  </w:r>
                </w:p>
              </w:txbxContent>
            </v:textbox>
            <w10:wrap type="square"/>
          </v:shape>
        </w:pict>
      </w:r>
      <w:r w:rsidR="009E5F18">
        <w:rPr>
          <w:noProof/>
          <w:lang w:val="en-US" w:eastAsia="en-US"/>
        </w:rPr>
        <w:drawing>
          <wp:anchor distT="0" distB="0" distL="114300" distR="114300" simplePos="0" relativeHeight="251657728" behindDoc="0" locked="0" layoutInCell="1" allowOverlap="1">
            <wp:simplePos x="0" y="0"/>
            <wp:positionH relativeFrom="column">
              <wp:align>left</wp:align>
            </wp:positionH>
            <wp:positionV relativeFrom="paragraph">
              <wp:posOffset>-6985</wp:posOffset>
            </wp:positionV>
            <wp:extent cx="2552700" cy="2247900"/>
            <wp:effectExtent l="0" t="5715" r="0" b="0"/>
            <wp:wrapSquare wrapText="bothSides"/>
            <wp:docPr id="18" name="Objec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6233BE">
        <w:rPr>
          <w:lang w:val="en-GB"/>
        </w:rPr>
        <w:t xml:space="preserve">The </w:t>
      </w:r>
      <w:r w:rsidR="00FF2290">
        <w:rPr>
          <w:lang w:val="en-GB"/>
        </w:rPr>
        <w:t>number of people living below the poverty line has stagnated at 54% between 2003 and 2009</w:t>
      </w:r>
      <w:r w:rsidR="00140557">
        <w:rPr>
          <w:lang w:val="en-GB"/>
        </w:rPr>
        <w:t>, poverty line is estimated at 18.4 Mts</w:t>
      </w:r>
      <w:r w:rsidR="00E979B8">
        <w:rPr>
          <w:rStyle w:val="FootnoteReference"/>
          <w:lang w:val="en-GB"/>
        </w:rPr>
        <w:footnoteReference w:id="2"/>
      </w:r>
      <w:r w:rsidR="001B210F">
        <w:rPr>
          <w:lang w:val="en-GB"/>
        </w:rPr>
        <w:t xml:space="preserve"> (USD 0</w:t>
      </w:r>
      <w:r w:rsidR="007415BB">
        <w:rPr>
          <w:lang w:val="en-GB"/>
        </w:rPr>
        <w:t>, 69</w:t>
      </w:r>
      <w:r w:rsidR="001B210F">
        <w:rPr>
          <w:lang w:val="en-GB"/>
        </w:rPr>
        <w:t xml:space="preserve">) </w:t>
      </w:r>
      <w:r w:rsidR="000B4664">
        <w:rPr>
          <w:lang w:val="en-GB"/>
        </w:rPr>
        <w:t>(IOF</w:t>
      </w:r>
      <w:r w:rsidR="009F68B5">
        <w:rPr>
          <w:lang w:val="en-GB"/>
        </w:rPr>
        <w:t>2008/2009</w:t>
      </w:r>
      <w:r w:rsidR="000B4664">
        <w:rPr>
          <w:lang w:val="en-GB"/>
        </w:rPr>
        <w:t>)</w:t>
      </w:r>
      <w:r w:rsidR="00117458">
        <w:rPr>
          <w:rStyle w:val="FootnoteReference"/>
          <w:lang w:val="en-GB"/>
        </w:rPr>
        <w:footnoteReference w:id="3"/>
      </w:r>
      <w:r w:rsidR="00847BF7">
        <w:rPr>
          <w:lang w:val="en-GB"/>
        </w:rPr>
        <w:t xml:space="preserve">, </w:t>
      </w:r>
      <w:r w:rsidR="000B4664">
        <w:rPr>
          <w:lang w:val="en-GB"/>
        </w:rPr>
        <w:t xml:space="preserve"> with a significant share of the burden for women.</w:t>
      </w:r>
      <w:r w:rsidR="0084373E">
        <w:rPr>
          <w:lang w:val="en-GB"/>
        </w:rPr>
        <w:t xml:space="preserve"> </w:t>
      </w:r>
      <w:r w:rsidR="00677CBD">
        <w:rPr>
          <w:lang w:val="en-GB"/>
        </w:rPr>
        <w:t xml:space="preserve"> Inequality is </w:t>
      </w:r>
      <w:r w:rsidR="00A052F1">
        <w:rPr>
          <w:lang w:val="en-GB"/>
        </w:rPr>
        <w:t>also</w:t>
      </w:r>
      <w:r w:rsidR="00677CBD">
        <w:rPr>
          <w:lang w:val="en-GB"/>
        </w:rPr>
        <w:t xml:space="preserve"> </w:t>
      </w:r>
      <w:r w:rsidR="002E2E0A">
        <w:rPr>
          <w:lang w:val="en-GB"/>
        </w:rPr>
        <w:t>increasing;</w:t>
      </w:r>
      <w:r w:rsidR="00677CBD">
        <w:rPr>
          <w:lang w:val="en-GB"/>
        </w:rPr>
        <w:t xml:space="preserve"> the national Gini coefficient is 0.414 </w:t>
      </w:r>
      <w:r w:rsidR="00B846DB">
        <w:rPr>
          <w:lang w:val="en-GB"/>
        </w:rPr>
        <w:t>with</w:t>
      </w:r>
      <w:r w:rsidR="00677CBD">
        <w:rPr>
          <w:lang w:val="en-GB"/>
        </w:rPr>
        <w:t xml:space="preserve"> significant rural/urban variations, ranging from 0.323 in Tete province and 0.512 in Maputo city. </w:t>
      </w:r>
      <w:r w:rsidR="000B4664">
        <w:rPr>
          <w:lang w:val="en-GB"/>
        </w:rPr>
        <w:t xml:space="preserve"> </w:t>
      </w:r>
      <w:r w:rsidR="001925D8">
        <w:rPr>
          <w:lang w:val="en-GB"/>
        </w:rPr>
        <w:t xml:space="preserve"> On the other hand, non income related indicators have shown signs of progress since 2003, such as the access to education</w:t>
      </w:r>
      <w:r w:rsidR="00945399">
        <w:rPr>
          <w:lang w:val="en-GB"/>
        </w:rPr>
        <w:t>,</w:t>
      </w:r>
      <w:r w:rsidR="001925D8">
        <w:rPr>
          <w:lang w:val="en-GB"/>
        </w:rPr>
        <w:t xml:space="preserve"> health</w:t>
      </w:r>
      <w:r w:rsidR="00945399">
        <w:rPr>
          <w:lang w:val="en-GB"/>
        </w:rPr>
        <w:t xml:space="preserve"> and water</w:t>
      </w:r>
      <w:r w:rsidR="001925D8">
        <w:rPr>
          <w:lang w:val="en-GB"/>
        </w:rPr>
        <w:t xml:space="preserve">, </w:t>
      </w:r>
      <w:r w:rsidR="00945399">
        <w:rPr>
          <w:lang w:val="en-GB"/>
        </w:rPr>
        <w:t xml:space="preserve">whereas, </w:t>
      </w:r>
      <w:r w:rsidR="001925D8">
        <w:rPr>
          <w:lang w:val="en-GB"/>
        </w:rPr>
        <w:t>child malnutrition</w:t>
      </w:r>
      <w:r w:rsidR="00945399">
        <w:rPr>
          <w:lang w:val="en-GB"/>
        </w:rPr>
        <w:t xml:space="preserve"> and stunting related indicators </w:t>
      </w:r>
      <w:r w:rsidR="001925D8">
        <w:rPr>
          <w:lang w:val="en-GB"/>
        </w:rPr>
        <w:t xml:space="preserve">have shown very small improvements.  </w:t>
      </w:r>
      <w:r w:rsidR="007415BB">
        <w:rPr>
          <w:lang w:val="en-GB"/>
        </w:rPr>
        <w:t>T</w:t>
      </w:r>
      <w:r w:rsidR="007B4AA7">
        <w:rPr>
          <w:lang w:val="en-GB"/>
        </w:rPr>
        <w:t>he Human development index for Mozambique is 0.284, which places Mozambique below the SSA region average which is 0.389.</w:t>
      </w:r>
    </w:p>
    <w:p w:rsidR="006233BE" w:rsidRDefault="006233BE" w:rsidP="00AE1D36">
      <w:pPr>
        <w:jc w:val="both"/>
        <w:rPr>
          <w:lang w:val="en-GB"/>
        </w:rPr>
      </w:pPr>
    </w:p>
    <w:p w:rsidR="00945399" w:rsidRDefault="00A052F1" w:rsidP="00AE1D36">
      <w:pPr>
        <w:jc w:val="both"/>
        <w:rPr>
          <w:lang w:val="en-GB"/>
        </w:rPr>
      </w:pPr>
      <w:r>
        <w:rPr>
          <w:lang w:val="en-GB"/>
        </w:rPr>
        <w:t xml:space="preserve">Nonetheless, the performance of the national </w:t>
      </w:r>
      <w:r w:rsidR="007415BB">
        <w:rPr>
          <w:lang w:val="en-GB"/>
        </w:rPr>
        <w:t xml:space="preserve">economy </w:t>
      </w:r>
      <w:r>
        <w:rPr>
          <w:lang w:val="en-GB"/>
        </w:rPr>
        <w:t xml:space="preserve">has been very good, growing at a rate of </w:t>
      </w:r>
      <w:r w:rsidR="00BC0873">
        <w:rPr>
          <w:lang w:val="en-GB"/>
        </w:rPr>
        <w:t>7.8</w:t>
      </w:r>
      <w:r>
        <w:rPr>
          <w:lang w:val="en-GB"/>
        </w:rPr>
        <w:t xml:space="preserve">% a year in the last </w:t>
      </w:r>
      <w:r w:rsidR="00BC0873">
        <w:rPr>
          <w:lang w:val="en-GB"/>
        </w:rPr>
        <w:t>3</w:t>
      </w:r>
      <w:r>
        <w:rPr>
          <w:lang w:val="en-GB"/>
        </w:rPr>
        <w:t xml:space="preserve"> years</w:t>
      </w:r>
      <w:r w:rsidR="00BC0873">
        <w:rPr>
          <w:lang w:val="en-GB"/>
        </w:rPr>
        <w:t>, while the average rate for the other souther</w:t>
      </w:r>
      <w:r w:rsidR="003D4D85">
        <w:rPr>
          <w:lang w:val="en-GB"/>
        </w:rPr>
        <w:t>n</w:t>
      </w:r>
      <w:r w:rsidR="00BC0873">
        <w:rPr>
          <w:lang w:val="en-GB"/>
        </w:rPr>
        <w:t xml:space="preserve"> African countries was 4.8%</w:t>
      </w:r>
      <w:r w:rsidR="00BC0873">
        <w:rPr>
          <w:rStyle w:val="FootnoteReference"/>
          <w:lang w:val="en-GB"/>
        </w:rPr>
        <w:footnoteReference w:id="4"/>
      </w:r>
      <w:r w:rsidR="007415BB">
        <w:rPr>
          <w:lang w:val="en-GB"/>
        </w:rPr>
        <w:t xml:space="preserve">, </w:t>
      </w:r>
      <w:r w:rsidR="00FE7C42">
        <w:rPr>
          <w:lang w:val="en-GB"/>
        </w:rPr>
        <w:t xml:space="preserve">however </w:t>
      </w:r>
      <w:r w:rsidR="007415BB">
        <w:rPr>
          <w:lang w:val="en-GB"/>
        </w:rPr>
        <w:t>with very little impact in poor households</w:t>
      </w:r>
      <w:r>
        <w:rPr>
          <w:lang w:val="en-GB"/>
        </w:rPr>
        <w:t>.</w:t>
      </w:r>
      <w:r w:rsidR="00945399">
        <w:rPr>
          <w:lang w:val="en-GB"/>
        </w:rPr>
        <w:t xml:space="preserve"> </w:t>
      </w:r>
    </w:p>
    <w:p w:rsidR="00BD1855" w:rsidRDefault="00BD1855" w:rsidP="00AE1D36">
      <w:pPr>
        <w:jc w:val="both"/>
        <w:rPr>
          <w:lang w:val="en-GB"/>
        </w:rPr>
      </w:pPr>
    </w:p>
    <w:p w:rsidR="0021622E" w:rsidRDefault="0021622E" w:rsidP="00AE1D36">
      <w:pPr>
        <w:jc w:val="both"/>
        <w:rPr>
          <w:lang w:val="en-GB"/>
        </w:rPr>
      </w:pPr>
      <w:r>
        <w:rPr>
          <w:lang w:val="en-GB"/>
        </w:rPr>
        <w:t xml:space="preserve">b. </w:t>
      </w:r>
      <w:r w:rsidRPr="00BC0873">
        <w:rPr>
          <w:b/>
          <w:lang w:val="en-GB"/>
        </w:rPr>
        <w:t>Sector (or thematic) context</w:t>
      </w:r>
    </w:p>
    <w:p w:rsidR="002D43C0" w:rsidRDefault="003A575D" w:rsidP="003A0D65">
      <w:pPr>
        <w:jc w:val="both"/>
        <w:rPr>
          <w:lang w:val="en-GB"/>
        </w:rPr>
      </w:pPr>
      <w:r>
        <w:rPr>
          <w:lang w:val="en-GB"/>
        </w:rPr>
        <w:t xml:space="preserve">One of the priorities defined in the </w:t>
      </w:r>
      <w:r w:rsidR="00F27434">
        <w:rPr>
          <w:lang w:val="en-GB"/>
        </w:rPr>
        <w:t xml:space="preserve">National Action Plan for Poverty Reduction (PARPA II) </w:t>
      </w:r>
      <w:r w:rsidR="0036744E">
        <w:rPr>
          <w:lang w:val="en-GB"/>
        </w:rPr>
        <w:t>is</w:t>
      </w:r>
      <w:r w:rsidR="00EC7E4C">
        <w:rPr>
          <w:lang w:val="en-GB"/>
        </w:rPr>
        <w:t xml:space="preserve"> income redistribution</w:t>
      </w:r>
      <w:r w:rsidR="0036744E">
        <w:rPr>
          <w:lang w:val="en-GB"/>
        </w:rPr>
        <w:t>, t</w:t>
      </w:r>
      <w:r w:rsidR="00FE7C42">
        <w:rPr>
          <w:lang w:val="en-GB"/>
        </w:rPr>
        <w:t>h</w:t>
      </w:r>
      <w:r w:rsidR="0036744E">
        <w:rPr>
          <w:lang w:val="en-GB"/>
        </w:rPr>
        <w:t xml:space="preserve">rough the provision </w:t>
      </w:r>
      <w:r w:rsidR="007415BB">
        <w:rPr>
          <w:lang w:val="en-GB"/>
        </w:rPr>
        <w:t xml:space="preserve">of </w:t>
      </w:r>
      <w:r w:rsidR="002E2E0A">
        <w:rPr>
          <w:lang w:val="en-GB"/>
        </w:rPr>
        <w:t>welfare related services to the poorest households.</w:t>
      </w:r>
      <w:r w:rsidR="00EC7E4C">
        <w:rPr>
          <w:lang w:val="en-GB"/>
        </w:rPr>
        <w:t xml:space="preserve"> </w:t>
      </w:r>
      <w:r w:rsidR="00FE7C42">
        <w:rPr>
          <w:lang w:val="en-GB"/>
        </w:rPr>
        <w:t>T</w:t>
      </w:r>
      <w:r w:rsidR="00724920">
        <w:rPr>
          <w:lang w:val="en-GB"/>
        </w:rPr>
        <w:t xml:space="preserve">he </w:t>
      </w:r>
      <w:r w:rsidR="00FE7C42">
        <w:rPr>
          <w:lang w:val="en-GB"/>
        </w:rPr>
        <w:t>s</w:t>
      </w:r>
      <w:r w:rsidR="00724920">
        <w:rPr>
          <w:lang w:val="en-GB"/>
        </w:rPr>
        <w:t xml:space="preserve">ocial protection strategy approved in 2010 </w:t>
      </w:r>
      <w:r w:rsidR="00FE7C42">
        <w:rPr>
          <w:lang w:val="en-GB"/>
        </w:rPr>
        <w:t>h</w:t>
      </w:r>
      <w:r w:rsidR="00724920">
        <w:rPr>
          <w:lang w:val="en-GB"/>
        </w:rPr>
        <w:t xml:space="preserve">as the aim to: (i) </w:t>
      </w:r>
      <w:r w:rsidR="00FE7C42">
        <w:rPr>
          <w:lang w:val="en-GB"/>
        </w:rPr>
        <w:t>i</w:t>
      </w:r>
      <w:r w:rsidR="00724920">
        <w:rPr>
          <w:lang w:val="en-GB"/>
        </w:rPr>
        <w:t xml:space="preserve">ncrease the coverage and the impact of the programs directed to the most vulnerable people; (ii) </w:t>
      </w:r>
      <w:r w:rsidR="00FE7C42">
        <w:rPr>
          <w:lang w:val="en-GB"/>
        </w:rPr>
        <w:t>i</w:t>
      </w:r>
      <w:r w:rsidR="00724920">
        <w:rPr>
          <w:lang w:val="en-GB"/>
        </w:rPr>
        <w:t xml:space="preserve">ncrease the efficiency of the social protection program; and (iii) </w:t>
      </w:r>
      <w:r w:rsidR="00FE7C42">
        <w:rPr>
          <w:lang w:val="en-GB"/>
        </w:rPr>
        <w:t>e</w:t>
      </w:r>
      <w:r w:rsidR="00724920">
        <w:rPr>
          <w:lang w:val="en-GB"/>
        </w:rPr>
        <w:t>nsure harmonisation and coordination of the different existing social protection programs</w:t>
      </w:r>
      <w:r w:rsidR="00314983">
        <w:rPr>
          <w:lang w:val="en-GB"/>
        </w:rPr>
        <w:t>.</w:t>
      </w:r>
      <w:r w:rsidR="00777A6E">
        <w:rPr>
          <w:lang w:val="en-GB"/>
        </w:rPr>
        <w:t xml:space="preserve"> </w:t>
      </w:r>
    </w:p>
    <w:p w:rsidR="002F3EF2" w:rsidRDefault="002F3EF2" w:rsidP="00AE1D36">
      <w:pPr>
        <w:jc w:val="both"/>
        <w:rPr>
          <w:lang w:val="en-GB"/>
        </w:rPr>
      </w:pPr>
    </w:p>
    <w:p w:rsidR="00612A86" w:rsidRPr="00B610AD" w:rsidRDefault="00612A86" w:rsidP="003A0D65">
      <w:pPr>
        <w:autoSpaceDE w:val="0"/>
        <w:autoSpaceDN w:val="0"/>
        <w:adjustRightInd w:val="0"/>
        <w:jc w:val="both"/>
        <w:rPr>
          <w:lang w:val="en-GB"/>
        </w:rPr>
      </w:pPr>
      <w:r w:rsidRPr="00B610AD">
        <w:rPr>
          <w:lang w:val="en-GB"/>
        </w:rPr>
        <w:t>Mozambique’s</w:t>
      </w:r>
      <w:r w:rsidR="00B610AD">
        <w:rPr>
          <w:lang w:val="en-GB"/>
        </w:rPr>
        <w:t xml:space="preserve"> cash transfer program,</w:t>
      </w:r>
      <w:r w:rsidRPr="00B610AD">
        <w:rPr>
          <w:lang w:val="en-GB"/>
        </w:rPr>
        <w:t xml:space="preserve"> </w:t>
      </w:r>
      <w:r w:rsidRPr="0012655D">
        <w:rPr>
          <w:i/>
          <w:lang w:val="en-GB"/>
        </w:rPr>
        <w:t xml:space="preserve">Programa de Subsídio </w:t>
      </w:r>
      <w:r w:rsidR="007F4056" w:rsidRPr="0012655D">
        <w:rPr>
          <w:i/>
          <w:lang w:val="en-GB"/>
        </w:rPr>
        <w:t xml:space="preserve"> de </w:t>
      </w:r>
      <w:r w:rsidRPr="0012655D">
        <w:rPr>
          <w:i/>
          <w:lang w:val="en-GB"/>
        </w:rPr>
        <w:t>Aliment</w:t>
      </w:r>
      <w:r w:rsidR="007F4056" w:rsidRPr="0012655D">
        <w:rPr>
          <w:i/>
          <w:lang w:val="en-GB"/>
        </w:rPr>
        <w:t>os</w:t>
      </w:r>
      <w:r w:rsidRPr="00B610AD">
        <w:rPr>
          <w:lang w:val="en-GB"/>
        </w:rPr>
        <w:t xml:space="preserve"> (</w:t>
      </w:r>
      <w:r w:rsidR="007F4056" w:rsidRPr="00B610AD">
        <w:rPr>
          <w:lang w:val="en-GB"/>
        </w:rPr>
        <w:t>PSA_</w:t>
      </w:r>
      <w:r w:rsidRPr="00B610AD">
        <w:rPr>
          <w:lang w:val="en-GB"/>
        </w:rPr>
        <w:t>Food Subsidy Programme),</w:t>
      </w:r>
      <w:r w:rsidR="007F4056" w:rsidRPr="00B610AD">
        <w:rPr>
          <w:lang w:val="en-GB"/>
        </w:rPr>
        <w:t xml:space="preserve"> </w:t>
      </w:r>
      <w:r w:rsidR="00B610AD" w:rsidRPr="00B610AD">
        <w:rPr>
          <w:lang w:val="en-GB"/>
        </w:rPr>
        <w:t>was</w:t>
      </w:r>
      <w:r w:rsidRPr="00B610AD">
        <w:rPr>
          <w:lang w:val="en-GB"/>
        </w:rPr>
        <w:t xml:space="preserve"> established by decree on 25 August 1993, </w:t>
      </w:r>
      <w:r w:rsidR="00585A24" w:rsidRPr="00B610AD">
        <w:rPr>
          <w:lang w:val="en-GB"/>
        </w:rPr>
        <w:t>The program aims to provide direct assistance to individuals permanently unable to work</w:t>
      </w:r>
      <w:r w:rsidR="00B610AD">
        <w:rPr>
          <w:lang w:val="en-GB"/>
        </w:rPr>
        <w:t xml:space="preserve"> in orde</w:t>
      </w:r>
      <w:r w:rsidR="00756E54">
        <w:rPr>
          <w:lang w:val="en-GB"/>
        </w:rPr>
        <w:t>r</w:t>
      </w:r>
      <w:r w:rsidR="00B610AD">
        <w:rPr>
          <w:lang w:val="en-GB"/>
        </w:rPr>
        <w:t xml:space="preserve"> to </w:t>
      </w:r>
      <w:r w:rsidR="00585A24" w:rsidRPr="00B610AD">
        <w:rPr>
          <w:lang w:val="en-GB"/>
        </w:rPr>
        <w:t>create minimum conditions for survival and of access to satisfy the basic needs of target groups in absolute poverty</w:t>
      </w:r>
      <w:r w:rsidR="00B610AD">
        <w:rPr>
          <w:lang w:val="en-GB"/>
        </w:rPr>
        <w:t>.</w:t>
      </w:r>
      <w:r w:rsidR="00585A24" w:rsidRPr="00B610AD">
        <w:rPr>
          <w:lang w:val="en-GB"/>
        </w:rPr>
        <w:t xml:space="preserve">  </w:t>
      </w:r>
    </w:p>
    <w:p w:rsidR="00947E3E" w:rsidRDefault="00947E3E" w:rsidP="00AE1D36">
      <w:pPr>
        <w:jc w:val="both"/>
        <w:rPr>
          <w:lang w:val="en-GB"/>
        </w:rPr>
      </w:pPr>
    </w:p>
    <w:p w:rsidR="00756E54" w:rsidRDefault="00AE081E" w:rsidP="00AE1D36">
      <w:pPr>
        <w:jc w:val="both"/>
        <w:rPr>
          <w:lang w:val="en-GB"/>
        </w:rPr>
      </w:pPr>
      <w:r>
        <w:rPr>
          <w:lang w:val="en-GB"/>
        </w:rPr>
        <w:t xml:space="preserve">Poverty is also exacerbated by </w:t>
      </w:r>
      <w:r w:rsidR="00660ECF">
        <w:rPr>
          <w:lang w:val="en-GB"/>
        </w:rPr>
        <w:t xml:space="preserve">poor </w:t>
      </w:r>
      <w:r w:rsidR="00C65B4C">
        <w:rPr>
          <w:lang w:val="en-GB"/>
        </w:rPr>
        <w:t>access to basic services and benefits, such as social protection</w:t>
      </w:r>
      <w:r w:rsidR="00F272C8">
        <w:rPr>
          <w:lang w:val="en-GB"/>
        </w:rPr>
        <w:t>.</w:t>
      </w:r>
      <w:r w:rsidR="003D4FCC">
        <w:rPr>
          <w:lang w:val="en-GB"/>
        </w:rPr>
        <w:t xml:space="preserve"> Lack of adequate identification is a very big obstacle particularly for vulnerable and orphaned children, as they cannot be enrolled at school or in the PSA as indirect beneficiaries.</w:t>
      </w:r>
      <w:r w:rsidR="00F272C8">
        <w:rPr>
          <w:lang w:val="en-GB"/>
        </w:rPr>
        <w:t xml:space="preserve"> In order to overcome the lack of identification documents,</w:t>
      </w:r>
      <w:r w:rsidR="00C65B4C">
        <w:rPr>
          <w:lang w:val="en-GB"/>
        </w:rPr>
        <w:t xml:space="preserve"> </w:t>
      </w:r>
      <w:r w:rsidR="00B42B6B">
        <w:rPr>
          <w:lang w:val="en-GB"/>
        </w:rPr>
        <w:t xml:space="preserve">GoM </w:t>
      </w:r>
      <w:r w:rsidR="00F272C8">
        <w:rPr>
          <w:lang w:val="en-GB"/>
        </w:rPr>
        <w:t xml:space="preserve">designed </w:t>
      </w:r>
      <w:r w:rsidR="003D4FCC">
        <w:rPr>
          <w:lang w:val="en-GB"/>
        </w:rPr>
        <w:t>a campaign</w:t>
      </w:r>
      <w:r w:rsidR="00B42B6B">
        <w:rPr>
          <w:lang w:val="en-GB"/>
        </w:rPr>
        <w:t xml:space="preserve"> to provide registration services at community level.</w:t>
      </w:r>
      <w:r w:rsidR="00AB13B8">
        <w:rPr>
          <w:lang w:val="en-GB"/>
        </w:rPr>
        <w:t xml:space="preserve"> </w:t>
      </w:r>
      <w:r w:rsidR="00B42B6B">
        <w:rPr>
          <w:lang w:val="en-GB"/>
        </w:rPr>
        <w:t>This initiative is financed by the Netherlands Embassy</w:t>
      </w:r>
      <w:r w:rsidR="00F272C8">
        <w:rPr>
          <w:lang w:val="en-GB"/>
        </w:rPr>
        <w:t xml:space="preserve"> since 2006.</w:t>
      </w:r>
      <w:r w:rsidR="00B42B6B">
        <w:rPr>
          <w:lang w:val="en-GB"/>
        </w:rPr>
        <w:t xml:space="preserve"> </w:t>
      </w:r>
    </w:p>
    <w:p w:rsidR="005B0C0A" w:rsidRDefault="005B0C0A" w:rsidP="00AE1D36">
      <w:pPr>
        <w:jc w:val="both"/>
        <w:rPr>
          <w:lang w:val="en-GB"/>
        </w:rPr>
      </w:pPr>
    </w:p>
    <w:p w:rsidR="00CC74E7" w:rsidRPr="003035AC" w:rsidRDefault="00CC74E7" w:rsidP="00AE1D36">
      <w:pPr>
        <w:jc w:val="both"/>
        <w:rPr>
          <w:sz w:val="18"/>
          <w:szCs w:val="18"/>
          <w:lang w:val="en-GB"/>
        </w:rPr>
      </w:pPr>
    </w:p>
    <w:p w:rsidR="003035AC" w:rsidRPr="00621AF2" w:rsidRDefault="003035AC" w:rsidP="00AE1D36">
      <w:pPr>
        <w:jc w:val="both"/>
        <w:rPr>
          <w:lang w:val="en-GB"/>
        </w:rPr>
      </w:pPr>
    </w:p>
    <w:p w:rsidR="0021622E" w:rsidRPr="006B6665" w:rsidRDefault="0021622E" w:rsidP="00AE1D36">
      <w:pPr>
        <w:jc w:val="both"/>
        <w:rPr>
          <w:b/>
          <w:lang w:val="en-GB"/>
        </w:rPr>
      </w:pPr>
      <w:r w:rsidRPr="006B6665">
        <w:rPr>
          <w:b/>
          <w:lang w:val="en-GB"/>
        </w:rPr>
        <w:t>c. Description of the problem</w:t>
      </w:r>
    </w:p>
    <w:p w:rsidR="00E444CF" w:rsidRDefault="00226669" w:rsidP="00AE1D36">
      <w:pPr>
        <w:jc w:val="both"/>
        <w:rPr>
          <w:lang w:val="en-GB"/>
        </w:rPr>
      </w:pPr>
      <w:r>
        <w:rPr>
          <w:lang w:val="en-GB"/>
        </w:rPr>
        <w:t xml:space="preserve">The </w:t>
      </w:r>
      <w:r w:rsidR="00FE7C42">
        <w:rPr>
          <w:lang w:val="en-GB"/>
        </w:rPr>
        <w:t xml:space="preserve">economic </w:t>
      </w:r>
      <w:r>
        <w:rPr>
          <w:lang w:val="en-GB"/>
        </w:rPr>
        <w:t xml:space="preserve">strategy adopted by the Mozambican government has been successful in </w:t>
      </w:r>
      <w:r w:rsidR="00FE7C42">
        <w:rPr>
          <w:lang w:val="en-GB"/>
        </w:rPr>
        <w:t>reaching sustained</w:t>
      </w:r>
      <w:r>
        <w:rPr>
          <w:lang w:val="en-GB"/>
        </w:rPr>
        <w:t xml:space="preserve"> economic growth. However the impact of this economic growth has not been significant in terms of reducing the number of people below the poverty line. Social protection </w:t>
      </w:r>
      <w:r w:rsidR="001C73AC">
        <w:rPr>
          <w:lang w:val="en-GB"/>
        </w:rPr>
        <w:t>policies</w:t>
      </w:r>
      <w:r>
        <w:rPr>
          <w:lang w:val="en-GB"/>
        </w:rPr>
        <w:t xml:space="preserve"> </w:t>
      </w:r>
      <w:r w:rsidR="001C73AC">
        <w:rPr>
          <w:lang w:val="en-GB"/>
        </w:rPr>
        <w:t xml:space="preserve">and programs aim to </w:t>
      </w:r>
      <w:r w:rsidR="00026037">
        <w:rPr>
          <w:lang w:val="en-GB"/>
        </w:rPr>
        <w:t xml:space="preserve">reduce </w:t>
      </w:r>
      <w:r w:rsidR="00AE1D36">
        <w:rPr>
          <w:lang w:val="en-GB"/>
        </w:rPr>
        <w:t>household’s</w:t>
      </w:r>
      <w:r w:rsidR="00026037">
        <w:rPr>
          <w:lang w:val="en-GB"/>
        </w:rPr>
        <w:t xml:space="preserve"> risks and vulnerabilities increasing their opportunities to fully engage in the economy. </w:t>
      </w:r>
    </w:p>
    <w:p w:rsidR="00E444CF" w:rsidRDefault="00E444CF" w:rsidP="00AE1D36">
      <w:pPr>
        <w:jc w:val="both"/>
        <w:rPr>
          <w:lang w:val="en-GB"/>
        </w:rPr>
      </w:pPr>
    </w:p>
    <w:p w:rsidR="0021622E" w:rsidRPr="00A5143C" w:rsidRDefault="0021622E" w:rsidP="00AE1D36">
      <w:pPr>
        <w:jc w:val="both"/>
        <w:rPr>
          <w:b/>
          <w:lang w:val="en-GB"/>
        </w:rPr>
      </w:pPr>
      <w:r w:rsidRPr="00A5143C">
        <w:rPr>
          <w:b/>
          <w:lang w:val="en-GB"/>
        </w:rPr>
        <w:t>d. Intervention logic</w:t>
      </w:r>
    </w:p>
    <w:p w:rsidR="00A5143C" w:rsidRPr="00FA321B" w:rsidRDefault="00B23CD6" w:rsidP="002F3EF2">
      <w:pPr>
        <w:jc w:val="both"/>
        <w:rPr>
          <w:lang w:val="en-GB"/>
        </w:rPr>
      </w:pPr>
      <w:r w:rsidRPr="00FA321B">
        <w:rPr>
          <w:lang w:val="en-GB"/>
        </w:rPr>
        <w:t xml:space="preserve">As the </w:t>
      </w:r>
      <w:r w:rsidR="005E4221" w:rsidRPr="00FA321B">
        <w:rPr>
          <w:lang w:val="en-GB"/>
        </w:rPr>
        <w:t xml:space="preserve">coordination of the social protection response is mainly the remit of MMAS, the Embassy has chosen to support this </w:t>
      </w:r>
      <w:r w:rsidR="00947E3E" w:rsidRPr="00FA321B">
        <w:rPr>
          <w:lang w:val="en-GB"/>
        </w:rPr>
        <w:t>ministry to</w:t>
      </w:r>
      <w:r w:rsidR="005E4221" w:rsidRPr="00FA321B">
        <w:rPr>
          <w:lang w:val="en-GB"/>
        </w:rPr>
        <w:t xml:space="preserve"> improve their implementation capacity;</w:t>
      </w:r>
      <w:r w:rsidRPr="00FA321B">
        <w:rPr>
          <w:lang w:val="en-GB"/>
        </w:rPr>
        <w:t xml:space="preserve"> the Embassy also supported and some civil society partners to reinforce the system:</w:t>
      </w:r>
    </w:p>
    <w:p w:rsidR="00D84B09" w:rsidRPr="00FA321B" w:rsidRDefault="00D84B09" w:rsidP="00AE1D36">
      <w:pPr>
        <w:numPr>
          <w:ilvl w:val="1"/>
          <w:numId w:val="7"/>
        </w:numPr>
        <w:jc w:val="both"/>
        <w:rPr>
          <w:lang w:val="en-GB"/>
        </w:rPr>
      </w:pPr>
      <w:r w:rsidRPr="00FA321B">
        <w:rPr>
          <w:lang w:val="en-GB"/>
        </w:rPr>
        <w:t>The embassy has supported Help Age International to implement an alternative model to deliver the transfer to the beneficiaries;</w:t>
      </w:r>
    </w:p>
    <w:p w:rsidR="00D84B09" w:rsidRPr="00FA321B" w:rsidRDefault="00D84B09" w:rsidP="00AE1D36">
      <w:pPr>
        <w:numPr>
          <w:ilvl w:val="1"/>
          <w:numId w:val="7"/>
        </w:numPr>
        <w:jc w:val="both"/>
        <w:rPr>
          <w:lang w:val="en-GB"/>
        </w:rPr>
      </w:pPr>
      <w:r w:rsidRPr="00FA321B">
        <w:rPr>
          <w:lang w:val="en-GB"/>
        </w:rPr>
        <w:t>Support to UNICEF to reduce the number of children without identification</w:t>
      </w:r>
      <w:r w:rsidR="004C1495" w:rsidRPr="00FA321B">
        <w:rPr>
          <w:lang w:val="en-GB"/>
        </w:rPr>
        <w:t>, trough the birth registration campaign</w:t>
      </w:r>
      <w:r w:rsidRPr="00FA321B">
        <w:rPr>
          <w:lang w:val="en-GB"/>
        </w:rPr>
        <w:t xml:space="preserve">.  </w:t>
      </w:r>
    </w:p>
    <w:p w:rsidR="00FE7C42" w:rsidRDefault="00FE7C42" w:rsidP="00FE7C42">
      <w:pPr>
        <w:jc w:val="both"/>
        <w:rPr>
          <w:lang w:val="en-GB"/>
        </w:rPr>
      </w:pPr>
    </w:p>
    <w:p w:rsidR="00D84B09" w:rsidRPr="005E4221" w:rsidRDefault="00D84B09" w:rsidP="00AE1D36">
      <w:pPr>
        <w:jc w:val="both"/>
        <w:rPr>
          <w:lang w:val="en-GB"/>
        </w:rPr>
      </w:pPr>
    </w:p>
    <w:p w:rsidR="0021622E" w:rsidRDefault="0021622E" w:rsidP="00AE1D36">
      <w:pPr>
        <w:jc w:val="both"/>
        <w:rPr>
          <w:lang w:val="en-GB"/>
        </w:rPr>
      </w:pPr>
    </w:p>
    <w:p w:rsidR="0021622E" w:rsidRPr="00855CDD" w:rsidRDefault="0021622E" w:rsidP="00AE1D36">
      <w:pPr>
        <w:jc w:val="both"/>
        <w:rPr>
          <w:b/>
          <w:bCs/>
          <w:lang w:val="en-GB"/>
        </w:rPr>
      </w:pPr>
      <w:r w:rsidRPr="00855CDD">
        <w:rPr>
          <w:b/>
          <w:bCs/>
          <w:lang w:val="en-GB"/>
        </w:rPr>
        <w:t xml:space="preserve">2. RESULTS AND LESSONS LEARNED </w:t>
      </w:r>
    </w:p>
    <w:p w:rsidR="0021622E" w:rsidRDefault="0021622E" w:rsidP="00AE1D36">
      <w:pPr>
        <w:numPr>
          <w:ilvl w:val="0"/>
          <w:numId w:val="4"/>
        </w:numPr>
        <w:jc w:val="both"/>
        <w:rPr>
          <w:lang w:val="en-GB"/>
        </w:rPr>
      </w:pPr>
      <w:r w:rsidRPr="00AE1D36">
        <w:rPr>
          <w:b/>
          <w:lang w:val="en-GB"/>
        </w:rPr>
        <w:t xml:space="preserve">What was achieved and why? </w:t>
      </w:r>
      <w:r w:rsidR="000F1E7D" w:rsidRPr="00AE1D36">
        <w:rPr>
          <w:b/>
          <w:lang w:val="en-GB"/>
        </w:rPr>
        <w:t xml:space="preserve">What made it happen? </w:t>
      </w:r>
      <w:r w:rsidRPr="00AE1D36">
        <w:rPr>
          <w:b/>
          <w:lang w:val="en-GB"/>
        </w:rPr>
        <w:t>(Please base on your results chain</w:t>
      </w:r>
      <w:r w:rsidR="00C2674C" w:rsidRPr="00AE1D36">
        <w:rPr>
          <w:b/>
          <w:lang w:val="en-GB"/>
        </w:rPr>
        <w:t>/ other intervention logic</w:t>
      </w:r>
      <w:r w:rsidRPr="00AE1D36">
        <w:rPr>
          <w:b/>
          <w:lang w:val="en-GB"/>
        </w:rPr>
        <w:t xml:space="preserve"> and please include gender aspects where relevant</w:t>
      </w:r>
      <w:r>
        <w:rPr>
          <w:lang w:val="en-GB"/>
        </w:rPr>
        <w:t>)</w:t>
      </w:r>
    </w:p>
    <w:p w:rsidR="00CE304F" w:rsidRDefault="00CE304F" w:rsidP="00AE1D36">
      <w:pPr>
        <w:jc w:val="both"/>
        <w:rPr>
          <w:lang w:val="en-GB"/>
        </w:rPr>
      </w:pPr>
      <w:r>
        <w:rPr>
          <w:lang w:val="en-GB"/>
        </w:rPr>
        <w:t>For the Cash transfer program the following changes have occurred:</w:t>
      </w:r>
    </w:p>
    <w:p w:rsidR="00CE304F" w:rsidRDefault="00CE304F" w:rsidP="00060583">
      <w:pPr>
        <w:numPr>
          <w:ilvl w:val="0"/>
          <w:numId w:val="11"/>
        </w:numPr>
        <w:jc w:val="both"/>
        <w:rPr>
          <w:lang w:val="en-GB"/>
        </w:rPr>
      </w:pPr>
      <w:r>
        <w:rPr>
          <w:lang w:val="en-GB"/>
        </w:rPr>
        <w:t>Long term additional funding to the program has prompted a rapid expansion, a double fold increase in the number of beneficiaries from 2007 to 2010</w:t>
      </w:r>
      <w:r w:rsidR="00123A1B">
        <w:rPr>
          <w:lang w:val="en-GB"/>
        </w:rPr>
        <w:t xml:space="preserve"> (217.000</w:t>
      </w:r>
      <w:r w:rsidR="00D50E82">
        <w:rPr>
          <w:lang w:val="en-GB"/>
        </w:rPr>
        <w:t xml:space="preserve"> beneficiaries</w:t>
      </w:r>
      <w:r w:rsidR="00123A1B">
        <w:rPr>
          <w:lang w:val="en-GB"/>
        </w:rPr>
        <w:t>)</w:t>
      </w:r>
      <w:r>
        <w:rPr>
          <w:lang w:val="en-GB"/>
        </w:rPr>
        <w:t xml:space="preserve">, around 70% of the </w:t>
      </w:r>
      <w:r w:rsidR="008B0681">
        <w:rPr>
          <w:lang w:val="en-GB"/>
        </w:rPr>
        <w:t>beneficiaries</w:t>
      </w:r>
      <w:r>
        <w:rPr>
          <w:lang w:val="en-GB"/>
        </w:rPr>
        <w:t xml:space="preserve"> are elder women</w:t>
      </w:r>
      <w:r w:rsidR="00265466">
        <w:rPr>
          <w:lang w:val="en-GB"/>
        </w:rPr>
        <w:t xml:space="preserve">. </w:t>
      </w:r>
    </w:p>
    <w:p w:rsidR="00DF5276" w:rsidRPr="00AE1D36" w:rsidRDefault="00265466" w:rsidP="00060583">
      <w:pPr>
        <w:numPr>
          <w:ilvl w:val="0"/>
          <w:numId w:val="11"/>
        </w:numPr>
        <w:jc w:val="both"/>
        <w:rPr>
          <w:lang w:val="en-GB"/>
        </w:rPr>
      </w:pPr>
      <w:r w:rsidRPr="00060583">
        <w:rPr>
          <w:lang w:val="en-GB"/>
        </w:rPr>
        <w:t xml:space="preserve">This significantly contributed for the design and approval of </w:t>
      </w:r>
      <w:r w:rsidR="00DF5276" w:rsidRPr="008B0681">
        <w:rPr>
          <w:lang w:val="en-GB"/>
        </w:rPr>
        <w:t xml:space="preserve">the regulatory framework for the Basic Social Protection sub System (November 2009), and the approval of the National </w:t>
      </w:r>
      <w:r w:rsidR="00AE1D36" w:rsidRPr="000E1B36">
        <w:rPr>
          <w:lang w:val="en-GB"/>
        </w:rPr>
        <w:t>strategy for</w:t>
      </w:r>
      <w:r w:rsidR="00DF5276" w:rsidRPr="000E1B36">
        <w:rPr>
          <w:lang w:val="en-GB"/>
        </w:rPr>
        <w:t xml:space="preserve"> </w:t>
      </w:r>
      <w:r w:rsidR="00497F5A" w:rsidRPr="000E1B36">
        <w:rPr>
          <w:lang w:val="en-GB"/>
        </w:rPr>
        <w:t>B</w:t>
      </w:r>
      <w:r w:rsidR="00DF5276" w:rsidRPr="000E1B36">
        <w:rPr>
          <w:lang w:val="en-GB"/>
        </w:rPr>
        <w:t xml:space="preserve">asic Social </w:t>
      </w:r>
      <w:r w:rsidR="00497F5A" w:rsidRPr="000E1B36">
        <w:rPr>
          <w:lang w:val="en-GB"/>
        </w:rPr>
        <w:t>P</w:t>
      </w:r>
      <w:r w:rsidR="00DF5276" w:rsidRPr="000E1B36">
        <w:rPr>
          <w:lang w:val="en-GB"/>
        </w:rPr>
        <w:t xml:space="preserve">rotection (March 2010). </w:t>
      </w:r>
    </w:p>
    <w:p w:rsidR="00DF5276" w:rsidRDefault="00DF5276" w:rsidP="00060583">
      <w:pPr>
        <w:numPr>
          <w:ilvl w:val="0"/>
          <w:numId w:val="11"/>
        </w:numPr>
        <w:jc w:val="both"/>
        <w:rPr>
          <w:lang w:val="en-GB"/>
        </w:rPr>
      </w:pPr>
      <w:r w:rsidRPr="00AE1D36">
        <w:rPr>
          <w:lang w:val="en-GB"/>
        </w:rPr>
        <w:t>The impact evaluation study of PSA</w:t>
      </w:r>
      <w:r w:rsidRPr="003A0D65">
        <w:footnoteReference w:id="5"/>
      </w:r>
      <w:r w:rsidRPr="00AE1D36">
        <w:rPr>
          <w:lang w:val="en-GB"/>
        </w:rPr>
        <w:t xml:space="preserve"> reflects that the programme has had </w:t>
      </w:r>
      <w:r w:rsidR="00497F5A">
        <w:rPr>
          <w:lang w:val="en-GB"/>
        </w:rPr>
        <w:t>a positive</w:t>
      </w:r>
      <w:r w:rsidR="00497F5A" w:rsidRPr="00AE1D36">
        <w:rPr>
          <w:lang w:val="en-GB"/>
        </w:rPr>
        <w:t xml:space="preserve"> </w:t>
      </w:r>
      <w:r w:rsidR="00265466">
        <w:rPr>
          <w:lang w:val="en-GB"/>
        </w:rPr>
        <w:t>benefits</w:t>
      </w:r>
      <w:r w:rsidRPr="00AE1D36">
        <w:rPr>
          <w:lang w:val="en-GB"/>
        </w:rPr>
        <w:t xml:space="preserve"> on food share expenditure</w:t>
      </w:r>
      <w:r w:rsidR="00265466">
        <w:rPr>
          <w:lang w:val="en-GB"/>
        </w:rPr>
        <w:t xml:space="preserve"> of the households</w:t>
      </w:r>
      <w:r w:rsidRPr="00AE1D36">
        <w:rPr>
          <w:lang w:val="en-GB"/>
        </w:rPr>
        <w:t xml:space="preserve">, particularly for female headed households. It also shows that meal regularity, one of the dimensions of food security, has also been positively affected, at least for adult women and boys. It was also found a weak evidence of positive impact on nutrition outcomes for children below the age of 5. </w:t>
      </w:r>
      <w:r w:rsidR="00AE1D36" w:rsidRPr="00AE1D36">
        <w:rPr>
          <w:lang w:val="en-GB"/>
        </w:rPr>
        <w:t>It</w:t>
      </w:r>
      <w:r w:rsidRPr="00AE1D36">
        <w:rPr>
          <w:lang w:val="en-GB"/>
        </w:rPr>
        <w:t xml:space="preserve"> is important to highlight that </w:t>
      </w:r>
      <w:r w:rsidR="00265466">
        <w:rPr>
          <w:lang w:val="en-GB"/>
        </w:rPr>
        <w:t>this trend is verified</w:t>
      </w:r>
      <w:r w:rsidRPr="00AE1D36">
        <w:rPr>
          <w:lang w:val="en-GB"/>
        </w:rPr>
        <w:t xml:space="preserve"> even with the very small amount</w:t>
      </w:r>
      <w:r w:rsidR="00181E80">
        <w:rPr>
          <w:lang w:val="en-GB"/>
        </w:rPr>
        <w:t xml:space="preserve"> </w:t>
      </w:r>
      <w:r w:rsidR="003D4FCC" w:rsidRPr="00AE1D36">
        <w:rPr>
          <w:lang w:val="en-GB"/>
        </w:rPr>
        <w:t>of the transfer</w:t>
      </w:r>
      <w:r w:rsidR="003D4FCC">
        <w:rPr>
          <w:lang w:val="en-GB"/>
        </w:rPr>
        <w:t xml:space="preserve"> </w:t>
      </w:r>
      <w:r w:rsidR="00181E80">
        <w:rPr>
          <w:lang w:val="en-GB"/>
        </w:rPr>
        <w:t>(</w:t>
      </w:r>
      <w:r w:rsidR="004647ED">
        <w:rPr>
          <w:lang w:val="en-GB"/>
        </w:rPr>
        <w:t>average 11</w:t>
      </w:r>
      <w:r w:rsidR="00181E80">
        <w:rPr>
          <w:lang w:val="en-GB"/>
        </w:rPr>
        <w:t>0Mts per month which is equivalent to US $3)</w:t>
      </w:r>
      <w:r w:rsidRPr="00AE1D36">
        <w:rPr>
          <w:lang w:val="en-GB"/>
        </w:rPr>
        <w:t>, which is less than the amount in similar countries</w:t>
      </w:r>
      <w:r w:rsidR="00181E80">
        <w:rPr>
          <w:lang w:val="en-GB"/>
        </w:rPr>
        <w:t xml:space="preserve"> (Zambia US$ </w:t>
      </w:r>
      <w:r w:rsidR="00737CBA">
        <w:rPr>
          <w:lang w:val="en-GB"/>
        </w:rPr>
        <w:t xml:space="preserve">5 </w:t>
      </w:r>
      <w:r w:rsidR="004647ED">
        <w:rPr>
          <w:lang w:val="en-GB"/>
        </w:rPr>
        <w:t>monthly, Kenya US $21 and Malawi on average US $14)</w:t>
      </w:r>
      <w:r w:rsidR="003742C0" w:rsidRPr="003A0D65">
        <w:rPr>
          <w:sz w:val="16"/>
          <w:szCs w:val="16"/>
        </w:rPr>
        <w:footnoteReference w:id="6"/>
      </w:r>
      <w:r w:rsidRPr="00AE1D36">
        <w:rPr>
          <w:lang w:val="en-GB"/>
        </w:rPr>
        <w:t>.</w:t>
      </w:r>
      <w:r>
        <w:rPr>
          <w:lang w:val="en-GB"/>
        </w:rPr>
        <w:t xml:space="preserve"> </w:t>
      </w:r>
    </w:p>
    <w:p w:rsidR="00CC74E7" w:rsidRDefault="00CC74E7" w:rsidP="00AE1D36">
      <w:pPr>
        <w:jc w:val="both"/>
        <w:rPr>
          <w:lang w:val="en-GB"/>
        </w:rPr>
      </w:pPr>
    </w:p>
    <w:p w:rsidR="00E944A5" w:rsidRDefault="009E5F18" w:rsidP="003A0D65">
      <w:pPr>
        <w:keepNext/>
        <w:jc w:val="both"/>
      </w:pPr>
      <w:r>
        <w:rPr>
          <w:noProof/>
          <w:lang w:val="en-US" w:eastAsia="en-US"/>
        </w:rPr>
        <w:drawing>
          <wp:inline distT="0" distB="0" distL="0" distR="0">
            <wp:extent cx="5537200" cy="3911600"/>
            <wp:effectExtent l="50800" t="50800" r="25400" b="25400"/>
            <wp:docPr id="2" name="Picture 2" descr="paga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amentos"/>
                    <pic:cNvPicPr>
                      <a:picLocks noChangeAspect="1" noChangeArrowheads="1"/>
                    </pic:cNvPicPr>
                  </pic:nvPicPr>
                  <pic:blipFill>
                    <a:blip r:embed="rId8"/>
                    <a:srcRect/>
                    <a:stretch>
                      <a:fillRect/>
                    </a:stretch>
                  </pic:blipFill>
                  <pic:spPr bwMode="auto">
                    <a:xfrm>
                      <a:off x="0" y="0"/>
                      <a:ext cx="5537200" cy="3911600"/>
                    </a:xfrm>
                    <a:prstGeom prst="rect">
                      <a:avLst/>
                    </a:prstGeom>
                    <a:noFill/>
                    <a:ln w="28575" cmpd="sng">
                      <a:solidFill>
                        <a:srgbClr val="7030A0"/>
                      </a:solidFill>
                      <a:miter lim="800000"/>
                      <a:headEnd/>
                      <a:tailEnd/>
                    </a:ln>
                    <a:effectLst/>
                  </pic:spPr>
                </pic:pic>
              </a:graphicData>
            </a:graphic>
          </wp:inline>
        </w:drawing>
      </w:r>
    </w:p>
    <w:p w:rsidR="00D50E82" w:rsidRDefault="00E944A5" w:rsidP="003A0D65">
      <w:pPr>
        <w:pStyle w:val="Caption"/>
        <w:jc w:val="both"/>
        <w:rPr>
          <w:lang w:val="en-GB"/>
        </w:rPr>
      </w:pPr>
      <w:r>
        <w:t xml:space="preserve">Figure </w:t>
      </w:r>
      <w:fldSimple w:instr=" SEQ Figure \* ARABIC ">
        <w:r>
          <w:rPr>
            <w:noProof/>
          </w:rPr>
          <w:t>1</w:t>
        </w:r>
      </w:fldSimple>
      <w:r>
        <w:t>: PSA Payments in Dondo District, Sofala province</w:t>
      </w:r>
      <w:r w:rsidR="00876724">
        <w:t>. Images kindly provided by INAS.</w:t>
      </w:r>
    </w:p>
    <w:p w:rsidR="00D50E82" w:rsidRDefault="00D50E82" w:rsidP="00AE1D36">
      <w:pPr>
        <w:jc w:val="both"/>
        <w:rPr>
          <w:lang w:val="en-GB"/>
        </w:rPr>
      </w:pPr>
    </w:p>
    <w:p w:rsidR="00D50E82" w:rsidRDefault="00D50E82" w:rsidP="00AE1D36">
      <w:pPr>
        <w:jc w:val="both"/>
        <w:rPr>
          <w:lang w:val="en-GB"/>
        </w:rPr>
      </w:pPr>
    </w:p>
    <w:p w:rsidR="00853091" w:rsidRDefault="00853091" w:rsidP="00AE1D36">
      <w:pPr>
        <w:jc w:val="both"/>
        <w:rPr>
          <w:lang w:val="en-GB"/>
        </w:rPr>
      </w:pPr>
      <w:r>
        <w:rPr>
          <w:lang w:val="en-GB"/>
        </w:rPr>
        <w:t>The financing of the Birth registration campaign allowed the Ministry of justice to achieve the following results:</w:t>
      </w:r>
    </w:p>
    <w:p w:rsidR="00CE304F" w:rsidRDefault="007756A7" w:rsidP="003A0D65">
      <w:pPr>
        <w:numPr>
          <w:ilvl w:val="0"/>
          <w:numId w:val="10"/>
        </w:numPr>
        <w:jc w:val="both"/>
        <w:rPr>
          <w:lang w:val="en-GB"/>
        </w:rPr>
      </w:pPr>
      <w:r>
        <w:rPr>
          <w:lang w:val="en-GB"/>
        </w:rPr>
        <w:t>a second place award was granted to the M</w:t>
      </w:r>
      <w:r w:rsidR="004B7C05">
        <w:rPr>
          <w:lang w:val="en-GB"/>
        </w:rPr>
        <w:t>ozambican National Directorate of Registry and Notary</w:t>
      </w:r>
      <w:r w:rsidR="00566A0E">
        <w:rPr>
          <w:lang w:val="en-GB"/>
        </w:rPr>
        <w:t xml:space="preserve"> (DNRN)</w:t>
      </w:r>
      <w:r>
        <w:rPr>
          <w:lang w:val="en-GB"/>
        </w:rPr>
        <w:t xml:space="preserve">. The African Association of Public </w:t>
      </w:r>
      <w:r w:rsidR="00566A0E">
        <w:rPr>
          <w:lang w:val="en-GB"/>
        </w:rPr>
        <w:t>Administration Management</w:t>
      </w:r>
      <w:r w:rsidR="00526428">
        <w:rPr>
          <w:lang w:val="en-GB"/>
        </w:rPr>
        <w:t xml:space="preserve"> (AAPAM)</w:t>
      </w:r>
      <w:r w:rsidR="00566A0E">
        <w:rPr>
          <w:lang w:val="en-GB"/>
        </w:rPr>
        <w:t xml:space="preserve"> attribut</w:t>
      </w:r>
      <w:r w:rsidR="00526428">
        <w:rPr>
          <w:lang w:val="en-GB"/>
        </w:rPr>
        <w:t>ed</w:t>
      </w:r>
      <w:r w:rsidR="00566A0E">
        <w:rPr>
          <w:lang w:val="en-GB"/>
        </w:rPr>
        <w:t xml:space="preserve"> the prize for the innovative approach</w:t>
      </w:r>
      <w:r w:rsidR="00526428">
        <w:rPr>
          <w:lang w:val="en-GB"/>
        </w:rPr>
        <w:t xml:space="preserve"> adopted by DNRN</w:t>
      </w:r>
      <w:r w:rsidR="00566A0E">
        <w:rPr>
          <w:lang w:val="en-GB"/>
        </w:rPr>
        <w:t>,</w:t>
      </w:r>
      <w:r w:rsidR="00526428">
        <w:rPr>
          <w:lang w:val="en-GB"/>
        </w:rPr>
        <w:t xml:space="preserve"> the</w:t>
      </w:r>
      <w:r w:rsidR="00566A0E">
        <w:rPr>
          <w:lang w:val="en-GB"/>
        </w:rPr>
        <w:t xml:space="preserve"> use of mobile brigades in delivering </w:t>
      </w:r>
      <w:r w:rsidR="00526428">
        <w:rPr>
          <w:lang w:val="en-GB"/>
        </w:rPr>
        <w:t xml:space="preserve">registration </w:t>
      </w:r>
      <w:r w:rsidR="00566A0E">
        <w:rPr>
          <w:lang w:val="en-GB"/>
        </w:rPr>
        <w:t xml:space="preserve">services. </w:t>
      </w:r>
    </w:p>
    <w:p w:rsidR="00853091" w:rsidRDefault="00844F72" w:rsidP="003A0D65">
      <w:pPr>
        <w:numPr>
          <w:ilvl w:val="0"/>
          <w:numId w:val="10"/>
        </w:numPr>
        <w:jc w:val="both"/>
        <w:rPr>
          <w:lang w:val="en-GB"/>
        </w:rPr>
      </w:pPr>
      <w:r>
        <w:rPr>
          <w:lang w:val="en-GB"/>
        </w:rPr>
        <w:t>S</w:t>
      </w:r>
      <w:r w:rsidR="00A6103F">
        <w:rPr>
          <w:lang w:val="en-GB"/>
        </w:rPr>
        <w:t xml:space="preserve">ince 2006, the birth registration program has registered some </w:t>
      </w:r>
      <w:r w:rsidR="00A6103F" w:rsidRPr="00526428">
        <w:rPr>
          <w:lang w:val="en-GB"/>
        </w:rPr>
        <w:t>6.000.000</w:t>
      </w:r>
      <w:r w:rsidR="00A6103F">
        <w:rPr>
          <w:lang w:val="en-GB"/>
        </w:rPr>
        <w:t xml:space="preserve"> children</w:t>
      </w:r>
      <w:r w:rsidR="0085519A">
        <w:rPr>
          <w:lang w:val="en-GB"/>
        </w:rPr>
        <w:t xml:space="preserve"> under 18</w:t>
      </w:r>
      <w:r w:rsidR="00526428">
        <w:rPr>
          <w:lang w:val="en-GB"/>
        </w:rPr>
        <w:t>,</w:t>
      </w:r>
      <w:r w:rsidR="008B0681">
        <w:rPr>
          <w:lang w:val="en-GB"/>
        </w:rPr>
        <w:t>.</w:t>
      </w:r>
    </w:p>
    <w:p w:rsidR="00A6103F" w:rsidRDefault="00853091" w:rsidP="003A0D65">
      <w:pPr>
        <w:numPr>
          <w:ilvl w:val="0"/>
          <w:numId w:val="10"/>
        </w:numPr>
        <w:jc w:val="both"/>
        <w:rPr>
          <w:lang w:val="en-GB"/>
        </w:rPr>
      </w:pPr>
      <w:r>
        <w:rPr>
          <w:lang w:val="en-GB"/>
        </w:rPr>
        <w:t xml:space="preserve">Significant increase of the number of children with a birth certificate. </w:t>
      </w:r>
      <w:r w:rsidR="00C85B13">
        <w:rPr>
          <w:lang w:val="en-GB"/>
        </w:rPr>
        <w:t xml:space="preserve">In Mozambique, the proportion of children </w:t>
      </w:r>
      <w:r w:rsidR="00C85B13" w:rsidRPr="00F272C8">
        <w:rPr>
          <w:lang w:val="en-GB"/>
        </w:rPr>
        <w:t>under five</w:t>
      </w:r>
      <w:r w:rsidR="00C85B13">
        <w:rPr>
          <w:lang w:val="en-GB"/>
        </w:rPr>
        <w:t xml:space="preserve"> whose birth was registered is 31% (MICS 2008)</w:t>
      </w:r>
      <w:r w:rsidR="00662997">
        <w:rPr>
          <w:lang w:val="en-GB"/>
        </w:rPr>
        <w:t xml:space="preserve"> and</w:t>
      </w:r>
      <w:r w:rsidR="006A719A">
        <w:rPr>
          <w:lang w:val="en-GB"/>
        </w:rPr>
        <w:t xml:space="preserve"> the 2007 census shows that the percentage of registered children</w:t>
      </w:r>
      <w:r w:rsidR="004C6166">
        <w:rPr>
          <w:lang w:val="en-GB"/>
        </w:rPr>
        <w:t>, under 18</w:t>
      </w:r>
      <w:r w:rsidR="006A719A">
        <w:rPr>
          <w:lang w:val="en-GB"/>
        </w:rPr>
        <w:t xml:space="preserve"> as </w:t>
      </w:r>
      <w:r w:rsidR="003D096E">
        <w:rPr>
          <w:lang w:val="en-GB"/>
        </w:rPr>
        <w:t>49%</w:t>
      </w:r>
      <w:r w:rsidR="003D096E">
        <w:rPr>
          <w:rStyle w:val="FootnoteReference"/>
          <w:lang w:val="en-GB"/>
        </w:rPr>
        <w:footnoteReference w:id="7"/>
      </w:r>
      <w:r w:rsidR="00662997">
        <w:rPr>
          <w:lang w:val="en-GB"/>
        </w:rPr>
        <w:t xml:space="preserve"> </w:t>
      </w:r>
      <w:r w:rsidR="00C85B13">
        <w:rPr>
          <w:lang w:val="en-GB"/>
        </w:rPr>
        <w:t xml:space="preserve">. </w:t>
      </w:r>
      <w:r w:rsidR="00A62C5A">
        <w:rPr>
          <w:lang w:val="en-GB"/>
        </w:rPr>
        <w:t xml:space="preserve">The situation has </w:t>
      </w:r>
      <w:r w:rsidR="00F272C8">
        <w:rPr>
          <w:lang w:val="en-GB"/>
        </w:rPr>
        <w:t>remarkably</w:t>
      </w:r>
      <w:r w:rsidR="00A62C5A">
        <w:rPr>
          <w:lang w:val="en-GB"/>
        </w:rPr>
        <w:t xml:space="preserve"> improved when compared with the 2004 DHS figures, where only 8% of children under five were </w:t>
      </w:r>
      <w:r w:rsidR="00923E76">
        <w:rPr>
          <w:lang w:val="en-GB"/>
        </w:rPr>
        <w:t xml:space="preserve">registered. </w:t>
      </w:r>
    </w:p>
    <w:p w:rsidR="00DD67D0" w:rsidRDefault="00CE304F" w:rsidP="003A0D65">
      <w:pPr>
        <w:numPr>
          <w:ilvl w:val="0"/>
          <w:numId w:val="10"/>
        </w:numPr>
        <w:jc w:val="both"/>
        <w:rPr>
          <w:lang w:val="en-GB"/>
        </w:rPr>
      </w:pPr>
      <w:r w:rsidRPr="00FE5DCC">
        <w:rPr>
          <w:lang w:val="en-GB"/>
        </w:rPr>
        <w:t>Strengthening of inter-ministerial cooperation between the Ministry of Justice, the Ministry of Education, the Ministry of Health, the Ministry of Women and Social Action and the Ministry of State Administration which is sought to increase birth registration rates, especially at birth.</w:t>
      </w:r>
    </w:p>
    <w:p w:rsidR="00CE304F" w:rsidRDefault="00CE304F" w:rsidP="003A0D65">
      <w:pPr>
        <w:numPr>
          <w:ilvl w:val="0"/>
          <w:numId w:val="10"/>
        </w:numPr>
        <w:jc w:val="both"/>
        <w:rPr>
          <w:lang w:val="en-GB"/>
        </w:rPr>
      </w:pPr>
      <w:r>
        <w:rPr>
          <w:lang w:val="en-GB"/>
        </w:rPr>
        <w:t>Modernisation of the Birth registration process.</w:t>
      </w:r>
    </w:p>
    <w:p w:rsidR="00DD67D0" w:rsidRDefault="00DD67D0" w:rsidP="00DD67D0">
      <w:pPr>
        <w:jc w:val="both"/>
        <w:rPr>
          <w:lang w:val="en-GB"/>
        </w:rPr>
      </w:pPr>
    </w:p>
    <w:p w:rsidR="00C85B13" w:rsidRDefault="00C85B13" w:rsidP="00C85B13">
      <w:pPr>
        <w:pStyle w:val="Caption"/>
        <w:keepNext/>
        <w:jc w:val="both"/>
        <w:rPr>
          <w:lang w:val="en-GB"/>
        </w:rPr>
      </w:pPr>
    </w:p>
    <w:p w:rsidR="00DD67D0" w:rsidRDefault="00C85B13" w:rsidP="00C85B13">
      <w:pPr>
        <w:pStyle w:val="Caption"/>
        <w:keepNext/>
        <w:jc w:val="both"/>
        <w:rPr>
          <w:lang w:val="en-GB"/>
        </w:rPr>
      </w:pPr>
      <w:r w:rsidRPr="00AB13B8">
        <w:rPr>
          <w:lang w:val="en-GB"/>
        </w:rPr>
        <w:t xml:space="preserve">Graph </w:t>
      </w:r>
      <w:r>
        <w:fldChar w:fldCharType="begin"/>
      </w:r>
      <w:r w:rsidRPr="00AB13B8">
        <w:rPr>
          <w:lang w:val="en-GB"/>
        </w:rPr>
        <w:instrText xml:space="preserve"> SEQ Graph \* ARABIC </w:instrText>
      </w:r>
      <w:r>
        <w:fldChar w:fldCharType="separate"/>
      </w:r>
      <w:r w:rsidR="00314983">
        <w:rPr>
          <w:noProof/>
          <w:lang w:val="en-GB"/>
        </w:rPr>
        <w:t>2</w:t>
      </w:r>
      <w:r>
        <w:fldChar w:fldCharType="end"/>
      </w:r>
      <w:r w:rsidR="00E852F2" w:rsidRPr="00E852F2">
        <w:rPr>
          <w:lang w:val="en-GB"/>
        </w:rPr>
        <w:t>:</w:t>
      </w:r>
      <w:r w:rsidRPr="00AB13B8">
        <w:rPr>
          <w:lang w:val="en-GB"/>
        </w:rPr>
        <w:t xml:space="preserve"> </w:t>
      </w:r>
      <w:r w:rsidR="006235C9">
        <w:rPr>
          <w:lang w:val="en-GB"/>
        </w:rPr>
        <w:t>Children under 18, birth registration data</w:t>
      </w:r>
      <w:r w:rsidRPr="00AB13B8">
        <w:rPr>
          <w:lang w:val="en-GB"/>
        </w:rPr>
        <w:t xml:space="preserve">, </w:t>
      </w:r>
    </w:p>
    <w:p w:rsidR="00C85B13" w:rsidRPr="00AB13B8" w:rsidRDefault="00DD67D0" w:rsidP="00C85B13">
      <w:pPr>
        <w:pStyle w:val="Caption"/>
        <w:keepNext/>
        <w:jc w:val="both"/>
        <w:rPr>
          <w:lang w:val="en-GB"/>
        </w:rPr>
      </w:pPr>
      <w:r>
        <w:rPr>
          <w:noProof/>
          <w:lang w:val="en-US"/>
        </w:rPr>
        <w:pict>
          <v:roundrect id="_x0000_s1040" style="position:absolute;left:0;text-align:left;margin-left:-13.1pt;margin-top:.8pt;width:467.25pt;height:231pt;z-index:-251659776" arcsize="10923f" strokecolor="#8064a2" strokeweight="2.5pt">
            <v:shadow color="#868686"/>
            <v:textbox>
              <w:txbxContent>
                <w:p w:rsidR="00DD67D0" w:rsidRDefault="00DD67D0"/>
              </w:txbxContent>
            </v:textbox>
          </v:roundrect>
        </w:pict>
      </w:r>
    </w:p>
    <w:p w:rsidR="00C85B13" w:rsidRPr="006235C9" w:rsidRDefault="009E5F18" w:rsidP="00C85B13">
      <w:pPr>
        <w:keepNext/>
        <w:jc w:val="both"/>
      </w:pPr>
      <w:r>
        <w:rPr>
          <w:noProof/>
          <w:lang w:val="en-US" w:eastAsia="en-US"/>
        </w:rPr>
        <w:drawing>
          <wp:inline distT="0" distB="0" distL="0" distR="0">
            <wp:extent cx="2933700" cy="22860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933700" cy="2286000"/>
                    </a:xfrm>
                    <a:prstGeom prst="rect">
                      <a:avLst/>
                    </a:prstGeom>
                    <a:noFill/>
                    <a:ln w="9525">
                      <a:noFill/>
                      <a:miter lim="800000"/>
                      <a:headEnd/>
                      <a:tailEnd/>
                    </a:ln>
                  </pic:spPr>
                </pic:pic>
              </a:graphicData>
            </a:graphic>
          </wp:inline>
        </w:drawing>
      </w:r>
      <w:r>
        <w:rPr>
          <w:noProof/>
          <w:lang w:val="en-US" w:eastAsia="en-US"/>
        </w:rPr>
        <w:drawing>
          <wp:inline distT="0" distB="0" distL="0" distR="0">
            <wp:extent cx="2476500" cy="2260600"/>
            <wp:effectExtent l="0" t="0" r="0" b="0"/>
            <wp:docPr id="4" name="Objec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B13" w:rsidRDefault="00C85B13" w:rsidP="00C85B13">
      <w:pPr>
        <w:jc w:val="both"/>
        <w:rPr>
          <w:lang w:val="en-GB"/>
        </w:rPr>
      </w:pPr>
      <w:r w:rsidRPr="003035AC">
        <w:rPr>
          <w:sz w:val="18"/>
          <w:szCs w:val="18"/>
          <w:lang w:val="en-GB"/>
        </w:rPr>
        <w:t xml:space="preserve">Source: MICS </w:t>
      </w:r>
      <w:r w:rsidR="006235C9">
        <w:rPr>
          <w:sz w:val="18"/>
          <w:szCs w:val="18"/>
          <w:lang w:val="en-GB"/>
        </w:rPr>
        <w:t xml:space="preserve">and Census 2007 </w:t>
      </w:r>
      <w:r w:rsidRPr="003035AC">
        <w:rPr>
          <w:sz w:val="18"/>
          <w:szCs w:val="18"/>
          <w:lang w:val="en-GB"/>
        </w:rPr>
        <w:t>report</w:t>
      </w:r>
    </w:p>
    <w:p w:rsidR="00844F72" w:rsidRDefault="00844F72" w:rsidP="00AE1D36">
      <w:pPr>
        <w:jc w:val="both"/>
        <w:rPr>
          <w:lang w:val="en-GB"/>
        </w:rPr>
      </w:pPr>
    </w:p>
    <w:p w:rsidR="00DD67D0" w:rsidRDefault="00DD67D0" w:rsidP="00AE1D36">
      <w:pPr>
        <w:jc w:val="both"/>
        <w:rPr>
          <w:lang w:val="en-GB"/>
        </w:rPr>
      </w:pPr>
    </w:p>
    <w:p w:rsidR="00DD67D0" w:rsidRDefault="00DD67D0" w:rsidP="00AE1D36">
      <w:pPr>
        <w:jc w:val="both"/>
        <w:rPr>
          <w:lang w:val="en-GB"/>
        </w:rPr>
      </w:pPr>
    </w:p>
    <w:p w:rsidR="0085519A" w:rsidRDefault="0085519A" w:rsidP="00AE1D36">
      <w:pPr>
        <w:jc w:val="both"/>
        <w:rPr>
          <w:lang w:val="en-GB"/>
        </w:rPr>
      </w:pPr>
    </w:p>
    <w:p w:rsidR="0085519A" w:rsidRDefault="0085519A" w:rsidP="00AE1D36">
      <w:pPr>
        <w:jc w:val="both"/>
        <w:rPr>
          <w:lang w:val="en-GB"/>
        </w:rPr>
      </w:pPr>
    </w:p>
    <w:p w:rsidR="00CC74E7" w:rsidRDefault="00E405BA" w:rsidP="00AE1D36">
      <w:pPr>
        <w:jc w:val="both"/>
        <w:rPr>
          <w:lang w:val="en-GB"/>
        </w:rPr>
      </w:pPr>
      <w:r>
        <w:rPr>
          <w:lang w:val="en-GB"/>
        </w:rPr>
        <w:t xml:space="preserve"> </w:t>
      </w:r>
    </w:p>
    <w:p w:rsidR="00DF5276" w:rsidRDefault="00DF5276" w:rsidP="00AE1D36">
      <w:pPr>
        <w:jc w:val="both"/>
        <w:rPr>
          <w:lang w:val="en-GB"/>
        </w:rPr>
      </w:pPr>
    </w:p>
    <w:p w:rsidR="0085519A" w:rsidRDefault="0085519A" w:rsidP="00AE1D36">
      <w:pPr>
        <w:jc w:val="both"/>
        <w:rPr>
          <w:lang w:val="en-GB"/>
        </w:rPr>
      </w:pPr>
      <w:r>
        <w:rPr>
          <w:rFonts w:ascii="Arial" w:hAnsi="Arial" w:cs="Arial"/>
          <w:sz w:val="20"/>
          <w:szCs w:val="20"/>
          <w:lang w:val="en-US"/>
        </w:rPr>
        <w:t>.</w:t>
      </w:r>
    </w:p>
    <w:p w:rsidR="0085519A" w:rsidRDefault="0085519A" w:rsidP="00AE1D36">
      <w:pPr>
        <w:jc w:val="both"/>
        <w:rPr>
          <w:lang w:val="en-GB"/>
        </w:rPr>
      </w:pPr>
    </w:p>
    <w:p w:rsidR="0021622E" w:rsidRPr="00AE1D36" w:rsidRDefault="0021622E" w:rsidP="00AE1D36">
      <w:pPr>
        <w:numPr>
          <w:ilvl w:val="0"/>
          <w:numId w:val="4"/>
        </w:numPr>
        <w:jc w:val="both"/>
        <w:rPr>
          <w:b/>
          <w:lang w:val="en-GB"/>
        </w:rPr>
      </w:pPr>
      <w:r w:rsidRPr="00AE1D36">
        <w:rPr>
          <w:b/>
          <w:lang w:val="en-GB"/>
        </w:rPr>
        <w:t>What went less well and why?</w:t>
      </w:r>
    </w:p>
    <w:p w:rsidR="00194730" w:rsidRDefault="008B0681" w:rsidP="00AE1D36">
      <w:pPr>
        <w:jc w:val="both"/>
        <w:rPr>
          <w:lang w:val="en-GB"/>
        </w:rPr>
      </w:pPr>
      <w:r>
        <w:rPr>
          <w:lang w:val="en-GB"/>
        </w:rPr>
        <w:t xml:space="preserve">Social protection was not considered by </w:t>
      </w:r>
      <w:r w:rsidR="00194730">
        <w:rPr>
          <w:lang w:val="en-GB"/>
        </w:rPr>
        <w:t xml:space="preserve">The Government has </w:t>
      </w:r>
      <w:r>
        <w:rPr>
          <w:lang w:val="en-GB"/>
        </w:rPr>
        <w:t xml:space="preserve">one of the countries’ poverty reduction strategy. To illustrate this, in 2009 and 2010 when fuel and food prices increased government put in place subsidies which are very costly and fiscally not sustainable. </w:t>
      </w:r>
      <w:r w:rsidR="000E1B36">
        <w:rPr>
          <w:lang w:val="en-GB"/>
        </w:rPr>
        <w:t>And</w:t>
      </w:r>
      <w:r>
        <w:rPr>
          <w:lang w:val="en-GB"/>
        </w:rPr>
        <w:t xml:space="preserve"> above all, it </w:t>
      </w:r>
      <w:r w:rsidR="006C5595">
        <w:rPr>
          <w:lang w:val="en-GB"/>
        </w:rPr>
        <w:t>had smaller impact on the poorest households.</w:t>
      </w:r>
      <w:r>
        <w:rPr>
          <w:lang w:val="en-GB"/>
        </w:rPr>
        <w:t xml:space="preserve">  A least costly alternative could have been the increase </w:t>
      </w:r>
      <w:r w:rsidR="006C5595">
        <w:rPr>
          <w:lang w:val="en-GB"/>
        </w:rPr>
        <w:t xml:space="preserve">of </w:t>
      </w:r>
      <w:r>
        <w:rPr>
          <w:lang w:val="en-GB"/>
        </w:rPr>
        <w:t xml:space="preserve">the scale of the cash transfer program, for instance.  </w:t>
      </w:r>
      <w:r w:rsidR="000E1B36">
        <w:rPr>
          <w:lang w:val="en-GB"/>
        </w:rPr>
        <w:t>Nonetheless</w:t>
      </w:r>
      <w:r w:rsidR="006C5595">
        <w:rPr>
          <w:lang w:val="en-GB"/>
        </w:rPr>
        <w:t>, it is important to mention that since the end of 2010 the government is getting aware of the relevance of social protection policies.</w:t>
      </w:r>
    </w:p>
    <w:p w:rsidR="0002281B" w:rsidRDefault="0002281B" w:rsidP="00AE1D36">
      <w:pPr>
        <w:jc w:val="both"/>
        <w:rPr>
          <w:lang w:val="en-GB"/>
        </w:rPr>
      </w:pPr>
    </w:p>
    <w:p w:rsidR="0002281B" w:rsidRDefault="0002281B" w:rsidP="00AE1D36">
      <w:pPr>
        <w:jc w:val="both"/>
        <w:rPr>
          <w:lang w:val="en-GB"/>
        </w:rPr>
      </w:pPr>
    </w:p>
    <w:p w:rsidR="0021622E" w:rsidRPr="00AE1D36" w:rsidRDefault="0021622E" w:rsidP="00AE1D36">
      <w:pPr>
        <w:numPr>
          <w:ilvl w:val="0"/>
          <w:numId w:val="4"/>
        </w:numPr>
        <w:jc w:val="both"/>
        <w:rPr>
          <w:b/>
          <w:lang w:val="en-GB"/>
        </w:rPr>
      </w:pPr>
      <w:r w:rsidRPr="00AE1D36">
        <w:rPr>
          <w:b/>
          <w:lang w:val="en-GB"/>
        </w:rPr>
        <w:t>What has been learned?</w:t>
      </w:r>
    </w:p>
    <w:p w:rsidR="0021622E" w:rsidRDefault="003D314E" w:rsidP="00AE1D36">
      <w:pPr>
        <w:jc w:val="both"/>
        <w:rPr>
          <w:lang w:val="en-GB"/>
        </w:rPr>
      </w:pPr>
      <w:r>
        <w:rPr>
          <w:lang w:val="en-GB"/>
        </w:rPr>
        <w:t xml:space="preserve">MMAS and INAS must be able to use evidence in order to influence policy, especially to support dialogue for the finance of social protection. </w:t>
      </w:r>
      <w:r w:rsidR="00AE1D36">
        <w:rPr>
          <w:lang w:val="en-GB"/>
        </w:rPr>
        <w:t xml:space="preserve">It is important to have all donors working in the field of social protection to speak with one voice, this reinforces the position of MMAs as a coordinating institution and strengthens the message that call attention for the need to better invest in social protection.  </w:t>
      </w:r>
      <w:r>
        <w:rPr>
          <w:lang w:val="en-GB"/>
        </w:rPr>
        <w:t xml:space="preserve"> </w:t>
      </w:r>
    </w:p>
    <w:p w:rsidR="000329A5" w:rsidRDefault="000329A5" w:rsidP="00AE1D36">
      <w:pPr>
        <w:jc w:val="both"/>
        <w:rPr>
          <w:lang w:val="en-GB"/>
        </w:rPr>
      </w:pPr>
    </w:p>
    <w:p w:rsidR="000329A5" w:rsidRDefault="000329A5" w:rsidP="00AE1D36">
      <w:pPr>
        <w:jc w:val="both"/>
        <w:rPr>
          <w:lang w:val="en-GB"/>
        </w:rPr>
      </w:pPr>
    </w:p>
    <w:p w:rsidR="0021622E" w:rsidRPr="00855CDD" w:rsidRDefault="0021622E" w:rsidP="00AE1D36">
      <w:pPr>
        <w:jc w:val="both"/>
        <w:rPr>
          <w:b/>
          <w:bCs/>
          <w:lang w:val="en-GB"/>
        </w:rPr>
      </w:pPr>
      <w:r w:rsidRPr="00855CDD">
        <w:rPr>
          <w:b/>
          <w:bCs/>
          <w:lang w:val="en-GB"/>
        </w:rPr>
        <w:t>3. RESOURCES SPENT (ODA and FTEs)</w:t>
      </w:r>
    </w:p>
    <w:p w:rsidR="0021622E" w:rsidRDefault="0021622E" w:rsidP="00AE1D36">
      <w:pPr>
        <w:jc w:val="both"/>
        <w:rPr>
          <w:lang w:val="en-GB"/>
        </w:rPr>
      </w:pPr>
    </w:p>
    <w:p w:rsidR="00C2674C" w:rsidRPr="00DD37C1" w:rsidRDefault="00C2674C" w:rsidP="00AE1D36">
      <w:pPr>
        <w:jc w:val="both"/>
        <w:rPr>
          <w:sz w:val="22"/>
          <w:szCs w:val="22"/>
          <w:lang w:val="en-GB"/>
        </w:rPr>
      </w:pPr>
    </w:p>
    <w:tbl>
      <w:tblPr>
        <w:tblW w:w="9157" w:type="dxa"/>
        <w:tblInd w:w="55" w:type="dxa"/>
        <w:tblCellMar>
          <w:left w:w="70" w:type="dxa"/>
          <w:right w:w="70" w:type="dxa"/>
        </w:tblCellMar>
        <w:tblLook w:val="0000"/>
      </w:tblPr>
      <w:tblGrid>
        <w:gridCol w:w="5079"/>
        <w:gridCol w:w="4078"/>
      </w:tblGrid>
      <w:tr w:rsidR="00C2674C" w:rsidRPr="00C2674C" w:rsidTr="00CD11C1">
        <w:trPr>
          <w:trHeight w:val="255"/>
        </w:trPr>
        <w:tc>
          <w:tcPr>
            <w:tcW w:w="5079" w:type="dxa"/>
            <w:tcBorders>
              <w:top w:val="single" w:sz="4" w:space="0" w:color="auto"/>
              <w:left w:val="single" w:sz="4" w:space="0" w:color="auto"/>
              <w:bottom w:val="single" w:sz="4" w:space="0" w:color="auto"/>
              <w:right w:val="single" w:sz="4" w:space="0" w:color="auto"/>
            </w:tcBorders>
            <w:noWrap/>
            <w:vAlign w:val="bottom"/>
          </w:tcPr>
          <w:p w:rsidR="00C2674C" w:rsidRPr="00C2674C" w:rsidRDefault="00C2674C" w:rsidP="00AE1D36">
            <w:pPr>
              <w:jc w:val="both"/>
              <w:rPr>
                <w:rFonts w:ascii="Arial" w:hAnsi="Arial" w:cs="Arial"/>
                <w:sz w:val="20"/>
                <w:szCs w:val="20"/>
                <w:lang w:val="en-GB"/>
              </w:rPr>
            </w:pPr>
            <w:r>
              <w:rPr>
                <w:sz w:val="22"/>
                <w:szCs w:val="22"/>
                <w:lang w:val="en-GB"/>
              </w:rPr>
              <w:t>Dutch ODA disbursed during 2009-2010 as contribution to this strategic goal</w:t>
            </w:r>
            <w:r w:rsidR="00F80C33">
              <w:rPr>
                <w:sz w:val="22"/>
                <w:szCs w:val="22"/>
                <w:lang w:val="en-GB"/>
              </w:rPr>
              <w:t xml:space="preserve"> (approximately)</w:t>
            </w:r>
          </w:p>
        </w:tc>
        <w:tc>
          <w:tcPr>
            <w:tcW w:w="4078" w:type="dxa"/>
            <w:tcBorders>
              <w:top w:val="single" w:sz="4" w:space="0" w:color="auto"/>
              <w:left w:val="nil"/>
              <w:bottom w:val="single" w:sz="4" w:space="0" w:color="auto"/>
              <w:right w:val="single" w:sz="4" w:space="0" w:color="auto"/>
            </w:tcBorders>
            <w:noWrap/>
            <w:vAlign w:val="bottom"/>
          </w:tcPr>
          <w:p w:rsidR="00C2674C" w:rsidRPr="00C2674C" w:rsidRDefault="00C2674C" w:rsidP="00AE1D36">
            <w:pPr>
              <w:jc w:val="both"/>
              <w:rPr>
                <w:rFonts w:ascii="Arial" w:hAnsi="Arial" w:cs="Arial"/>
                <w:sz w:val="20"/>
                <w:szCs w:val="20"/>
                <w:lang w:val="en-GB"/>
              </w:rPr>
            </w:pPr>
            <w:r w:rsidRPr="00C2674C">
              <w:rPr>
                <w:rFonts w:ascii="Arial" w:hAnsi="Arial" w:cs="Arial"/>
                <w:sz w:val="20"/>
                <w:szCs w:val="20"/>
                <w:lang w:val="en-GB"/>
              </w:rPr>
              <w:t> </w:t>
            </w:r>
            <w:r w:rsidR="00CD11C1">
              <w:rPr>
                <w:rFonts w:ascii="Arial" w:hAnsi="Arial" w:cs="Arial"/>
                <w:sz w:val="20"/>
                <w:szCs w:val="20"/>
                <w:lang w:val="en-GB"/>
              </w:rPr>
              <w:t>€</w:t>
            </w:r>
            <w:r w:rsidR="00AD2EB8">
              <w:rPr>
                <w:rFonts w:ascii="Arial" w:hAnsi="Arial" w:cs="Arial"/>
                <w:sz w:val="20"/>
                <w:szCs w:val="20"/>
                <w:lang w:val="en-GB"/>
              </w:rPr>
              <w:t xml:space="preserve"> 6.500.000</w:t>
            </w:r>
          </w:p>
        </w:tc>
      </w:tr>
      <w:tr w:rsidR="00C2674C" w:rsidRPr="0021622E" w:rsidTr="00284532">
        <w:trPr>
          <w:trHeight w:val="255"/>
        </w:trPr>
        <w:tc>
          <w:tcPr>
            <w:tcW w:w="5079" w:type="dxa"/>
            <w:tcBorders>
              <w:top w:val="single" w:sz="4" w:space="0" w:color="auto"/>
              <w:left w:val="single" w:sz="4" w:space="0" w:color="auto"/>
              <w:bottom w:val="dashed" w:sz="4" w:space="0" w:color="auto"/>
              <w:right w:val="single" w:sz="4" w:space="0" w:color="auto"/>
            </w:tcBorders>
            <w:noWrap/>
            <w:vAlign w:val="bottom"/>
          </w:tcPr>
          <w:p w:rsidR="00C2674C" w:rsidRPr="00CD11C1" w:rsidRDefault="00F80C33" w:rsidP="00AE1D36">
            <w:pPr>
              <w:jc w:val="both"/>
              <w:rPr>
                <w:sz w:val="22"/>
                <w:szCs w:val="22"/>
                <w:lang w:val="en-GB"/>
              </w:rPr>
            </w:pPr>
            <w:r>
              <w:rPr>
                <w:sz w:val="22"/>
                <w:szCs w:val="22"/>
                <w:lang w:val="en-GB"/>
              </w:rPr>
              <w:t>Average a</w:t>
            </w:r>
            <w:r w:rsidR="00CD11C1" w:rsidRPr="00CD11C1">
              <w:rPr>
                <w:sz w:val="22"/>
                <w:szCs w:val="22"/>
                <w:lang w:val="en-GB"/>
              </w:rPr>
              <w:t xml:space="preserve">mount of Embassy FTEs allocated </w:t>
            </w:r>
            <w:r>
              <w:rPr>
                <w:sz w:val="22"/>
                <w:szCs w:val="22"/>
                <w:lang w:val="en-GB"/>
              </w:rPr>
              <w:t xml:space="preserve">during 2009 and 2010 </w:t>
            </w:r>
            <w:r w:rsidR="00CD11C1" w:rsidRPr="00CD11C1">
              <w:rPr>
                <w:sz w:val="22"/>
                <w:szCs w:val="22"/>
                <w:lang w:val="en-GB"/>
              </w:rPr>
              <w:t>to this goal (for delegated aid)</w:t>
            </w:r>
          </w:p>
          <w:p w:rsidR="00CD11C1" w:rsidRPr="00F30639" w:rsidRDefault="00CD11C1" w:rsidP="00AE1D36">
            <w:pPr>
              <w:jc w:val="both"/>
              <w:rPr>
                <w:rFonts w:ascii="Arial" w:hAnsi="Arial" w:cs="Arial"/>
                <w:sz w:val="20"/>
                <w:szCs w:val="20"/>
                <w:lang w:val="en-GB"/>
              </w:rPr>
            </w:pPr>
          </w:p>
        </w:tc>
        <w:tc>
          <w:tcPr>
            <w:tcW w:w="4078" w:type="dxa"/>
            <w:tcBorders>
              <w:top w:val="nil"/>
              <w:left w:val="nil"/>
              <w:bottom w:val="dashed" w:sz="4" w:space="0" w:color="auto"/>
              <w:right w:val="single" w:sz="4" w:space="0" w:color="auto"/>
            </w:tcBorders>
            <w:noWrap/>
            <w:vAlign w:val="bottom"/>
          </w:tcPr>
          <w:p w:rsidR="00C2674C" w:rsidRDefault="00C2674C" w:rsidP="00AE1D36">
            <w:pPr>
              <w:jc w:val="both"/>
              <w:rPr>
                <w:rFonts w:ascii="Arial" w:hAnsi="Arial" w:cs="Arial"/>
                <w:sz w:val="20"/>
                <w:szCs w:val="20"/>
                <w:lang w:val="en-GB"/>
              </w:rPr>
            </w:pPr>
            <w:r w:rsidRPr="00F30639">
              <w:rPr>
                <w:rFonts w:ascii="Arial" w:hAnsi="Arial" w:cs="Arial"/>
                <w:sz w:val="20"/>
                <w:szCs w:val="20"/>
                <w:lang w:val="en-GB"/>
              </w:rPr>
              <w:t> </w:t>
            </w:r>
            <w:r w:rsidR="00AD2EB8">
              <w:rPr>
                <w:rFonts w:ascii="Arial" w:hAnsi="Arial" w:cs="Arial"/>
                <w:sz w:val="20"/>
                <w:szCs w:val="20"/>
                <w:lang w:val="en-GB"/>
              </w:rPr>
              <w:t>0.6</w:t>
            </w:r>
            <w:r w:rsidR="0002281B">
              <w:rPr>
                <w:rFonts w:ascii="Arial" w:hAnsi="Arial" w:cs="Arial"/>
                <w:sz w:val="20"/>
                <w:szCs w:val="20"/>
                <w:lang w:val="en-GB"/>
              </w:rPr>
              <w:t>5</w:t>
            </w:r>
          </w:p>
          <w:p w:rsidR="00AD2EB8" w:rsidRPr="00F30639" w:rsidRDefault="00AD2EB8" w:rsidP="00AE1D36">
            <w:pPr>
              <w:jc w:val="both"/>
              <w:rPr>
                <w:rFonts w:ascii="Arial" w:hAnsi="Arial" w:cs="Arial"/>
                <w:sz w:val="20"/>
                <w:szCs w:val="20"/>
                <w:lang w:val="en-GB"/>
              </w:rPr>
            </w:pPr>
          </w:p>
        </w:tc>
      </w:tr>
      <w:tr w:rsidR="00284532" w:rsidRPr="0021622E" w:rsidTr="00750F26">
        <w:trPr>
          <w:trHeight w:val="255"/>
        </w:trPr>
        <w:tc>
          <w:tcPr>
            <w:tcW w:w="5079" w:type="dxa"/>
            <w:tcBorders>
              <w:top w:val="dashed" w:sz="4" w:space="0" w:color="auto"/>
              <w:left w:val="single" w:sz="4" w:space="0" w:color="auto"/>
              <w:bottom w:val="dashed" w:sz="4" w:space="0" w:color="auto"/>
              <w:right w:val="single" w:sz="4" w:space="0" w:color="auto"/>
            </w:tcBorders>
            <w:noWrap/>
            <w:vAlign w:val="bottom"/>
          </w:tcPr>
          <w:p w:rsidR="00284532" w:rsidRDefault="00284532" w:rsidP="00AE1D36">
            <w:pPr>
              <w:jc w:val="both"/>
              <w:rPr>
                <w:sz w:val="22"/>
                <w:szCs w:val="22"/>
                <w:lang w:val="en-GB"/>
              </w:rPr>
            </w:pPr>
          </w:p>
        </w:tc>
        <w:tc>
          <w:tcPr>
            <w:tcW w:w="4078" w:type="dxa"/>
            <w:tcBorders>
              <w:top w:val="dashed" w:sz="4" w:space="0" w:color="auto"/>
              <w:left w:val="nil"/>
              <w:bottom w:val="dashed" w:sz="4" w:space="0" w:color="auto"/>
              <w:right w:val="single" w:sz="4" w:space="0" w:color="auto"/>
            </w:tcBorders>
            <w:noWrap/>
            <w:vAlign w:val="bottom"/>
          </w:tcPr>
          <w:p w:rsidR="00284532" w:rsidRPr="00F30639" w:rsidRDefault="00284532" w:rsidP="00AE1D36">
            <w:pPr>
              <w:jc w:val="both"/>
              <w:rPr>
                <w:rFonts w:ascii="Arial" w:hAnsi="Arial" w:cs="Arial"/>
                <w:sz w:val="20"/>
                <w:szCs w:val="20"/>
                <w:lang w:val="en-GB"/>
              </w:rPr>
            </w:pPr>
          </w:p>
        </w:tc>
      </w:tr>
      <w:tr w:rsidR="00750F26" w:rsidRPr="0021622E" w:rsidTr="00284532">
        <w:trPr>
          <w:trHeight w:val="255"/>
        </w:trPr>
        <w:tc>
          <w:tcPr>
            <w:tcW w:w="5079" w:type="dxa"/>
            <w:tcBorders>
              <w:top w:val="dashed" w:sz="4" w:space="0" w:color="auto"/>
              <w:left w:val="single" w:sz="4" w:space="0" w:color="auto"/>
              <w:bottom w:val="single" w:sz="4" w:space="0" w:color="auto"/>
              <w:right w:val="single" w:sz="4" w:space="0" w:color="auto"/>
            </w:tcBorders>
            <w:noWrap/>
            <w:vAlign w:val="bottom"/>
          </w:tcPr>
          <w:p w:rsidR="00750F26" w:rsidRDefault="00750F26" w:rsidP="00AE1D36">
            <w:pPr>
              <w:jc w:val="both"/>
              <w:rPr>
                <w:sz w:val="22"/>
                <w:szCs w:val="22"/>
                <w:lang w:val="en-GB"/>
              </w:rPr>
            </w:pPr>
            <w:r>
              <w:rPr>
                <w:sz w:val="22"/>
                <w:szCs w:val="22"/>
                <w:lang w:val="en-GB"/>
              </w:rPr>
              <w:t>Piramide numbers of relevant Activities</w:t>
            </w:r>
          </w:p>
          <w:p w:rsidR="00750F26" w:rsidRPr="00CD11C1" w:rsidRDefault="00750F26" w:rsidP="00AE1D36">
            <w:pPr>
              <w:jc w:val="both"/>
              <w:rPr>
                <w:sz w:val="22"/>
                <w:szCs w:val="22"/>
                <w:lang w:val="en-GB"/>
              </w:rPr>
            </w:pPr>
          </w:p>
        </w:tc>
        <w:tc>
          <w:tcPr>
            <w:tcW w:w="4078" w:type="dxa"/>
            <w:tcBorders>
              <w:top w:val="dashed" w:sz="4" w:space="0" w:color="auto"/>
              <w:left w:val="nil"/>
              <w:bottom w:val="single" w:sz="4" w:space="0" w:color="auto"/>
              <w:right w:val="single" w:sz="4" w:space="0" w:color="auto"/>
            </w:tcBorders>
            <w:noWrap/>
            <w:vAlign w:val="bottom"/>
          </w:tcPr>
          <w:p w:rsidR="00750F26" w:rsidRDefault="00EF2F1D" w:rsidP="00AE1D36">
            <w:pPr>
              <w:jc w:val="both"/>
              <w:rPr>
                <w:rFonts w:ascii="Arial" w:hAnsi="Arial" w:cs="Arial"/>
                <w:sz w:val="20"/>
                <w:szCs w:val="20"/>
                <w:lang w:val="en-GB"/>
              </w:rPr>
            </w:pPr>
            <w:r>
              <w:rPr>
                <w:rFonts w:ascii="Arial" w:hAnsi="Arial" w:cs="Arial"/>
                <w:sz w:val="20"/>
                <w:szCs w:val="20"/>
                <w:lang w:val="en-GB"/>
              </w:rPr>
              <w:t>17224</w:t>
            </w:r>
          </w:p>
          <w:p w:rsidR="00EF2F1D" w:rsidRDefault="00EF2F1D" w:rsidP="00AE1D36">
            <w:pPr>
              <w:jc w:val="both"/>
              <w:rPr>
                <w:rFonts w:ascii="Arial" w:hAnsi="Arial" w:cs="Arial"/>
                <w:sz w:val="20"/>
                <w:szCs w:val="20"/>
                <w:lang w:val="en-GB"/>
              </w:rPr>
            </w:pPr>
            <w:r>
              <w:rPr>
                <w:rFonts w:ascii="Arial" w:hAnsi="Arial" w:cs="Arial"/>
                <w:sz w:val="20"/>
                <w:szCs w:val="20"/>
                <w:lang w:val="en-GB"/>
              </w:rPr>
              <w:t>15382</w:t>
            </w:r>
          </w:p>
          <w:p w:rsidR="00EF2F1D" w:rsidRDefault="00EF2F1D" w:rsidP="00AE1D36">
            <w:pPr>
              <w:jc w:val="both"/>
              <w:rPr>
                <w:rFonts w:ascii="Arial" w:hAnsi="Arial" w:cs="Arial"/>
                <w:sz w:val="20"/>
                <w:szCs w:val="20"/>
                <w:lang w:val="en-GB"/>
              </w:rPr>
            </w:pPr>
            <w:r>
              <w:rPr>
                <w:rFonts w:ascii="Arial" w:hAnsi="Arial" w:cs="Arial"/>
                <w:sz w:val="20"/>
                <w:szCs w:val="20"/>
                <w:lang w:val="en-GB"/>
              </w:rPr>
              <w:t>18208</w:t>
            </w:r>
          </w:p>
          <w:p w:rsidR="00EF2F1D" w:rsidRPr="00F30639" w:rsidRDefault="00EF2F1D" w:rsidP="00AE1D36">
            <w:pPr>
              <w:jc w:val="both"/>
              <w:rPr>
                <w:rFonts w:ascii="Arial" w:hAnsi="Arial" w:cs="Arial"/>
                <w:sz w:val="20"/>
                <w:szCs w:val="20"/>
                <w:lang w:val="en-GB"/>
              </w:rPr>
            </w:pPr>
          </w:p>
        </w:tc>
      </w:tr>
    </w:tbl>
    <w:p w:rsidR="00497973" w:rsidRDefault="00497973" w:rsidP="00AE1D36">
      <w:pPr>
        <w:jc w:val="both"/>
        <w:rPr>
          <w:lang w:val="en-GB"/>
        </w:rPr>
      </w:pPr>
    </w:p>
    <w:p w:rsidR="0021622E" w:rsidRPr="00855CDD" w:rsidRDefault="0021622E" w:rsidP="00AE1D36">
      <w:pPr>
        <w:jc w:val="both"/>
        <w:rPr>
          <w:b/>
          <w:bCs/>
          <w:sz w:val="22"/>
          <w:szCs w:val="22"/>
          <w:lang w:val="en-GB"/>
        </w:rPr>
      </w:pPr>
      <w:r w:rsidRPr="00855CDD">
        <w:rPr>
          <w:b/>
          <w:bCs/>
          <w:sz w:val="22"/>
          <w:szCs w:val="22"/>
          <w:lang w:val="en-GB"/>
        </w:rPr>
        <w:t>4. OVERALL TRAFFIC LIGHT SCORE</w:t>
      </w:r>
    </w:p>
    <w:p w:rsidR="007D6B51" w:rsidRDefault="007D6B51" w:rsidP="00AE1D36">
      <w:pPr>
        <w:jc w:val="both"/>
        <w:rPr>
          <w:sz w:val="22"/>
          <w:szCs w:val="22"/>
          <w:lang w:val="en-GB"/>
        </w:rPr>
      </w:pPr>
      <w:r>
        <w:rPr>
          <w:sz w:val="22"/>
          <w:szCs w:val="22"/>
          <w:lang w:val="en-GB"/>
        </w:rPr>
        <w:t>T</w:t>
      </w:r>
      <w:r w:rsidRPr="00DD37C1">
        <w:rPr>
          <w:sz w:val="22"/>
          <w:szCs w:val="22"/>
          <w:lang w:val="en-GB"/>
        </w:rPr>
        <w:t xml:space="preserve">he </w:t>
      </w:r>
      <w:r>
        <w:rPr>
          <w:sz w:val="22"/>
          <w:szCs w:val="22"/>
          <w:lang w:val="en-GB"/>
        </w:rPr>
        <w:t xml:space="preserve">overall </w:t>
      </w:r>
      <w:r w:rsidRPr="00DD37C1">
        <w:rPr>
          <w:sz w:val="22"/>
          <w:szCs w:val="22"/>
          <w:lang w:val="en-GB"/>
        </w:rPr>
        <w:t>achievement of results is</w:t>
      </w:r>
      <w:r>
        <w:rPr>
          <w:sz w:val="22"/>
          <w:szCs w:val="22"/>
          <w:lang w:val="en-GB"/>
        </w:rPr>
        <w:t>:</w:t>
      </w:r>
    </w:p>
    <w:p w:rsidR="0021622E" w:rsidRPr="00DD37C1" w:rsidRDefault="007D6B51" w:rsidP="00AE1D36">
      <w:pPr>
        <w:ind w:left="3540"/>
        <w:jc w:val="both"/>
        <w:rPr>
          <w:sz w:val="22"/>
          <w:szCs w:val="22"/>
          <w:lang w:val="en-GB"/>
        </w:rPr>
      </w:pPr>
      <w:r>
        <w:rPr>
          <w:sz w:val="22"/>
          <w:szCs w:val="22"/>
          <w:lang w:val="en-GB"/>
        </w:rPr>
        <w:t xml:space="preserve"> (</w:t>
      </w:r>
      <w:r w:rsidR="0021622E">
        <w:rPr>
          <w:sz w:val="22"/>
          <w:szCs w:val="22"/>
          <w:lang w:val="en-GB"/>
        </w:rPr>
        <w:t>Please tick</w:t>
      </w:r>
      <w:r w:rsidR="009270A1">
        <w:rPr>
          <w:sz w:val="22"/>
          <w:szCs w:val="22"/>
          <w:lang w:val="en-GB"/>
        </w:rPr>
        <w:t xml:space="preserve"> </w:t>
      </w:r>
      <w:r w:rsidR="009270A1" w:rsidRPr="009270A1">
        <w:rPr>
          <w:b/>
          <w:bCs/>
          <w:sz w:val="22"/>
          <w:szCs w:val="22"/>
          <w:lang w:val="en-GB"/>
        </w:rPr>
        <w:t>√</w:t>
      </w:r>
      <w:r>
        <w:rPr>
          <w:sz w:val="22"/>
          <w:szCs w:val="22"/>
          <w:lang w:val="en-GB"/>
        </w:rPr>
        <w:t>)</w:t>
      </w:r>
    </w:p>
    <w:tbl>
      <w:tblPr>
        <w:tblW w:w="5308" w:type="dxa"/>
        <w:tblInd w:w="55" w:type="dxa"/>
        <w:tblCellMar>
          <w:left w:w="70" w:type="dxa"/>
          <w:right w:w="70" w:type="dxa"/>
        </w:tblCellMar>
        <w:tblLook w:val="0000"/>
      </w:tblPr>
      <w:tblGrid>
        <w:gridCol w:w="960"/>
        <w:gridCol w:w="2512"/>
        <w:gridCol w:w="419"/>
        <w:gridCol w:w="1417"/>
      </w:tblGrid>
      <w:tr w:rsidR="007D6B51" w:rsidTr="009270A1">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FF0000"/>
            <w:noWrap/>
            <w:vAlign w:val="bottom"/>
          </w:tcPr>
          <w:p w:rsidR="007D6B51" w:rsidRPr="006A282C" w:rsidRDefault="007D6B51" w:rsidP="00AE1D36">
            <w:pPr>
              <w:jc w:val="both"/>
              <w:rPr>
                <w:rFonts w:ascii="Arial" w:hAnsi="Arial" w:cs="Arial"/>
                <w:sz w:val="20"/>
                <w:szCs w:val="20"/>
                <w:lang w:val="en-GB"/>
              </w:rPr>
            </w:pPr>
            <w:r w:rsidRPr="006A282C">
              <w:rPr>
                <w:rFonts w:ascii="Arial" w:hAnsi="Arial" w:cs="Arial"/>
                <w:sz w:val="20"/>
                <w:szCs w:val="20"/>
                <w:lang w:val="en-GB"/>
              </w:rPr>
              <w:t> </w:t>
            </w:r>
          </w:p>
        </w:tc>
        <w:tc>
          <w:tcPr>
            <w:tcW w:w="2512" w:type="dxa"/>
            <w:tcBorders>
              <w:top w:val="single" w:sz="4" w:space="0" w:color="auto"/>
              <w:left w:val="nil"/>
              <w:bottom w:val="single" w:sz="4" w:space="0" w:color="auto"/>
              <w:right w:val="single" w:sz="4" w:space="0" w:color="auto"/>
            </w:tcBorders>
            <w:noWrap/>
            <w:vAlign w:val="bottom"/>
          </w:tcPr>
          <w:p w:rsidR="007D6B51" w:rsidRDefault="007D6B51" w:rsidP="00AE1D36">
            <w:pPr>
              <w:jc w:val="both"/>
              <w:rPr>
                <w:rFonts w:ascii="Arial" w:hAnsi="Arial" w:cs="Arial"/>
                <w:sz w:val="20"/>
                <w:szCs w:val="20"/>
              </w:rPr>
            </w:pPr>
            <w:r w:rsidRPr="00F30639">
              <w:rPr>
                <w:sz w:val="22"/>
                <w:szCs w:val="22"/>
                <w:lang w:val="en-GB"/>
              </w:rPr>
              <w:t>Off-track</w:t>
            </w:r>
            <w:r>
              <w:rPr>
                <w:rFonts w:ascii="Arial" w:hAnsi="Arial" w:cs="Arial"/>
                <w:sz w:val="20"/>
                <w:szCs w:val="20"/>
              </w:rPr>
              <w:t> </w:t>
            </w:r>
          </w:p>
        </w:tc>
        <w:tc>
          <w:tcPr>
            <w:tcW w:w="419" w:type="dxa"/>
            <w:tcBorders>
              <w:top w:val="single" w:sz="4" w:space="0" w:color="auto"/>
              <w:left w:val="nil"/>
              <w:bottom w:val="single" w:sz="4" w:space="0" w:color="auto"/>
              <w:right w:val="single" w:sz="4" w:space="0" w:color="auto"/>
            </w:tcBorders>
            <w:noWrap/>
            <w:vAlign w:val="bottom"/>
          </w:tcPr>
          <w:p w:rsidR="007D6B51" w:rsidRPr="007D6B51" w:rsidRDefault="007D6B51" w:rsidP="00AE1D36">
            <w:pPr>
              <w:jc w:val="both"/>
              <w:rPr>
                <w:sz w:val="22"/>
                <w:szCs w:val="22"/>
                <w:lang w:val="en-GB"/>
              </w:rPr>
            </w:pPr>
            <w:r w:rsidRPr="007D6B51">
              <w:rPr>
                <w:sz w:val="22"/>
                <w:szCs w:val="22"/>
                <w:lang w:val="en-GB"/>
              </w:rPr>
              <w:t> 1</w:t>
            </w:r>
          </w:p>
        </w:tc>
        <w:tc>
          <w:tcPr>
            <w:tcW w:w="1417" w:type="dxa"/>
            <w:tcBorders>
              <w:top w:val="single" w:sz="4" w:space="0" w:color="auto"/>
              <w:left w:val="nil"/>
              <w:bottom w:val="single" w:sz="4" w:space="0" w:color="auto"/>
              <w:right w:val="single" w:sz="4" w:space="0" w:color="auto"/>
            </w:tcBorders>
          </w:tcPr>
          <w:p w:rsidR="007D6B51" w:rsidRDefault="007D6B51" w:rsidP="00AE1D36">
            <w:pPr>
              <w:jc w:val="both"/>
              <w:rPr>
                <w:rFonts w:ascii="Arial" w:hAnsi="Arial" w:cs="Arial"/>
                <w:sz w:val="20"/>
                <w:szCs w:val="20"/>
              </w:rPr>
            </w:pPr>
          </w:p>
        </w:tc>
      </w:tr>
      <w:tr w:rsidR="007D6B51" w:rsidRPr="0021622E" w:rsidTr="009270A1">
        <w:trPr>
          <w:trHeight w:val="255"/>
        </w:trPr>
        <w:tc>
          <w:tcPr>
            <w:tcW w:w="960" w:type="dxa"/>
            <w:tcBorders>
              <w:top w:val="nil"/>
              <w:left w:val="single" w:sz="4" w:space="0" w:color="auto"/>
              <w:bottom w:val="single" w:sz="4" w:space="0" w:color="auto"/>
              <w:right w:val="single" w:sz="4" w:space="0" w:color="auto"/>
            </w:tcBorders>
            <w:shd w:val="clear" w:color="auto" w:fill="FFCC00"/>
            <w:noWrap/>
            <w:vAlign w:val="bottom"/>
          </w:tcPr>
          <w:p w:rsidR="007D6B51" w:rsidRDefault="007D6B51" w:rsidP="00AE1D36">
            <w:pPr>
              <w:jc w:val="both"/>
              <w:rPr>
                <w:rFonts w:ascii="Arial" w:hAnsi="Arial" w:cs="Arial"/>
                <w:sz w:val="20"/>
                <w:szCs w:val="20"/>
              </w:rPr>
            </w:pPr>
            <w:r>
              <w:rPr>
                <w:rFonts w:ascii="Arial" w:hAnsi="Arial" w:cs="Arial"/>
                <w:sz w:val="20"/>
                <w:szCs w:val="20"/>
              </w:rPr>
              <w:t> </w:t>
            </w:r>
          </w:p>
        </w:tc>
        <w:tc>
          <w:tcPr>
            <w:tcW w:w="2512" w:type="dxa"/>
            <w:tcBorders>
              <w:top w:val="nil"/>
              <w:left w:val="nil"/>
              <w:bottom w:val="single" w:sz="4" w:space="0" w:color="auto"/>
              <w:right w:val="single" w:sz="4" w:space="0" w:color="auto"/>
            </w:tcBorders>
            <w:noWrap/>
            <w:vAlign w:val="bottom"/>
          </w:tcPr>
          <w:p w:rsidR="007D6B51" w:rsidRPr="00F30639" w:rsidRDefault="007D6B51" w:rsidP="00AE1D36">
            <w:pPr>
              <w:jc w:val="both"/>
              <w:rPr>
                <w:rFonts w:ascii="Arial" w:hAnsi="Arial" w:cs="Arial"/>
                <w:sz w:val="20"/>
                <w:szCs w:val="20"/>
                <w:lang w:val="en-GB"/>
              </w:rPr>
            </w:pPr>
            <w:r w:rsidRPr="00F30639">
              <w:rPr>
                <w:rFonts w:ascii="Arial" w:hAnsi="Arial" w:cs="Arial"/>
                <w:sz w:val="20"/>
                <w:szCs w:val="20"/>
                <w:lang w:val="en-GB"/>
              </w:rPr>
              <w:t> </w:t>
            </w:r>
            <w:r>
              <w:rPr>
                <w:sz w:val="22"/>
                <w:szCs w:val="22"/>
                <w:lang w:val="en-GB"/>
              </w:rPr>
              <w:t>I</w:t>
            </w:r>
            <w:r w:rsidRPr="00DD37C1">
              <w:rPr>
                <w:sz w:val="22"/>
                <w:szCs w:val="22"/>
                <w:lang w:val="en-GB"/>
              </w:rPr>
              <w:t>n danger to be off track</w:t>
            </w:r>
          </w:p>
        </w:tc>
        <w:tc>
          <w:tcPr>
            <w:tcW w:w="419" w:type="dxa"/>
            <w:tcBorders>
              <w:top w:val="nil"/>
              <w:left w:val="nil"/>
              <w:bottom w:val="single" w:sz="4" w:space="0" w:color="auto"/>
              <w:right w:val="single" w:sz="4" w:space="0" w:color="auto"/>
            </w:tcBorders>
            <w:noWrap/>
            <w:vAlign w:val="bottom"/>
          </w:tcPr>
          <w:p w:rsidR="007D6B51" w:rsidRPr="007D6B51" w:rsidRDefault="007D6B51" w:rsidP="00AE1D36">
            <w:pPr>
              <w:jc w:val="both"/>
              <w:rPr>
                <w:sz w:val="22"/>
                <w:szCs w:val="22"/>
                <w:lang w:val="en-GB"/>
              </w:rPr>
            </w:pPr>
            <w:r w:rsidRPr="007D6B51">
              <w:rPr>
                <w:sz w:val="22"/>
                <w:szCs w:val="22"/>
                <w:lang w:val="en-GB"/>
              </w:rPr>
              <w:t> 2</w:t>
            </w:r>
          </w:p>
        </w:tc>
        <w:tc>
          <w:tcPr>
            <w:tcW w:w="1417" w:type="dxa"/>
            <w:tcBorders>
              <w:top w:val="nil"/>
              <w:left w:val="nil"/>
              <w:bottom w:val="single" w:sz="4" w:space="0" w:color="auto"/>
              <w:right w:val="single" w:sz="4" w:space="0" w:color="auto"/>
            </w:tcBorders>
          </w:tcPr>
          <w:p w:rsidR="007D6B51" w:rsidRPr="00F30639" w:rsidRDefault="007D6B51" w:rsidP="00AE1D36">
            <w:pPr>
              <w:jc w:val="both"/>
              <w:rPr>
                <w:rFonts w:ascii="Arial" w:hAnsi="Arial" w:cs="Arial"/>
                <w:sz w:val="20"/>
                <w:szCs w:val="20"/>
                <w:lang w:val="en-GB"/>
              </w:rPr>
            </w:pPr>
          </w:p>
        </w:tc>
      </w:tr>
      <w:tr w:rsidR="007D6B51" w:rsidTr="009270A1">
        <w:trPr>
          <w:trHeight w:val="255"/>
        </w:trPr>
        <w:tc>
          <w:tcPr>
            <w:tcW w:w="960" w:type="dxa"/>
            <w:tcBorders>
              <w:top w:val="nil"/>
              <w:left w:val="single" w:sz="4" w:space="0" w:color="auto"/>
              <w:bottom w:val="single" w:sz="4" w:space="0" w:color="auto"/>
              <w:right w:val="single" w:sz="4" w:space="0" w:color="auto"/>
            </w:tcBorders>
            <w:shd w:val="clear" w:color="auto" w:fill="99CC00"/>
            <w:noWrap/>
            <w:vAlign w:val="bottom"/>
          </w:tcPr>
          <w:p w:rsidR="007D6B51" w:rsidRPr="00F30639" w:rsidRDefault="007D6B51" w:rsidP="00AE1D36">
            <w:pPr>
              <w:jc w:val="both"/>
              <w:rPr>
                <w:rFonts w:ascii="Arial" w:hAnsi="Arial" w:cs="Arial"/>
                <w:sz w:val="20"/>
                <w:szCs w:val="20"/>
                <w:lang w:val="en-GB"/>
              </w:rPr>
            </w:pPr>
            <w:r w:rsidRPr="00F30639">
              <w:rPr>
                <w:rFonts w:ascii="Arial" w:hAnsi="Arial" w:cs="Arial"/>
                <w:sz w:val="20"/>
                <w:szCs w:val="20"/>
                <w:lang w:val="en-GB"/>
              </w:rPr>
              <w:t> </w:t>
            </w:r>
          </w:p>
        </w:tc>
        <w:tc>
          <w:tcPr>
            <w:tcW w:w="2512" w:type="dxa"/>
            <w:tcBorders>
              <w:top w:val="nil"/>
              <w:left w:val="nil"/>
              <w:bottom w:val="single" w:sz="4" w:space="0" w:color="auto"/>
              <w:right w:val="single" w:sz="4" w:space="0" w:color="auto"/>
            </w:tcBorders>
            <w:noWrap/>
            <w:vAlign w:val="bottom"/>
          </w:tcPr>
          <w:p w:rsidR="007D6B51" w:rsidRDefault="007D6B51" w:rsidP="00AE1D36">
            <w:pPr>
              <w:jc w:val="both"/>
              <w:rPr>
                <w:rFonts w:ascii="Arial" w:hAnsi="Arial" w:cs="Arial"/>
                <w:sz w:val="20"/>
                <w:szCs w:val="20"/>
              </w:rPr>
            </w:pPr>
            <w:r w:rsidRPr="00F30639">
              <w:rPr>
                <w:rFonts w:ascii="Arial" w:hAnsi="Arial" w:cs="Arial"/>
                <w:sz w:val="20"/>
                <w:szCs w:val="20"/>
                <w:lang w:val="en-GB"/>
              </w:rPr>
              <w:t> </w:t>
            </w:r>
            <w:r>
              <w:rPr>
                <w:rFonts w:ascii="Arial" w:hAnsi="Arial" w:cs="Arial"/>
                <w:sz w:val="20"/>
                <w:szCs w:val="20"/>
                <w:lang w:val="en-GB"/>
              </w:rPr>
              <w:t>O</w:t>
            </w:r>
            <w:r w:rsidRPr="00DD37C1">
              <w:rPr>
                <w:sz w:val="22"/>
                <w:szCs w:val="22"/>
                <w:lang w:val="en-GB"/>
              </w:rPr>
              <w:t>n track</w:t>
            </w:r>
          </w:p>
        </w:tc>
        <w:tc>
          <w:tcPr>
            <w:tcW w:w="419" w:type="dxa"/>
            <w:tcBorders>
              <w:top w:val="nil"/>
              <w:left w:val="nil"/>
              <w:bottom w:val="single" w:sz="4" w:space="0" w:color="auto"/>
              <w:right w:val="single" w:sz="4" w:space="0" w:color="auto"/>
            </w:tcBorders>
            <w:noWrap/>
            <w:vAlign w:val="bottom"/>
          </w:tcPr>
          <w:p w:rsidR="007D6B51" w:rsidRPr="007D6B51" w:rsidRDefault="007D6B51" w:rsidP="00AE1D36">
            <w:pPr>
              <w:jc w:val="both"/>
              <w:rPr>
                <w:sz w:val="22"/>
                <w:szCs w:val="22"/>
                <w:lang w:val="en-GB"/>
              </w:rPr>
            </w:pPr>
            <w:r w:rsidRPr="007D6B51">
              <w:rPr>
                <w:sz w:val="22"/>
                <w:szCs w:val="22"/>
                <w:lang w:val="en-GB"/>
              </w:rPr>
              <w:t> 3</w:t>
            </w:r>
          </w:p>
        </w:tc>
        <w:tc>
          <w:tcPr>
            <w:tcW w:w="1417" w:type="dxa"/>
            <w:tcBorders>
              <w:top w:val="nil"/>
              <w:left w:val="nil"/>
              <w:bottom w:val="single" w:sz="4" w:space="0" w:color="auto"/>
              <w:right w:val="single" w:sz="4" w:space="0" w:color="auto"/>
            </w:tcBorders>
          </w:tcPr>
          <w:p w:rsidR="007D6B51" w:rsidRDefault="00AD2EB8" w:rsidP="00AE1D36">
            <w:pPr>
              <w:jc w:val="both"/>
              <w:rPr>
                <w:rFonts w:ascii="Arial" w:hAnsi="Arial" w:cs="Arial"/>
                <w:sz w:val="20"/>
                <w:szCs w:val="20"/>
              </w:rPr>
            </w:pPr>
            <w:r>
              <w:rPr>
                <w:rFonts w:ascii="Arial" w:hAnsi="Arial" w:cs="Arial"/>
                <w:sz w:val="20"/>
                <w:szCs w:val="20"/>
              </w:rPr>
              <w:sym w:font="Symbol" w:char="F0D6"/>
            </w:r>
          </w:p>
        </w:tc>
      </w:tr>
    </w:tbl>
    <w:p w:rsidR="0021622E" w:rsidRDefault="0021622E" w:rsidP="00AE1D36">
      <w:pPr>
        <w:jc w:val="both"/>
        <w:rPr>
          <w:rFonts w:ascii="Arial" w:hAnsi="Arial" w:cs="Arial"/>
          <w:sz w:val="20"/>
          <w:szCs w:val="20"/>
        </w:rPr>
      </w:pPr>
    </w:p>
    <w:p w:rsidR="0021622E" w:rsidRPr="00DD37C1" w:rsidRDefault="0021622E" w:rsidP="00AE1D36">
      <w:pPr>
        <w:jc w:val="both"/>
        <w:rPr>
          <w:sz w:val="22"/>
          <w:szCs w:val="22"/>
          <w:lang w:val="en-GB"/>
        </w:rPr>
      </w:pPr>
    </w:p>
    <w:p w:rsidR="005B5C20" w:rsidRDefault="005B5C20" w:rsidP="00AE1D36">
      <w:pPr>
        <w:jc w:val="both"/>
      </w:pPr>
    </w:p>
    <w:sectPr w:rsidR="005B5C20" w:rsidSect="0021622E">
      <w:pgSz w:w="11906" w:h="16838"/>
      <w:pgMar w:top="1417" w:right="1417" w:bottom="1417" w:left="1417"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8737B" w:rsidRDefault="00B8737B">
      <w:r>
        <w:separator/>
      </w:r>
    </w:p>
  </w:endnote>
  <w:endnote w:type="continuationSeparator" w:id="1">
    <w:p w:rsidR="00B8737B" w:rsidRDefault="00B8737B">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notTrueType/>
    <w:pitch w:val="variable"/>
    <w:sig w:usb0="00000000" w:usb1="00000000" w:usb2="0001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8737B" w:rsidRDefault="00B8737B">
      <w:r>
        <w:separator/>
      </w:r>
    </w:p>
  </w:footnote>
  <w:footnote w:type="continuationSeparator" w:id="1">
    <w:p w:rsidR="00B8737B" w:rsidRDefault="00B8737B">
      <w:r>
        <w:continuationSeparator/>
      </w:r>
    </w:p>
  </w:footnote>
  <w:footnote w:id="2">
    <w:p w:rsidR="00E979B8" w:rsidRPr="00E979B8" w:rsidRDefault="00E979B8">
      <w:pPr>
        <w:pStyle w:val="FootnoteText"/>
        <w:rPr>
          <w:lang w:val="en-GB"/>
        </w:rPr>
      </w:pPr>
      <w:r>
        <w:rPr>
          <w:rStyle w:val="FootnoteReference"/>
        </w:rPr>
        <w:footnoteRef/>
      </w:r>
      <w:r w:rsidRPr="00E979B8">
        <w:rPr>
          <w:lang w:val="en-GB"/>
        </w:rPr>
        <w:t xml:space="preserve"> </w:t>
      </w:r>
      <w:r w:rsidR="00D96C2B">
        <w:rPr>
          <w:lang w:val="en-GB"/>
        </w:rPr>
        <w:t xml:space="preserve">This is around 540 Mts a month. </w:t>
      </w:r>
      <w:r w:rsidR="001B210F">
        <w:rPr>
          <w:lang w:val="en-GB"/>
        </w:rPr>
        <w:t>The average exchange rate from metical do dollar was</w:t>
      </w:r>
      <w:r w:rsidR="003818BF">
        <w:rPr>
          <w:lang w:val="en-GB"/>
        </w:rPr>
        <w:t xml:space="preserve"> </w:t>
      </w:r>
      <w:r w:rsidR="001B210F">
        <w:rPr>
          <w:lang w:val="en-GB"/>
        </w:rPr>
        <w:t xml:space="preserve">in 2009 26.71, source </w:t>
      </w:r>
      <w:hyperlink r:id="rId1" w:history="1">
        <w:r w:rsidR="001B210F" w:rsidRPr="00E31E5E">
          <w:rPr>
            <w:rStyle w:val="Hyperlink"/>
            <w:lang w:val="en-GB"/>
          </w:rPr>
          <w:t>http://www.bancomoc.mz/Files/DEM/Cambios_Anuais_2003.xls</w:t>
        </w:r>
      </w:hyperlink>
      <w:r w:rsidR="001B210F">
        <w:rPr>
          <w:lang w:val="en-GB"/>
        </w:rPr>
        <w:t xml:space="preserve"> </w:t>
      </w:r>
    </w:p>
  </w:footnote>
  <w:footnote w:id="3">
    <w:p w:rsidR="00E00F69" w:rsidRPr="00C63F87" w:rsidRDefault="00E00F69">
      <w:pPr>
        <w:pStyle w:val="FootnoteText"/>
        <w:rPr>
          <w:lang w:val="en-GB"/>
        </w:rPr>
      </w:pPr>
      <w:r>
        <w:rPr>
          <w:rStyle w:val="FootnoteReference"/>
        </w:rPr>
        <w:footnoteRef/>
      </w:r>
      <w:r w:rsidRPr="00C63F87">
        <w:rPr>
          <w:lang w:val="en-GB"/>
        </w:rPr>
        <w:t xml:space="preserve"> </w:t>
      </w:r>
      <w:r w:rsidR="00C63F87" w:rsidRPr="00C63F87">
        <w:rPr>
          <w:lang w:val="en-GB"/>
        </w:rPr>
        <w:t xml:space="preserve">Poverty assessment survey 2008/2009, </w:t>
      </w:r>
      <w:hyperlink r:id="rId2" w:history="1">
        <w:r w:rsidR="00C63F87" w:rsidRPr="009A7B16">
          <w:rPr>
            <w:rStyle w:val="Hyperlink"/>
            <w:lang w:val="en-GB"/>
          </w:rPr>
          <w:t>http://aec.msu.edu/%5C/fs2/mozambique/caadp/THIRD_NATIONAL_POVERTY_ASSESSMENT_october1.pdf</w:t>
        </w:r>
      </w:hyperlink>
    </w:p>
  </w:footnote>
  <w:footnote w:id="4">
    <w:p w:rsidR="00BC0873" w:rsidRDefault="00BC0873">
      <w:pPr>
        <w:pStyle w:val="FootnoteText"/>
        <w:rPr>
          <w:lang w:val="en-GB"/>
        </w:rPr>
      </w:pPr>
      <w:r>
        <w:rPr>
          <w:rStyle w:val="FootnoteReference"/>
        </w:rPr>
        <w:footnoteRef/>
      </w:r>
      <w:r w:rsidRPr="00BC0873">
        <w:rPr>
          <w:lang w:val="en-GB"/>
        </w:rPr>
        <w:t xml:space="preserve"> IMF country report 2010, available at </w:t>
      </w:r>
      <w:hyperlink r:id="rId3" w:history="1">
        <w:r w:rsidRPr="009A7B16">
          <w:rPr>
            <w:rStyle w:val="Hyperlink"/>
            <w:lang w:val="en-GB"/>
          </w:rPr>
          <w:t>http://www.imf.org/external/pubs/ft/scr/2010/cr10375.pdf</w:t>
        </w:r>
      </w:hyperlink>
    </w:p>
    <w:p w:rsidR="00BC0873" w:rsidRPr="00BC0873" w:rsidRDefault="00BC0873">
      <w:pPr>
        <w:pStyle w:val="FootnoteText"/>
        <w:rPr>
          <w:lang w:val="en-GB"/>
        </w:rPr>
      </w:pPr>
    </w:p>
  </w:footnote>
  <w:footnote w:id="5">
    <w:p w:rsidR="00DF5276" w:rsidRPr="003A0D65" w:rsidRDefault="00DF5276" w:rsidP="003742C0">
      <w:r>
        <w:rPr>
          <w:rStyle w:val="FootnoteReference"/>
        </w:rPr>
        <w:footnoteRef/>
      </w:r>
      <w:r w:rsidRPr="003A0D65">
        <w:t xml:space="preserve"> </w:t>
      </w:r>
      <w:hyperlink r:id="rId4" w:history="1">
        <w:r w:rsidRPr="003742C0">
          <w:rPr>
            <w:sz w:val="20"/>
            <w:szCs w:val="20"/>
          </w:rPr>
          <w:t>http://www.ipc-un</w:t>
        </w:r>
        <w:r w:rsidRPr="003742C0">
          <w:rPr>
            <w:sz w:val="20"/>
            <w:szCs w:val="20"/>
          </w:rPr>
          <w:t>d</w:t>
        </w:r>
        <w:r w:rsidRPr="003742C0">
          <w:rPr>
            <w:sz w:val="20"/>
            <w:szCs w:val="20"/>
          </w:rPr>
          <w:t>p.o</w:t>
        </w:r>
        <w:r w:rsidRPr="003742C0">
          <w:rPr>
            <w:sz w:val="20"/>
            <w:szCs w:val="20"/>
          </w:rPr>
          <w:t>r</w:t>
        </w:r>
        <w:r w:rsidRPr="003742C0">
          <w:rPr>
            <w:sz w:val="20"/>
            <w:szCs w:val="20"/>
          </w:rPr>
          <w:t>g/pub</w:t>
        </w:r>
        <w:r w:rsidRPr="003742C0">
          <w:rPr>
            <w:sz w:val="20"/>
            <w:szCs w:val="20"/>
          </w:rPr>
          <w:t>/</w:t>
        </w:r>
        <w:r w:rsidRPr="003742C0">
          <w:rPr>
            <w:sz w:val="20"/>
            <w:szCs w:val="20"/>
          </w:rPr>
          <w:t>IPCPolicyResearchBrief17.pdf</w:t>
        </w:r>
      </w:hyperlink>
    </w:p>
  </w:footnote>
  <w:footnote w:id="6">
    <w:p w:rsidR="003742C0" w:rsidRPr="003742C0" w:rsidRDefault="003742C0">
      <w:pPr>
        <w:pStyle w:val="FootnoteText"/>
        <w:rPr>
          <w:lang w:val="en-GB"/>
        </w:rPr>
      </w:pPr>
      <w:r>
        <w:rPr>
          <w:rStyle w:val="FootnoteReference"/>
        </w:rPr>
        <w:footnoteRef/>
      </w:r>
      <w:r w:rsidRPr="003742C0">
        <w:rPr>
          <w:lang w:val="en-GB"/>
        </w:rPr>
        <w:t xml:space="preserve"> http://www.chronicpoverty.org/uploads/publication_files/handa_et_al_multidimensional.pdf</w:t>
      </w:r>
    </w:p>
  </w:footnote>
  <w:footnote w:id="7">
    <w:p w:rsidR="003D096E" w:rsidRPr="000668FE" w:rsidRDefault="003D096E">
      <w:pPr>
        <w:pStyle w:val="FootnoteText"/>
        <w:rPr>
          <w:lang w:val="en-GB"/>
        </w:rPr>
      </w:pPr>
      <w:r>
        <w:rPr>
          <w:rStyle w:val="FootnoteReference"/>
        </w:rPr>
        <w:footnoteRef/>
      </w:r>
      <w:r w:rsidRPr="003D096E">
        <w:rPr>
          <w:lang w:val="en-GB"/>
        </w:rPr>
        <w:t xml:space="preserve"> </w:t>
      </w:r>
      <w:r>
        <w:rPr>
          <w:lang w:val="en-GB"/>
        </w:rPr>
        <w:t>The rate from the MICS report</w:t>
      </w:r>
      <w:r w:rsidR="006235C9">
        <w:rPr>
          <w:lang w:val="en-GB"/>
        </w:rPr>
        <w:t xml:space="preserve"> is lower because it</w:t>
      </w:r>
      <w:r w:rsidRPr="006235C9">
        <w:rPr>
          <w:lang w:val="en-GB"/>
        </w:rPr>
        <w:t xml:space="preserve"> most probably an underestimation as campaign activities had taken place in 32-52 of the 130 districts (depending on the time the survey data were collected) and some of the enumeration areas of the survey were located in districts that had not yet undergone campaign activities, resulting in an under-representation of the actual situation</w:t>
      </w:r>
      <w:r w:rsidRPr="003D096E">
        <w:rPr>
          <w:sz w:val="16"/>
          <w:szCs w:val="16"/>
          <w:lang w:val="en-GB"/>
        </w:rPr>
        <w:t>.</w:t>
      </w:r>
      <w:r w:rsidR="004C6166">
        <w:rPr>
          <w:sz w:val="16"/>
          <w:szCs w:val="16"/>
          <w:lang w:val="en-GB"/>
        </w:rPr>
        <w:t xml:space="preserve"> </w:t>
      </w:r>
      <w:r w:rsidR="000668FE">
        <w:rPr>
          <w:lang w:val="en-GB"/>
        </w:rPr>
        <w:t>In addition, the</w:t>
      </w:r>
      <w:r w:rsidR="004C6166" w:rsidRPr="000668FE">
        <w:rPr>
          <w:lang w:val="en-GB"/>
        </w:rPr>
        <w:t xml:space="preserve"> MICS report only captures under five registration, while the census captures under 18 registration rates. </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462A27"/>
    <w:multiLevelType w:val="hybridMultilevel"/>
    <w:tmpl w:val="96C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7AA0"/>
    <w:multiLevelType w:val="hybridMultilevel"/>
    <w:tmpl w:val="ED58EE98"/>
    <w:lvl w:ilvl="0" w:tplc="B896CB40">
      <w:start w:val="1"/>
      <w:numFmt w:val="lowerLetter"/>
      <w:lvlText w:val="%1."/>
      <w:lvlJc w:val="left"/>
      <w:pPr>
        <w:tabs>
          <w:tab w:val="num" w:pos="360"/>
        </w:tabs>
        <w:ind w:left="360" w:hanging="360"/>
      </w:pPr>
      <w:rPr>
        <w:rFonts w:hint="default"/>
        <w:color w:val="000000"/>
        <w:sz w:val="24"/>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7533031"/>
    <w:multiLevelType w:val="hybridMultilevel"/>
    <w:tmpl w:val="F5568366"/>
    <w:lvl w:ilvl="0" w:tplc="324E380A">
      <w:start w:val="1"/>
      <w:numFmt w:val="bullet"/>
      <w:lvlText w:val=""/>
      <w:lvlJc w:val="left"/>
      <w:pPr>
        <w:tabs>
          <w:tab w:val="num" w:pos="357"/>
        </w:tabs>
        <w:ind w:left="357" w:hanging="357"/>
      </w:pPr>
      <w:rPr>
        <w:rFonts w:ascii="Symbol" w:hAnsi="Symbol" w:hint="default"/>
        <w:color w:val="auto"/>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0AEB7B25"/>
    <w:multiLevelType w:val="hybridMultilevel"/>
    <w:tmpl w:val="2534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6462B"/>
    <w:multiLevelType w:val="hybridMultilevel"/>
    <w:tmpl w:val="2E38682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nsid w:val="1C674151"/>
    <w:multiLevelType w:val="hybridMultilevel"/>
    <w:tmpl w:val="02CCB4A6"/>
    <w:lvl w:ilvl="0" w:tplc="5A9A1FEC">
      <w:start w:val="1"/>
      <w:numFmt w:val="bullet"/>
      <w:lvlText w:val=""/>
      <w:lvlJc w:val="left"/>
      <w:pPr>
        <w:tabs>
          <w:tab w:val="num" w:pos="360"/>
        </w:tabs>
        <w:ind w:left="360" w:hanging="360"/>
      </w:pPr>
      <w:rPr>
        <w:rFonts w:ascii="Symbol" w:hAnsi="Symbol" w:hint="default"/>
        <w:color w:val="00000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213114D1"/>
    <w:multiLevelType w:val="hybridMultilevel"/>
    <w:tmpl w:val="AEE039FC"/>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26152A5F"/>
    <w:multiLevelType w:val="multilevel"/>
    <w:tmpl w:val="10060FA8"/>
    <w:lvl w:ilvl="0">
      <w:start w:val="2"/>
      <w:numFmt w:val="decimal"/>
      <w:lvlText w:val="%1."/>
      <w:lvlJc w:val="left"/>
      <w:pPr>
        <w:tabs>
          <w:tab w:val="num" w:pos="705"/>
        </w:tabs>
        <w:ind w:left="705" w:hanging="705"/>
      </w:pPr>
      <w:rPr>
        <w:rFonts w:hint="default"/>
        <w:sz w:val="24"/>
        <w:u w:val="none"/>
      </w:rPr>
    </w:lvl>
    <w:lvl w:ilvl="1">
      <w:start w:val="1"/>
      <w:numFmt w:val="decimal"/>
      <w:lvlText w:val="%1.%2."/>
      <w:lvlJc w:val="left"/>
      <w:pPr>
        <w:tabs>
          <w:tab w:val="num" w:pos="705"/>
        </w:tabs>
        <w:ind w:left="705" w:hanging="705"/>
      </w:pPr>
      <w:rPr>
        <w:rFonts w:hint="default"/>
        <w:b/>
        <w:sz w:val="24"/>
        <w:u w:val="none"/>
      </w:rPr>
    </w:lvl>
    <w:lvl w:ilvl="2">
      <w:start w:val="1"/>
      <w:numFmt w:val="decimal"/>
      <w:lvlText w:val="%1.%2.%3."/>
      <w:lvlJc w:val="left"/>
      <w:pPr>
        <w:tabs>
          <w:tab w:val="num" w:pos="720"/>
        </w:tabs>
        <w:ind w:left="720" w:hanging="720"/>
      </w:pPr>
      <w:rPr>
        <w:rFonts w:hint="default"/>
        <w:sz w:val="24"/>
        <w:u w:val="none"/>
      </w:rPr>
    </w:lvl>
    <w:lvl w:ilvl="3">
      <w:start w:val="1"/>
      <w:numFmt w:val="decimal"/>
      <w:lvlText w:val="%1.%2.%3.%4."/>
      <w:lvlJc w:val="left"/>
      <w:pPr>
        <w:tabs>
          <w:tab w:val="num" w:pos="720"/>
        </w:tabs>
        <w:ind w:left="720" w:hanging="720"/>
      </w:pPr>
      <w:rPr>
        <w:rFonts w:hint="default"/>
        <w:sz w:val="24"/>
        <w:u w:val="none"/>
      </w:rPr>
    </w:lvl>
    <w:lvl w:ilvl="4">
      <w:start w:val="1"/>
      <w:numFmt w:val="decimal"/>
      <w:lvlText w:val="%1.%2.%3.%4.%5."/>
      <w:lvlJc w:val="left"/>
      <w:pPr>
        <w:tabs>
          <w:tab w:val="num" w:pos="1080"/>
        </w:tabs>
        <w:ind w:left="1080" w:hanging="1080"/>
      </w:pPr>
      <w:rPr>
        <w:rFonts w:hint="default"/>
        <w:sz w:val="24"/>
        <w:u w:val="none"/>
      </w:rPr>
    </w:lvl>
    <w:lvl w:ilvl="5">
      <w:start w:val="1"/>
      <w:numFmt w:val="decimal"/>
      <w:lvlText w:val="%1.%2.%3.%4.%5.%6."/>
      <w:lvlJc w:val="left"/>
      <w:pPr>
        <w:tabs>
          <w:tab w:val="num" w:pos="1080"/>
        </w:tabs>
        <w:ind w:left="1080" w:hanging="1080"/>
      </w:pPr>
      <w:rPr>
        <w:rFonts w:hint="default"/>
        <w:sz w:val="24"/>
        <w:u w:val="none"/>
      </w:rPr>
    </w:lvl>
    <w:lvl w:ilvl="6">
      <w:start w:val="1"/>
      <w:numFmt w:val="decimal"/>
      <w:lvlText w:val="%1.%2.%3.%4.%5.%6.%7."/>
      <w:lvlJc w:val="left"/>
      <w:pPr>
        <w:tabs>
          <w:tab w:val="num" w:pos="1440"/>
        </w:tabs>
        <w:ind w:left="1440" w:hanging="1440"/>
      </w:pPr>
      <w:rPr>
        <w:rFonts w:hint="default"/>
        <w:sz w:val="24"/>
        <w:u w:val="none"/>
      </w:rPr>
    </w:lvl>
    <w:lvl w:ilvl="7">
      <w:start w:val="1"/>
      <w:numFmt w:val="decimal"/>
      <w:lvlText w:val="%1.%2.%3.%4.%5.%6.%7.%8."/>
      <w:lvlJc w:val="left"/>
      <w:pPr>
        <w:tabs>
          <w:tab w:val="num" w:pos="1440"/>
        </w:tabs>
        <w:ind w:left="1440" w:hanging="1440"/>
      </w:pPr>
      <w:rPr>
        <w:rFonts w:hint="default"/>
        <w:sz w:val="24"/>
        <w:u w:val="none"/>
      </w:rPr>
    </w:lvl>
    <w:lvl w:ilvl="8">
      <w:start w:val="1"/>
      <w:numFmt w:val="decimal"/>
      <w:lvlText w:val="%1.%2.%3.%4.%5.%6.%7.%8.%9."/>
      <w:lvlJc w:val="left"/>
      <w:pPr>
        <w:tabs>
          <w:tab w:val="num" w:pos="1800"/>
        </w:tabs>
        <w:ind w:left="1800" w:hanging="1800"/>
      </w:pPr>
      <w:rPr>
        <w:rFonts w:hint="default"/>
        <w:sz w:val="24"/>
        <w:u w:val="none"/>
      </w:rPr>
    </w:lvl>
  </w:abstractNum>
  <w:abstractNum w:abstractNumId="8">
    <w:nsid w:val="3E65759A"/>
    <w:multiLevelType w:val="multilevel"/>
    <w:tmpl w:val="1B84DC6E"/>
    <w:lvl w:ilvl="0">
      <w:start w:val="1"/>
      <w:numFmt w:val="decimal"/>
      <w:lvlText w:val="%1."/>
      <w:lvlJc w:val="left"/>
      <w:pPr>
        <w:tabs>
          <w:tab w:val="num" w:pos="360"/>
        </w:tabs>
        <w:ind w:left="360" w:hanging="360"/>
      </w:pPr>
      <w:rPr>
        <w:rFonts w:hint="default"/>
        <w:color w:val="000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2056970"/>
    <w:multiLevelType w:val="hybridMultilevel"/>
    <w:tmpl w:val="773490FE"/>
    <w:lvl w:ilvl="0" w:tplc="5A9A1FEC">
      <w:start w:val="1"/>
      <w:numFmt w:val="bullet"/>
      <w:lvlText w:val=""/>
      <w:lvlJc w:val="left"/>
      <w:pPr>
        <w:tabs>
          <w:tab w:val="num" w:pos="360"/>
        </w:tabs>
        <w:ind w:left="360" w:hanging="360"/>
      </w:pPr>
      <w:rPr>
        <w:rFonts w:ascii="Symbol" w:hAnsi="Symbol" w:hint="default"/>
        <w:color w:val="000000"/>
        <w:sz w:val="24"/>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772B7208"/>
    <w:multiLevelType w:val="hybridMultilevel"/>
    <w:tmpl w:val="4A7007A0"/>
    <w:lvl w:ilvl="0" w:tplc="04130019">
      <w:start w:val="1"/>
      <w:numFmt w:val="lowerLetter"/>
      <w:lvlText w:val="%1."/>
      <w:lvlJc w:val="left"/>
      <w:pPr>
        <w:tabs>
          <w:tab w:val="num" w:pos="360"/>
        </w:tabs>
        <w:ind w:left="360" w:hanging="360"/>
      </w:pPr>
      <w:rPr>
        <w:rFonts w:cs="Times New Roman"/>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num w:numId="1">
    <w:abstractNumId w:val="10"/>
  </w:num>
  <w:num w:numId="2">
    <w:abstractNumId w:val="5"/>
  </w:num>
  <w:num w:numId="3">
    <w:abstractNumId w:val="9"/>
  </w:num>
  <w:num w:numId="4">
    <w:abstractNumId w:val="1"/>
  </w:num>
  <w:num w:numId="5">
    <w:abstractNumId w:val="8"/>
  </w:num>
  <w:num w:numId="6">
    <w:abstractNumId w:val="7"/>
  </w:num>
  <w:num w:numId="7">
    <w:abstractNumId w:val="2"/>
  </w:num>
  <w:num w:numId="8">
    <w:abstractNumId w:val="4"/>
  </w:num>
  <w:num w:numId="9">
    <w:abstractNumId w:val="6"/>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characterSpacingControl w:val="doNotCompress"/>
  <w:footnotePr>
    <w:footnote w:id="0"/>
    <w:footnote w:id="1"/>
  </w:footnotePr>
  <w:endnotePr>
    <w:endnote w:id="0"/>
    <w:endnote w:id="1"/>
  </w:endnotePr>
  <w:compat/>
  <w:rsids>
    <w:rsidRoot w:val="0021622E"/>
    <w:rsid w:val="0002281B"/>
    <w:rsid w:val="00026037"/>
    <w:rsid w:val="000329A5"/>
    <w:rsid w:val="00060583"/>
    <w:rsid w:val="000647E3"/>
    <w:rsid w:val="000668FE"/>
    <w:rsid w:val="00081640"/>
    <w:rsid w:val="00087DEE"/>
    <w:rsid w:val="000A1BC9"/>
    <w:rsid w:val="000B4664"/>
    <w:rsid w:val="000C39A6"/>
    <w:rsid w:val="000D7198"/>
    <w:rsid w:val="000E0965"/>
    <w:rsid w:val="000E1B36"/>
    <w:rsid w:val="000F0965"/>
    <w:rsid w:val="000F1E7D"/>
    <w:rsid w:val="001139D3"/>
    <w:rsid w:val="00117458"/>
    <w:rsid w:val="00123A1B"/>
    <w:rsid w:val="0012655D"/>
    <w:rsid w:val="00140557"/>
    <w:rsid w:val="0015568F"/>
    <w:rsid w:val="00177580"/>
    <w:rsid w:val="00181E80"/>
    <w:rsid w:val="001925D8"/>
    <w:rsid w:val="00194730"/>
    <w:rsid w:val="001B210F"/>
    <w:rsid w:val="001C2823"/>
    <w:rsid w:val="001C6D57"/>
    <w:rsid w:val="001C73AC"/>
    <w:rsid w:val="001E30DD"/>
    <w:rsid w:val="00206582"/>
    <w:rsid w:val="0021622E"/>
    <w:rsid w:val="00226669"/>
    <w:rsid w:val="002421D4"/>
    <w:rsid w:val="00265466"/>
    <w:rsid w:val="00270CD5"/>
    <w:rsid w:val="00273E5D"/>
    <w:rsid w:val="00284532"/>
    <w:rsid w:val="002C5786"/>
    <w:rsid w:val="002C6D17"/>
    <w:rsid w:val="002C7DF0"/>
    <w:rsid w:val="002D43C0"/>
    <w:rsid w:val="002E2E0A"/>
    <w:rsid w:val="002E3F48"/>
    <w:rsid w:val="002F3EF2"/>
    <w:rsid w:val="003035AC"/>
    <w:rsid w:val="00303C02"/>
    <w:rsid w:val="00306C62"/>
    <w:rsid w:val="00314983"/>
    <w:rsid w:val="0036744E"/>
    <w:rsid w:val="003742C0"/>
    <w:rsid w:val="003818BF"/>
    <w:rsid w:val="003A0D65"/>
    <w:rsid w:val="003A575D"/>
    <w:rsid w:val="003D096E"/>
    <w:rsid w:val="003D314E"/>
    <w:rsid w:val="003D4D85"/>
    <w:rsid w:val="003D4FCC"/>
    <w:rsid w:val="003E118D"/>
    <w:rsid w:val="003F5602"/>
    <w:rsid w:val="004344CE"/>
    <w:rsid w:val="004647ED"/>
    <w:rsid w:val="0048121E"/>
    <w:rsid w:val="00497973"/>
    <w:rsid w:val="00497F5A"/>
    <w:rsid w:val="004B7C05"/>
    <w:rsid w:val="004C0E63"/>
    <w:rsid w:val="004C1495"/>
    <w:rsid w:val="004C4E12"/>
    <w:rsid w:val="004C6166"/>
    <w:rsid w:val="004F5D74"/>
    <w:rsid w:val="00512F6C"/>
    <w:rsid w:val="00517E37"/>
    <w:rsid w:val="00526428"/>
    <w:rsid w:val="00566A0E"/>
    <w:rsid w:val="00585A24"/>
    <w:rsid w:val="00592FB6"/>
    <w:rsid w:val="005B0C0A"/>
    <w:rsid w:val="005B50DF"/>
    <w:rsid w:val="005B5C20"/>
    <w:rsid w:val="005E4221"/>
    <w:rsid w:val="005E4A52"/>
    <w:rsid w:val="00612A86"/>
    <w:rsid w:val="006233BE"/>
    <w:rsid w:val="006235C9"/>
    <w:rsid w:val="00660ECF"/>
    <w:rsid w:val="00662323"/>
    <w:rsid w:val="00662997"/>
    <w:rsid w:val="00677CBD"/>
    <w:rsid w:val="006A719A"/>
    <w:rsid w:val="006B6665"/>
    <w:rsid w:val="006C2D36"/>
    <w:rsid w:val="006C5595"/>
    <w:rsid w:val="006F28F3"/>
    <w:rsid w:val="007060EC"/>
    <w:rsid w:val="00706CC2"/>
    <w:rsid w:val="00721219"/>
    <w:rsid w:val="0072183F"/>
    <w:rsid w:val="00724920"/>
    <w:rsid w:val="007338CE"/>
    <w:rsid w:val="00737CBA"/>
    <w:rsid w:val="007415BB"/>
    <w:rsid w:val="007459A1"/>
    <w:rsid w:val="00750F26"/>
    <w:rsid w:val="00755481"/>
    <w:rsid w:val="00756E54"/>
    <w:rsid w:val="007756A7"/>
    <w:rsid w:val="00777A6E"/>
    <w:rsid w:val="007B4AA7"/>
    <w:rsid w:val="007B5FD1"/>
    <w:rsid w:val="007B6C2F"/>
    <w:rsid w:val="007D2CD6"/>
    <w:rsid w:val="007D6B51"/>
    <w:rsid w:val="007F4056"/>
    <w:rsid w:val="0080362F"/>
    <w:rsid w:val="0082436D"/>
    <w:rsid w:val="008245D1"/>
    <w:rsid w:val="00831B8A"/>
    <w:rsid w:val="008345FE"/>
    <w:rsid w:val="0084373E"/>
    <w:rsid w:val="00844F72"/>
    <w:rsid w:val="00847BF7"/>
    <w:rsid w:val="00853091"/>
    <w:rsid w:val="0085519A"/>
    <w:rsid w:val="00855CDD"/>
    <w:rsid w:val="0086643A"/>
    <w:rsid w:val="00876724"/>
    <w:rsid w:val="008930C7"/>
    <w:rsid w:val="008A0983"/>
    <w:rsid w:val="008B0681"/>
    <w:rsid w:val="008C4232"/>
    <w:rsid w:val="00923E76"/>
    <w:rsid w:val="009270A1"/>
    <w:rsid w:val="00945399"/>
    <w:rsid w:val="00947E3E"/>
    <w:rsid w:val="009555CF"/>
    <w:rsid w:val="00993B25"/>
    <w:rsid w:val="009B5051"/>
    <w:rsid w:val="009C014C"/>
    <w:rsid w:val="009D556D"/>
    <w:rsid w:val="009D5B9F"/>
    <w:rsid w:val="009E23AE"/>
    <w:rsid w:val="009E5F18"/>
    <w:rsid w:val="009F68B5"/>
    <w:rsid w:val="00A02A98"/>
    <w:rsid w:val="00A052F1"/>
    <w:rsid w:val="00A14068"/>
    <w:rsid w:val="00A5143C"/>
    <w:rsid w:val="00A5633B"/>
    <w:rsid w:val="00A6103F"/>
    <w:rsid w:val="00A6264F"/>
    <w:rsid w:val="00A62C5A"/>
    <w:rsid w:val="00A85FA6"/>
    <w:rsid w:val="00A86ED3"/>
    <w:rsid w:val="00A87560"/>
    <w:rsid w:val="00AB13B8"/>
    <w:rsid w:val="00AB60A7"/>
    <w:rsid w:val="00AC1C1D"/>
    <w:rsid w:val="00AC21E3"/>
    <w:rsid w:val="00AD2EB8"/>
    <w:rsid w:val="00AD520A"/>
    <w:rsid w:val="00AE081E"/>
    <w:rsid w:val="00AE1D36"/>
    <w:rsid w:val="00AF1DE5"/>
    <w:rsid w:val="00B23CD6"/>
    <w:rsid w:val="00B42B6B"/>
    <w:rsid w:val="00B50E08"/>
    <w:rsid w:val="00B610AD"/>
    <w:rsid w:val="00B6441B"/>
    <w:rsid w:val="00B67736"/>
    <w:rsid w:val="00B740EB"/>
    <w:rsid w:val="00B846DB"/>
    <w:rsid w:val="00B8737B"/>
    <w:rsid w:val="00BA3E49"/>
    <w:rsid w:val="00BC0873"/>
    <w:rsid w:val="00BD1855"/>
    <w:rsid w:val="00C171EB"/>
    <w:rsid w:val="00C264EE"/>
    <w:rsid w:val="00C2674C"/>
    <w:rsid w:val="00C40F9F"/>
    <w:rsid w:val="00C460A6"/>
    <w:rsid w:val="00C530C2"/>
    <w:rsid w:val="00C63F87"/>
    <w:rsid w:val="00C65B4C"/>
    <w:rsid w:val="00C85B13"/>
    <w:rsid w:val="00CB6653"/>
    <w:rsid w:val="00CC74E7"/>
    <w:rsid w:val="00CD0898"/>
    <w:rsid w:val="00CD11C1"/>
    <w:rsid w:val="00CE304F"/>
    <w:rsid w:val="00CE3870"/>
    <w:rsid w:val="00D50E82"/>
    <w:rsid w:val="00D746DD"/>
    <w:rsid w:val="00D74C13"/>
    <w:rsid w:val="00D84B09"/>
    <w:rsid w:val="00D85011"/>
    <w:rsid w:val="00D96C2B"/>
    <w:rsid w:val="00DB2137"/>
    <w:rsid w:val="00DB38B6"/>
    <w:rsid w:val="00DD67D0"/>
    <w:rsid w:val="00DF5276"/>
    <w:rsid w:val="00E00F69"/>
    <w:rsid w:val="00E23690"/>
    <w:rsid w:val="00E34A2F"/>
    <w:rsid w:val="00E405BA"/>
    <w:rsid w:val="00E444CF"/>
    <w:rsid w:val="00E50614"/>
    <w:rsid w:val="00E5728D"/>
    <w:rsid w:val="00E852F2"/>
    <w:rsid w:val="00E91A87"/>
    <w:rsid w:val="00E944A5"/>
    <w:rsid w:val="00E979B8"/>
    <w:rsid w:val="00EC7E4C"/>
    <w:rsid w:val="00ED2BED"/>
    <w:rsid w:val="00ED73A7"/>
    <w:rsid w:val="00EF2F1D"/>
    <w:rsid w:val="00F00BA2"/>
    <w:rsid w:val="00F272C8"/>
    <w:rsid w:val="00F27434"/>
    <w:rsid w:val="00F36D78"/>
    <w:rsid w:val="00F4410C"/>
    <w:rsid w:val="00F54AEA"/>
    <w:rsid w:val="00F55945"/>
    <w:rsid w:val="00F75DC3"/>
    <w:rsid w:val="00F80C33"/>
    <w:rsid w:val="00F96677"/>
    <w:rsid w:val="00FA321B"/>
    <w:rsid w:val="00FA425D"/>
    <w:rsid w:val="00FC7CF0"/>
    <w:rsid w:val="00FE5DCC"/>
    <w:rsid w:val="00FE7C42"/>
    <w:rsid w:val="00FF2290"/>
    <w:rsid w:val="00FF4661"/>
  </w:rsids>
  <m:mathPr>
    <m:mathFont m:val="Courier"/>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622E"/>
    <w:rPr>
      <w:sz w:val="24"/>
      <w:szCs w:val="24"/>
      <w:lang w:val="nl-NL"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82436D"/>
    <w:rPr>
      <w:rFonts w:ascii="Tahoma" w:hAnsi="Tahoma" w:cs="Tahoma"/>
      <w:sz w:val="16"/>
      <w:szCs w:val="16"/>
    </w:rPr>
  </w:style>
  <w:style w:type="character" w:styleId="Hyperlink">
    <w:name w:val="Hyperlink"/>
    <w:rsid w:val="002E3F48"/>
    <w:rPr>
      <w:color w:val="0000FF"/>
      <w:u w:val="single"/>
    </w:rPr>
  </w:style>
  <w:style w:type="character" w:styleId="FollowedHyperlink">
    <w:name w:val="FollowedHyperlink"/>
    <w:rsid w:val="002E3F48"/>
    <w:rPr>
      <w:color w:val="800080"/>
      <w:u w:val="single"/>
    </w:rPr>
  </w:style>
  <w:style w:type="paragraph" w:styleId="FootnoteText">
    <w:name w:val="footnote text"/>
    <w:basedOn w:val="Normal"/>
    <w:semiHidden/>
    <w:rsid w:val="00117458"/>
    <w:rPr>
      <w:sz w:val="20"/>
      <w:szCs w:val="20"/>
    </w:rPr>
  </w:style>
  <w:style w:type="character" w:styleId="FootnoteReference">
    <w:name w:val="footnote reference"/>
    <w:semiHidden/>
    <w:rsid w:val="00117458"/>
    <w:rPr>
      <w:vertAlign w:val="superscript"/>
    </w:rPr>
  </w:style>
  <w:style w:type="character" w:styleId="CommentReference">
    <w:name w:val="annotation reference"/>
    <w:semiHidden/>
    <w:rsid w:val="00497F5A"/>
    <w:rPr>
      <w:sz w:val="16"/>
      <w:szCs w:val="16"/>
    </w:rPr>
  </w:style>
  <w:style w:type="paragraph" w:styleId="CommentText">
    <w:name w:val="annotation text"/>
    <w:basedOn w:val="Normal"/>
    <w:semiHidden/>
    <w:rsid w:val="00497F5A"/>
    <w:rPr>
      <w:sz w:val="20"/>
      <w:szCs w:val="20"/>
    </w:rPr>
  </w:style>
  <w:style w:type="paragraph" w:styleId="CommentSubject">
    <w:name w:val="annotation subject"/>
    <w:basedOn w:val="CommentText"/>
    <w:next w:val="CommentText"/>
    <w:semiHidden/>
    <w:rsid w:val="00497F5A"/>
    <w:rPr>
      <w:b/>
      <w:bCs/>
    </w:rPr>
  </w:style>
  <w:style w:type="paragraph" w:styleId="Caption">
    <w:name w:val="caption"/>
    <w:basedOn w:val="Normal"/>
    <w:next w:val="Normal"/>
    <w:qFormat/>
    <w:rsid w:val="00AB13B8"/>
    <w:rPr>
      <w:b/>
      <w:bCs/>
      <w:sz w:val="20"/>
      <w:szCs w:val="20"/>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chart" Target="charts/chart2.xml"/></Relationships>
</file>

<file path=word/_rels/footnotes.xml.rels><?xml version="1.0" encoding="UTF-8" standalone="yes"?>
<Relationships xmlns="http://schemas.openxmlformats.org/package/2006/relationships"><Relationship Id="rId3" Type="http://schemas.openxmlformats.org/officeDocument/2006/relationships/hyperlink" Target="http://www.imf.org/external/pubs/ft/scr/2010/cr10375.pdf" TargetMode="External"/><Relationship Id="rId4" Type="http://schemas.openxmlformats.org/officeDocument/2006/relationships/hyperlink" Target="http://portal.rijksweb.nl/irj/portal?login_submit=true&amp;j_authscheme=singlesignon" TargetMode="External"/><Relationship Id="rId1" Type="http://schemas.openxmlformats.org/officeDocument/2006/relationships/hyperlink" Target="http://www.bancomoc.mz/Files/DEM/Cambios_Anuais_2003.xls" TargetMode="External"/><Relationship Id="rId2" Type="http://schemas.openxmlformats.org/officeDocument/2006/relationships/hyperlink" Target="http://aec.msu.edu/%5C/fs2/mozambique/caadp/THIRD_NATIONAL_POVERTY_ASSESSMENT_october1.pdf"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package1.package"/></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package" Target="../embeddings/package2.package"/></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0"/>
  <c:clrMapOvr bg1="lt1" tx1="dk1" bg2="lt2" tx2="dk2" accent1="accent1" accent2="accent2" accent3="accent3" accent4="accent4" accent5="accent5" accent6="accent6" hlink="hlink" folHlink="folHlink"/>
  <c:chart>
    <c:view3D>
      <c:depthPercent val="100"/>
      <c:rAngAx val="1"/>
    </c:view3D>
    <c:floor>
      <c:spPr>
        <a:noFill/>
        <a:ln w="3175">
          <a:solidFill>
            <a:srgbClr val="808080"/>
          </a:solidFill>
          <a:prstDash val="solid"/>
        </a:ln>
      </c:spPr>
    </c:floor>
    <c:sideWall>
      <c:spPr>
        <a:noFill/>
        <a:ln w="25400">
          <a:noFill/>
        </a:ln>
      </c:spPr>
    </c:sideWall>
    <c:backWall>
      <c:spPr>
        <a:noFill/>
        <a:ln w="25400">
          <a:noFill/>
        </a:ln>
      </c:spPr>
    </c:backWall>
    <c:plotArea>
      <c:layout/>
      <c:bar3DChart>
        <c:barDir val="col"/>
        <c:grouping val="clustered"/>
        <c:ser>
          <c:idx val="0"/>
          <c:order val="0"/>
          <c:tx>
            <c:strRef>
              <c:f>Sheet1!$C$28</c:f>
              <c:strCache>
                <c:ptCount val="1"/>
                <c:pt idx="0">
                  <c:v>Total </c:v>
                </c:pt>
              </c:strCache>
            </c:strRef>
          </c:tx>
          <c:spPr>
            <a:solidFill>
              <a:srgbClr val="4F81BD"/>
            </a:solidFill>
            <a:ln w="3199">
              <a:solidFill>
                <a:srgbClr val="FFFFFF"/>
              </a:solidFill>
              <a:prstDash val="solid"/>
            </a:ln>
            <a:effectLst>
              <a:outerShdw dist="35921" dir="2700000" algn="br">
                <a:srgbClr val="000000"/>
              </a:outerShdw>
            </a:effectLst>
          </c:spPr>
          <c:cat>
            <c:strRef>
              <c:f>Sheet1!$B$29:$B$31</c:f>
              <c:strCache>
                <c:ptCount val="3"/>
                <c:pt idx="0">
                  <c:v>IAF 96/97</c:v>
                </c:pt>
                <c:pt idx="1">
                  <c:v>IAF2002/03</c:v>
                </c:pt>
                <c:pt idx="2">
                  <c:v>IOF 2008/09</c:v>
                </c:pt>
              </c:strCache>
            </c:strRef>
          </c:cat>
          <c:val>
            <c:numRef>
              <c:f>Sheet1!$C$29:$C$31</c:f>
              <c:numCache>
                <c:formatCode>General</c:formatCode>
                <c:ptCount val="3"/>
                <c:pt idx="0">
                  <c:v>69.4</c:v>
                </c:pt>
                <c:pt idx="1">
                  <c:v>54.1</c:v>
                </c:pt>
                <c:pt idx="2">
                  <c:v>54.7</c:v>
                </c:pt>
              </c:numCache>
            </c:numRef>
          </c:val>
        </c:ser>
        <c:ser>
          <c:idx val="1"/>
          <c:order val="1"/>
          <c:tx>
            <c:strRef>
              <c:f>Sheet1!$D$28</c:f>
              <c:strCache>
                <c:ptCount val="1"/>
                <c:pt idx="0">
                  <c:v>MEN</c:v>
                </c:pt>
              </c:strCache>
            </c:strRef>
          </c:tx>
          <c:spPr>
            <a:solidFill>
              <a:srgbClr val="C0504D"/>
            </a:solidFill>
            <a:ln w="3199">
              <a:solidFill>
                <a:srgbClr val="FFFFFF"/>
              </a:solidFill>
              <a:prstDash val="solid"/>
            </a:ln>
            <a:effectLst>
              <a:outerShdw dist="35921" dir="2700000" algn="br">
                <a:srgbClr val="000000"/>
              </a:outerShdw>
            </a:effectLst>
          </c:spPr>
          <c:dLbls>
            <c:spPr>
              <a:noFill/>
              <a:ln w="25591">
                <a:noFill/>
              </a:ln>
            </c:spPr>
            <c:txPr>
              <a:bodyPr rot="-5400000" vert="horz"/>
              <a:lstStyle/>
              <a:p>
                <a:pPr algn="ctr">
                  <a:defRPr sz="1008" b="0" i="0" u="none" strike="noStrike" baseline="0">
                    <a:solidFill>
                      <a:srgbClr val="000000"/>
                    </a:solidFill>
                    <a:latin typeface="Calibri"/>
                    <a:ea typeface="Calibri"/>
                    <a:cs typeface="Calibri"/>
                  </a:defRPr>
                </a:pPr>
                <a:endParaRPr lang="en-US"/>
              </a:p>
            </c:txPr>
            <c:showVal val="1"/>
          </c:dLbls>
          <c:cat>
            <c:strRef>
              <c:f>Sheet1!$B$29:$B$31</c:f>
              <c:strCache>
                <c:ptCount val="3"/>
                <c:pt idx="0">
                  <c:v>IAF 96/97</c:v>
                </c:pt>
                <c:pt idx="1">
                  <c:v>IAF2002/03</c:v>
                </c:pt>
                <c:pt idx="2">
                  <c:v>IOF 2008/09</c:v>
                </c:pt>
              </c:strCache>
            </c:strRef>
          </c:cat>
          <c:val>
            <c:numRef>
              <c:f>Sheet1!$D$29:$D$31</c:f>
              <c:numCache>
                <c:formatCode>General</c:formatCode>
                <c:ptCount val="3"/>
                <c:pt idx="0">
                  <c:v>69.9</c:v>
                </c:pt>
                <c:pt idx="1">
                  <c:v>51.9</c:v>
                </c:pt>
                <c:pt idx="2">
                  <c:v>53.9</c:v>
                </c:pt>
              </c:numCache>
            </c:numRef>
          </c:val>
        </c:ser>
        <c:ser>
          <c:idx val="2"/>
          <c:order val="2"/>
          <c:tx>
            <c:strRef>
              <c:f>Sheet1!$E$28</c:f>
              <c:strCache>
                <c:ptCount val="1"/>
                <c:pt idx="0">
                  <c:v>Women</c:v>
                </c:pt>
              </c:strCache>
            </c:strRef>
          </c:tx>
          <c:spPr>
            <a:solidFill>
              <a:srgbClr val="9BBB59"/>
            </a:solidFill>
            <a:ln w="3199">
              <a:solidFill>
                <a:srgbClr val="FFFFFF"/>
              </a:solidFill>
              <a:prstDash val="solid"/>
            </a:ln>
            <a:effectLst>
              <a:outerShdw dist="35921" dir="2700000" algn="br">
                <a:srgbClr val="000000"/>
              </a:outerShdw>
            </a:effectLst>
          </c:spPr>
          <c:dLbls>
            <c:spPr>
              <a:noFill/>
              <a:ln w="25591">
                <a:noFill/>
              </a:ln>
            </c:spPr>
            <c:txPr>
              <a:bodyPr rot="-5400000" vert="horz"/>
              <a:lstStyle/>
              <a:p>
                <a:pPr algn="ctr">
                  <a:defRPr sz="1008" b="1" i="0" u="none" strike="noStrike" baseline="0">
                    <a:solidFill>
                      <a:srgbClr val="000000"/>
                    </a:solidFill>
                    <a:latin typeface="Calibri"/>
                    <a:ea typeface="Calibri"/>
                    <a:cs typeface="Calibri"/>
                  </a:defRPr>
                </a:pPr>
                <a:endParaRPr lang="en-US"/>
              </a:p>
            </c:txPr>
            <c:showVal val="1"/>
          </c:dLbls>
          <c:cat>
            <c:strRef>
              <c:f>Sheet1!$B$29:$B$31</c:f>
              <c:strCache>
                <c:ptCount val="3"/>
                <c:pt idx="0">
                  <c:v>IAF 96/97</c:v>
                </c:pt>
                <c:pt idx="1">
                  <c:v>IAF2002/03</c:v>
                </c:pt>
                <c:pt idx="2">
                  <c:v>IOF 2008/09</c:v>
                </c:pt>
              </c:strCache>
            </c:strRef>
          </c:cat>
          <c:val>
            <c:numRef>
              <c:f>Sheet1!$E$29:$E$31</c:f>
              <c:numCache>
                <c:formatCode>General</c:formatCode>
                <c:ptCount val="3"/>
                <c:pt idx="0">
                  <c:v>66.8</c:v>
                </c:pt>
                <c:pt idx="1">
                  <c:v>62.5</c:v>
                </c:pt>
                <c:pt idx="2">
                  <c:v>57.8</c:v>
                </c:pt>
              </c:numCache>
            </c:numRef>
          </c:val>
        </c:ser>
        <c:gapWidth val="75"/>
        <c:shape val="cylinder"/>
        <c:axId val="646291704"/>
        <c:axId val="646281096"/>
        <c:axId val="0"/>
      </c:bar3DChart>
      <c:catAx>
        <c:axId val="646291704"/>
        <c:scaling>
          <c:orientation val="minMax"/>
        </c:scaling>
        <c:axPos val="b"/>
        <c:numFmt formatCode="General" sourceLinked="1"/>
        <c:majorTickMark val="none"/>
        <c:tickLblPos val="nextTo"/>
        <c:spPr>
          <a:ln w="3199">
            <a:solidFill>
              <a:srgbClr val="808080"/>
            </a:solidFill>
            <a:prstDash val="solid"/>
          </a:ln>
        </c:spPr>
        <c:txPr>
          <a:bodyPr rot="-2700000" vert="horz"/>
          <a:lstStyle/>
          <a:p>
            <a:pPr>
              <a:defRPr sz="1008" b="0" i="0" u="none" strike="noStrike" baseline="0">
                <a:solidFill>
                  <a:srgbClr val="000000"/>
                </a:solidFill>
                <a:latin typeface="Calibri"/>
                <a:ea typeface="Calibri"/>
                <a:cs typeface="Calibri"/>
              </a:defRPr>
            </a:pPr>
            <a:endParaRPr lang="en-US"/>
          </a:p>
        </c:txPr>
        <c:crossAx val="646281096"/>
        <c:crosses val="autoZero"/>
        <c:auto val="1"/>
        <c:lblAlgn val="ctr"/>
        <c:lblOffset val="100"/>
      </c:catAx>
      <c:valAx>
        <c:axId val="646281096"/>
        <c:scaling>
          <c:orientation val="minMax"/>
        </c:scaling>
        <c:axPos val="l"/>
        <c:numFmt formatCode="General" sourceLinked="1"/>
        <c:majorTickMark val="none"/>
        <c:tickLblPos val="nextTo"/>
        <c:spPr>
          <a:ln w="3199">
            <a:solidFill>
              <a:srgbClr val="808080"/>
            </a:solidFill>
            <a:prstDash val="solid"/>
          </a:ln>
        </c:spPr>
        <c:txPr>
          <a:bodyPr rot="0" vert="horz"/>
          <a:lstStyle/>
          <a:p>
            <a:pPr>
              <a:defRPr sz="1008" b="0" i="0" u="none" strike="noStrike" baseline="0">
                <a:solidFill>
                  <a:srgbClr val="000000"/>
                </a:solidFill>
                <a:latin typeface="Calibri"/>
                <a:ea typeface="Calibri"/>
                <a:cs typeface="Calibri"/>
              </a:defRPr>
            </a:pPr>
            <a:endParaRPr lang="en-US"/>
          </a:p>
        </c:txPr>
        <c:crossAx val="646291704"/>
        <c:crosses val="autoZero"/>
        <c:crossBetween val="between"/>
      </c:valAx>
      <c:spPr>
        <a:noFill/>
        <a:ln w="25591">
          <a:noFill/>
        </a:ln>
      </c:spPr>
    </c:plotArea>
    <c:legend>
      <c:legendPos val="r"/>
      <c:layout>
        <c:manualLayout>
          <c:xMode val="edge"/>
          <c:yMode val="edge"/>
          <c:x val="0.188405797101449"/>
          <c:y val="0.847560975609756"/>
          <c:w val="0.623188405797101"/>
          <c:h val="0.109756097560976"/>
        </c:manualLayout>
      </c:layout>
      <c:spPr>
        <a:noFill/>
        <a:ln w="25591">
          <a:noFill/>
        </a:ln>
      </c:spPr>
      <c:txPr>
        <a:bodyPr/>
        <a:lstStyle/>
        <a:p>
          <a:pPr>
            <a:defRPr sz="927" b="0" i="0" u="none" strike="noStrike" baseline="0">
              <a:solidFill>
                <a:srgbClr val="000000"/>
              </a:solidFill>
              <a:latin typeface="Calibri"/>
              <a:ea typeface="Calibri"/>
              <a:cs typeface="Calibri"/>
            </a:defRPr>
          </a:pPr>
          <a:endParaRPr lang="en-US"/>
        </a:p>
      </c:txPr>
    </c:legend>
    <c:plotVisOnly val="1"/>
    <c:dispBlanksAs val="gap"/>
  </c:chart>
  <c:spPr>
    <a:solidFill>
      <a:srgbClr val="FFFFFF"/>
    </a:solidFill>
    <a:ln w="3199">
      <a:solidFill>
        <a:srgbClr val="808080"/>
      </a:solidFill>
      <a:prstDash val="solid"/>
    </a:ln>
  </c:spPr>
  <c:txPr>
    <a:bodyPr/>
    <a:lstStyle/>
    <a:p>
      <a:pPr>
        <a:defRPr sz="1008" b="0" i="0" u="none" strike="noStrike" baseline="0">
          <a:solidFill>
            <a:srgbClr val="000000"/>
          </a:solidFill>
          <a:latin typeface="Calibri"/>
          <a:ea typeface="Calibri"/>
          <a:cs typeface="Calibri"/>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
  <c:clrMapOvr bg1="lt1" tx1="dk1" bg2="lt2" tx2="dk2" accent1="accent1" accent2="accent2" accent3="accent3" accent4="accent4" accent5="accent5" accent6="accent6" hlink="hlink" folHlink="folHlink"/>
  <c:chart>
    <c:title>
      <c:spPr>
        <a:noFill/>
        <a:ln w="25327">
          <a:noFill/>
        </a:ln>
      </c:spPr>
      <c:txPr>
        <a:bodyPr/>
        <a:lstStyle/>
        <a:p>
          <a:pPr>
            <a:defRPr sz="997" b="1" i="0" u="none" strike="noStrike" baseline="0">
              <a:solidFill>
                <a:srgbClr val="000000"/>
              </a:solidFill>
              <a:latin typeface="Calibri"/>
              <a:ea typeface="Calibri"/>
              <a:cs typeface="Calibri"/>
            </a:defRPr>
          </a:pPr>
          <a:endParaRPr lang="en-US"/>
        </a:p>
      </c:txPr>
    </c:title>
    <c:plotArea>
      <c:layout>
        <c:manualLayout>
          <c:layoutTarget val="inner"/>
          <c:xMode val="edge"/>
          <c:yMode val="edge"/>
          <c:x val="0.00967741935483871"/>
          <c:y val="0.0584028605482717"/>
          <c:w val="0.962096774193548"/>
          <c:h val="0.859356376638856"/>
        </c:manualLayout>
      </c:layout>
      <c:lineChart>
        <c:grouping val="stacked"/>
        <c:ser>
          <c:idx val="0"/>
          <c:order val="0"/>
          <c:tx>
            <c:strRef>
              <c:f>Sheet1!$D$3</c:f>
              <c:strCache>
                <c:ptCount val="1"/>
                <c:pt idx="0">
                  <c:v>percentage of child registration</c:v>
                </c:pt>
              </c:strCache>
            </c:strRef>
          </c:tx>
          <c:spPr>
            <a:ln w="25327">
              <a:solidFill>
                <a:srgbClr val="666699"/>
              </a:solidFill>
              <a:prstDash val="solid"/>
            </a:ln>
          </c:spPr>
          <c:marker>
            <c:spPr>
              <a:solidFill>
                <a:srgbClr val="4F81BD"/>
              </a:solidFill>
              <a:ln>
                <a:solidFill>
                  <a:srgbClr val="666699"/>
                </a:solidFill>
                <a:prstDash val="solid"/>
              </a:ln>
            </c:spPr>
          </c:marker>
          <c:cat>
            <c:strRef>
              <c:f>Sheet1!$C$4:$C$9</c:f>
              <c:strCache>
                <c:ptCount val="6"/>
                <c:pt idx="0">
                  <c:v>lowest quintile</c:v>
                </c:pt>
                <c:pt idx="1">
                  <c:v>second</c:v>
                </c:pt>
                <c:pt idx="2">
                  <c:v>medim</c:v>
                </c:pt>
                <c:pt idx="3">
                  <c:v>fourth</c:v>
                </c:pt>
                <c:pt idx="4">
                  <c:v>highest quintile</c:v>
                </c:pt>
                <c:pt idx="5">
                  <c:v>national average</c:v>
                </c:pt>
              </c:strCache>
            </c:strRef>
          </c:cat>
          <c:val>
            <c:numRef>
              <c:f>Sheet1!$D$4:$D$8</c:f>
              <c:numCache>
                <c:formatCode>General</c:formatCode>
                <c:ptCount val="5"/>
                <c:pt idx="0">
                  <c:v>19.5</c:v>
                </c:pt>
                <c:pt idx="1">
                  <c:v>23.7</c:v>
                </c:pt>
                <c:pt idx="2">
                  <c:v>31.6</c:v>
                </c:pt>
                <c:pt idx="3">
                  <c:v>37.6</c:v>
                </c:pt>
                <c:pt idx="4">
                  <c:v>47.7</c:v>
                </c:pt>
              </c:numCache>
            </c:numRef>
          </c:val>
        </c:ser>
        <c:marker val="1"/>
        <c:axId val="620947576"/>
        <c:axId val="620953528"/>
      </c:lineChart>
      <c:catAx>
        <c:axId val="620947576"/>
        <c:scaling>
          <c:orientation val="minMax"/>
        </c:scaling>
        <c:axPos val="b"/>
        <c:numFmt formatCode="General" sourceLinked="1"/>
        <c:tickLblPos val="nextTo"/>
        <c:spPr>
          <a:ln w="3166">
            <a:solidFill>
              <a:srgbClr val="808080"/>
            </a:solidFill>
            <a:prstDash val="solid"/>
          </a:ln>
        </c:spPr>
        <c:txPr>
          <a:bodyPr rot="-2700000" vert="horz"/>
          <a:lstStyle/>
          <a:p>
            <a:pPr>
              <a:defRPr sz="997" b="0" i="0" u="none" strike="noStrike" baseline="0">
                <a:solidFill>
                  <a:srgbClr val="000000"/>
                </a:solidFill>
                <a:latin typeface="Calibri"/>
                <a:ea typeface="Calibri"/>
                <a:cs typeface="Calibri"/>
              </a:defRPr>
            </a:pPr>
            <a:endParaRPr lang="en-US"/>
          </a:p>
        </c:txPr>
        <c:crossAx val="620953528"/>
        <c:crosses val="autoZero"/>
        <c:auto val="1"/>
        <c:lblAlgn val="ctr"/>
        <c:lblOffset val="100"/>
      </c:catAx>
      <c:valAx>
        <c:axId val="620953528"/>
        <c:scaling>
          <c:orientation val="minMax"/>
        </c:scaling>
        <c:axPos val="l"/>
        <c:majorGridlines>
          <c:spPr>
            <a:ln w="3166">
              <a:solidFill>
                <a:srgbClr val="808080"/>
              </a:solidFill>
              <a:prstDash val="solid"/>
            </a:ln>
          </c:spPr>
        </c:majorGridlines>
        <c:numFmt formatCode="General" sourceLinked="1"/>
        <c:tickLblPos val="nextTo"/>
        <c:spPr>
          <a:ln w="3166">
            <a:solidFill>
              <a:srgbClr val="808080"/>
            </a:solidFill>
            <a:prstDash val="solid"/>
          </a:ln>
        </c:spPr>
        <c:txPr>
          <a:bodyPr rot="0" vert="horz"/>
          <a:lstStyle/>
          <a:p>
            <a:pPr>
              <a:defRPr sz="997" b="0" i="0" u="none" strike="noStrike" baseline="0">
                <a:solidFill>
                  <a:srgbClr val="000000"/>
                </a:solidFill>
                <a:latin typeface="Calibri"/>
                <a:ea typeface="Calibri"/>
                <a:cs typeface="Calibri"/>
              </a:defRPr>
            </a:pPr>
            <a:endParaRPr lang="en-US"/>
          </a:p>
        </c:txPr>
        <c:crossAx val="620947576"/>
        <c:crosses val="autoZero"/>
        <c:crossBetween val="between"/>
      </c:valAx>
      <c:spPr>
        <a:solidFill>
          <a:srgbClr val="C6D9F1">
            <a:alpha val="90979"/>
          </a:srgbClr>
        </a:solidFill>
        <a:ln w="25327">
          <a:noFill/>
        </a:ln>
      </c:spPr>
    </c:plotArea>
    <c:plotVisOnly val="1"/>
    <c:dispBlanksAs val="zero"/>
  </c:chart>
  <c:spPr>
    <a:solidFill>
      <a:srgbClr val="FFFFFF"/>
    </a:solidFill>
    <a:ln w="3166">
      <a:solidFill>
        <a:srgbClr val="808080"/>
      </a:solidFill>
      <a:prstDash val="solid"/>
    </a:ln>
  </c:spPr>
  <c:txPr>
    <a:bodyPr/>
    <a:lstStyle/>
    <a:p>
      <a:pPr>
        <a:defRPr sz="997" b="0" i="0" u="none" strike="noStrike" baseline="0">
          <a:solidFill>
            <a:srgbClr val="000000"/>
          </a:solidFill>
          <a:latin typeface="Calibri"/>
          <a:ea typeface="Calibri"/>
          <a:cs typeface="Calibri"/>
        </a:defRPr>
      </a:pPr>
      <a:endParaRPr lang="en-US"/>
    </a:p>
  </c:txPr>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5</Pages>
  <Words>1220</Words>
  <Characters>6955</Characters>
  <Application>Microsoft Word 12.0.0</Application>
  <DocSecurity>0</DocSecurity>
  <Lines>57</Lines>
  <Paragraphs>13</Paragraphs>
  <ScaleCrop>false</ScaleCrop>
  <HeadingPairs>
    <vt:vector size="2" baseType="variant">
      <vt:variant>
        <vt:lpstr>Title</vt:lpstr>
      </vt:variant>
      <vt:variant>
        <vt:i4>1</vt:i4>
      </vt:variant>
    </vt:vector>
  </HeadingPairs>
  <TitlesOfParts>
    <vt:vector size="1" baseType="lpstr">
      <vt:lpstr>Information collection form for Netherlands Development Results Report 2009-2010 (bilateral aid)</vt:lpstr>
    </vt:vector>
  </TitlesOfParts>
  <Company>Min. van Buitenlandse Zaken</Company>
  <LinksUpToDate>false</LinksUpToDate>
  <CharactersWithSpaces>8541</CharactersWithSpaces>
  <SharedDoc>false</SharedDoc>
  <HLinks>
    <vt:vector size="24" baseType="variant">
      <vt:variant>
        <vt:i4>1769556</vt:i4>
      </vt:variant>
      <vt:variant>
        <vt:i4>9</vt:i4>
      </vt:variant>
      <vt:variant>
        <vt:i4>0</vt:i4>
      </vt:variant>
      <vt:variant>
        <vt:i4>5</vt:i4>
      </vt:variant>
      <vt:variant>
        <vt:lpwstr>http://portal.rijksweb.nl/irj/portal?login_submit=true&amp;j_authscheme=singlesignon</vt:lpwstr>
      </vt:variant>
      <vt:variant>
        <vt:lpwstr/>
      </vt:variant>
      <vt:variant>
        <vt:i4>4194314</vt:i4>
      </vt:variant>
      <vt:variant>
        <vt:i4>6</vt:i4>
      </vt:variant>
      <vt:variant>
        <vt:i4>0</vt:i4>
      </vt:variant>
      <vt:variant>
        <vt:i4>5</vt:i4>
      </vt:variant>
      <vt:variant>
        <vt:lpwstr>http://www.imf.org/external/pubs/ft/scr/2010/cr10375.pdf</vt:lpwstr>
      </vt:variant>
      <vt:variant>
        <vt:lpwstr/>
      </vt:variant>
      <vt:variant>
        <vt:i4>6357054</vt:i4>
      </vt:variant>
      <vt:variant>
        <vt:i4>3</vt:i4>
      </vt:variant>
      <vt:variant>
        <vt:i4>0</vt:i4>
      </vt:variant>
      <vt:variant>
        <vt:i4>5</vt:i4>
      </vt:variant>
      <vt:variant>
        <vt:lpwstr>http://aec.msu.edu/%5C/fs2/mozambique/caadp/THIRD_NATIONAL_POVERTY_ASSESSMENT_october1.pdf</vt:lpwstr>
      </vt:variant>
      <vt:variant>
        <vt:lpwstr/>
      </vt:variant>
      <vt:variant>
        <vt:i4>3997816</vt:i4>
      </vt:variant>
      <vt:variant>
        <vt:i4>0</vt:i4>
      </vt:variant>
      <vt:variant>
        <vt:i4>0</vt:i4>
      </vt:variant>
      <vt:variant>
        <vt:i4>5</vt:i4>
      </vt:variant>
      <vt:variant>
        <vt:lpwstr>http://www.bancomoc.mz/Files/DEM/Cambios_Anuais_2003.xls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collection form for Netherlands Development Results Report 2009-2010 (bilateral aid)</dc:title>
  <dc:subject/>
  <dc:creator>Rob Swinkels</dc:creator>
  <cp:keywords/>
  <cp:lastModifiedBy>Michiel Kuijper</cp:lastModifiedBy>
  <cp:revision>2</cp:revision>
  <cp:lastPrinted>2011-01-25T10:43:00Z</cp:lastPrinted>
  <dcterms:created xsi:type="dcterms:W3CDTF">2012-07-09T14:33:00Z</dcterms:created>
  <dcterms:modified xsi:type="dcterms:W3CDTF">2012-07-09T14:33:00Z</dcterms:modified>
</cp:coreProperties>
</file>