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22E" w:rsidRPr="00957C0D" w:rsidRDefault="000F1E7D" w:rsidP="0021622E">
      <w:pPr>
        <w:rPr>
          <w:b/>
          <w:lang w:val="en-GB"/>
        </w:rPr>
      </w:pPr>
      <w:bookmarkStart w:id="0" w:name="_GoBack"/>
      <w:bookmarkEnd w:id="0"/>
      <w:proofErr w:type="spellStart"/>
      <w:r w:rsidRPr="00957C0D">
        <w:rPr>
          <w:b/>
          <w:lang w:val="en-GB"/>
        </w:rPr>
        <w:t>Bijlage</w:t>
      </w:r>
      <w:proofErr w:type="spellEnd"/>
      <w:r w:rsidRPr="00957C0D">
        <w:rPr>
          <w:b/>
          <w:lang w:val="en-GB"/>
        </w:rPr>
        <w:t xml:space="preserve"> 1</w:t>
      </w:r>
    </w:p>
    <w:p w:rsidR="0021622E" w:rsidRPr="00957C0D" w:rsidRDefault="007D2CD6" w:rsidP="00992C82">
      <w:pPr>
        <w:rPr>
          <w:b/>
          <w:lang w:val="en-GB"/>
        </w:rPr>
      </w:pPr>
      <w:r w:rsidRPr="00957C0D">
        <w:rPr>
          <w:b/>
          <w:lang w:val="en-GB"/>
        </w:rPr>
        <w:t xml:space="preserve">Format for </w:t>
      </w:r>
      <w:r w:rsidR="0021622E" w:rsidRPr="00957C0D">
        <w:rPr>
          <w:b/>
          <w:lang w:val="en-GB"/>
        </w:rPr>
        <w:t xml:space="preserve">Information </w:t>
      </w:r>
      <w:proofErr w:type="gramStart"/>
      <w:r w:rsidR="0021622E" w:rsidRPr="00957C0D">
        <w:rPr>
          <w:b/>
          <w:lang w:val="en-GB"/>
        </w:rPr>
        <w:t xml:space="preserve">Collection </w:t>
      </w:r>
      <w:r w:rsidRPr="00957C0D">
        <w:rPr>
          <w:b/>
          <w:lang w:val="en-GB"/>
        </w:rPr>
        <w:t xml:space="preserve"> -</w:t>
      </w:r>
      <w:proofErr w:type="gramEnd"/>
      <w:r w:rsidR="005B50DF" w:rsidRPr="00957C0D">
        <w:rPr>
          <w:b/>
          <w:lang w:val="en-GB"/>
        </w:rPr>
        <w:t xml:space="preserve"> </w:t>
      </w:r>
      <w:r w:rsidR="0021622E" w:rsidRPr="00957C0D">
        <w:rPr>
          <w:b/>
          <w:lang w:val="en-GB"/>
        </w:rPr>
        <w:t xml:space="preserve"> Results Report 2009-2010 (bilateral aid program)</w:t>
      </w:r>
    </w:p>
    <w:p w:rsidR="007D2CD6" w:rsidRPr="00957C0D" w:rsidRDefault="007D2CD6" w:rsidP="00CD11C1">
      <w:pPr>
        <w:rPr>
          <w:lang w:val="en-GB"/>
        </w:rPr>
      </w:pPr>
    </w:p>
    <w:p w:rsidR="00CD11C1" w:rsidRPr="00957C0D" w:rsidRDefault="00CD11C1" w:rsidP="00CD11C1">
      <w:pPr>
        <w:rPr>
          <w:lang w:val="en-GB"/>
        </w:rPr>
      </w:pPr>
      <w:r w:rsidRPr="00957C0D">
        <w:rPr>
          <w:b/>
          <w:lang w:val="en-GB"/>
        </w:rPr>
        <w:t>Embassy (for delegated aid):</w:t>
      </w:r>
      <w:r w:rsidR="00653385" w:rsidRPr="00957C0D">
        <w:rPr>
          <w:lang w:val="en-GB"/>
        </w:rPr>
        <w:t xml:space="preserve"> </w:t>
      </w:r>
      <w:smartTag w:uri="urn:schemas-microsoft-com:office:smarttags" w:element="City">
        <w:smartTag w:uri="urn:schemas-microsoft-com:office:smarttags" w:element="place">
          <w:r w:rsidR="00653385" w:rsidRPr="00957C0D">
            <w:rPr>
              <w:lang w:val="en-GB"/>
            </w:rPr>
            <w:t>Maputo</w:t>
          </w:r>
        </w:smartTag>
      </w:smartTag>
    </w:p>
    <w:p w:rsidR="0021622E" w:rsidRPr="00957C0D" w:rsidRDefault="0021622E" w:rsidP="0021622E">
      <w:pPr>
        <w:rPr>
          <w:lang w:val="en-GB"/>
        </w:rPr>
      </w:pPr>
      <w:r w:rsidRPr="00957C0D">
        <w:rPr>
          <w:b/>
          <w:lang w:val="en-GB"/>
        </w:rPr>
        <w:t>Country:</w:t>
      </w:r>
      <w:r w:rsidR="00653385" w:rsidRPr="00957C0D">
        <w:rPr>
          <w:lang w:val="en-GB"/>
        </w:rPr>
        <w:t xml:space="preserve"> </w:t>
      </w:r>
      <w:smartTag w:uri="urn:schemas-microsoft-com:office:smarttags" w:element="country-region">
        <w:smartTag w:uri="urn:schemas-microsoft-com:office:smarttags" w:element="place">
          <w:r w:rsidR="00653385" w:rsidRPr="00957C0D">
            <w:rPr>
              <w:lang w:val="en-GB"/>
            </w:rPr>
            <w:t>Mozambique</w:t>
          </w:r>
        </w:smartTag>
      </w:smartTag>
    </w:p>
    <w:p w:rsidR="00653385" w:rsidRPr="00957C0D" w:rsidRDefault="00C2674C" w:rsidP="00653385">
      <w:pPr>
        <w:tabs>
          <w:tab w:val="left" w:pos="8505"/>
          <w:tab w:val="left" w:pos="8730"/>
        </w:tabs>
        <w:ind w:right="-108"/>
        <w:rPr>
          <w:lang w:val="en-GB"/>
        </w:rPr>
      </w:pPr>
      <w:r w:rsidRPr="00957C0D">
        <w:rPr>
          <w:b/>
          <w:lang w:val="en-GB"/>
        </w:rPr>
        <w:t>Strategic Goal</w:t>
      </w:r>
      <w:r w:rsidRPr="00957C0D">
        <w:rPr>
          <w:lang w:val="en-GB"/>
        </w:rPr>
        <w:t>:</w:t>
      </w:r>
      <w:r w:rsidR="00653385" w:rsidRPr="00957C0D">
        <w:rPr>
          <w:lang w:val="en-GB"/>
        </w:rPr>
        <w:t xml:space="preserve"> Contribute to poverty reduction in </w:t>
      </w:r>
      <w:smartTag w:uri="urn:schemas-microsoft-com:office:smarttags" w:element="country-region">
        <w:smartTag w:uri="urn:schemas-microsoft-com:office:smarttags" w:element="place">
          <w:r w:rsidR="00653385" w:rsidRPr="00957C0D">
            <w:rPr>
              <w:lang w:val="en-GB"/>
            </w:rPr>
            <w:t>Mozambique</w:t>
          </w:r>
        </w:smartTag>
      </w:smartTag>
      <w:r w:rsidR="00653385" w:rsidRPr="00957C0D">
        <w:rPr>
          <w:lang w:val="en-GB"/>
        </w:rPr>
        <w:t xml:space="preserve"> in an aligned and effective way</w:t>
      </w:r>
    </w:p>
    <w:p w:rsidR="00C2674C" w:rsidRPr="00957C0D" w:rsidRDefault="00C2674C" w:rsidP="00C2674C">
      <w:pPr>
        <w:rPr>
          <w:lang w:val="en-GB"/>
        </w:rPr>
      </w:pPr>
      <w:r w:rsidRPr="00957C0D">
        <w:rPr>
          <w:b/>
          <w:lang w:val="en-GB"/>
        </w:rPr>
        <w:t>Sub-goal/ programme selected for this form</w:t>
      </w:r>
      <w:r w:rsidRPr="00957C0D">
        <w:rPr>
          <w:lang w:val="en-GB"/>
        </w:rPr>
        <w:t>:</w:t>
      </w:r>
      <w:r w:rsidR="00653385" w:rsidRPr="00957C0D">
        <w:rPr>
          <w:lang w:val="en-GB"/>
        </w:rPr>
        <w:t xml:space="preserve"> Education: The Embassy aims to phase out of the sector, </w:t>
      </w:r>
      <w:r w:rsidR="00653385" w:rsidRPr="00957C0D">
        <w:rPr>
          <w:u w:val="single"/>
          <w:lang w:val="en-GB"/>
        </w:rPr>
        <w:t>ultimately by 2011. A</w:t>
      </w:r>
      <w:r w:rsidR="00653385" w:rsidRPr="00957C0D">
        <w:rPr>
          <w:lang w:val="en-GB"/>
        </w:rPr>
        <w:t xml:space="preserve">dequate and sustained sector funding should be guaranteed through the MTFF process, also reflecting increased GBS Netherlands’ contribution. </w:t>
      </w:r>
    </w:p>
    <w:p w:rsidR="0021622E" w:rsidRPr="00957C0D" w:rsidRDefault="00C2674C" w:rsidP="000F1E7D">
      <w:pPr>
        <w:rPr>
          <w:lang w:val="en-GB"/>
        </w:rPr>
      </w:pPr>
      <w:r w:rsidRPr="00957C0D">
        <w:rPr>
          <w:b/>
          <w:lang w:val="en-GB"/>
        </w:rPr>
        <w:t>This form is c</w:t>
      </w:r>
      <w:r w:rsidR="0021622E" w:rsidRPr="00957C0D">
        <w:rPr>
          <w:b/>
          <w:lang w:val="en-GB"/>
        </w:rPr>
        <w:t>ompleted by</w:t>
      </w:r>
      <w:r w:rsidR="0021622E" w:rsidRPr="00957C0D">
        <w:rPr>
          <w:lang w:val="en-GB"/>
        </w:rPr>
        <w:t>:</w:t>
      </w:r>
      <w:r w:rsidRPr="00957C0D">
        <w:rPr>
          <w:lang w:val="en-GB"/>
        </w:rPr>
        <w:t xml:space="preserve"> </w:t>
      </w:r>
      <w:r w:rsidR="00653385" w:rsidRPr="00957C0D">
        <w:rPr>
          <w:lang w:val="en-GB"/>
        </w:rPr>
        <w:tab/>
      </w:r>
      <w:proofErr w:type="spellStart"/>
      <w:r w:rsidR="00653385" w:rsidRPr="00957C0D">
        <w:rPr>
          <w:lang w:val="en-GB"/>
        </w:rPr>
        <w:t>Mieke</w:t>
      </w:r>
      <w:proofErr w:type="spellEnd"/>
      <w:r w:rsidR="00653385" w:rsidRPr="00957C0D">
        <w:rPr>
          <w:lang w:val="en-GB"/>
        </w:rPr>
        <w:t xml:space="preserve"> </w:t>
      </w:r>
      <w:proofErr w:type="spellStart"/>
      <w:r w:rsidR="00653385" w:rsidRPr="00957C0D">
        <w:rPr>
          <w:lang w:val="en-GB"/>
        </w:rPr>
        <w:t>Vogels</w:t>
      </w:r>
      <w:proofErr w:type="spellEnd"/>
    </w:p>
    <w:p w:rsidR="00C2674C" w:rsidRPr="00957C0D" w:rsidRDefault="00C2674C" w:rsidP="0021622E">
      <w:pPr>
        <w:rPr>
          <w:lang w:val="en-GB"/>
        </w:rPr>
      </w:pPr>
    </w:p>
    <w:p w:rsidR="0021622E" w:rsidRPr="00957C0D" w:rsidRDefault="0021622E" w:rsidP="00C2674C">
      <w:pPr>
        <w:rPr>
          <w:b/>
          <w:bCs/>
          <w:lang w:val="en-GB"/>
        </w:rPr>
      </w:pPr>
      <w:r w:rsidRPr="00957C0D">
        <w:rPr>
          <w:b/>
          <w:bCs/>
          <w:lang w:val="en-GB"/>
        </w:rPr>
        <w:t xml:space="preserve">1. CONTEXT </w:t>
      </w:r>
    </w:p>
    <w:p w:rsidR="0021622E" w:rsidRPr="00957C0D" w:rsidRDefault="0021622E" w:rsidP="00F80C33">
      <w:pPr>
        <w:rPr>
          <w:b/>
          <w:lang w:val="en-GB"/>
        </w:rPr>
      </w:pPr>
      <w:r w:rsidRPr="00957C0D">
        <w:rPr>
          <w:b/>
          <w:lang w:val="en-GB"/>
        </w:rPr>
        <w:t xml:space="preserve">a. Country </w:t>
      </w:r>
      <w:r w:rsidR="00F80C33" w:rsidRPr="00957C0D">
        <w:rPr>
          <w:b/>
          <w:lang w:val="en-GB"/>
        </w:rPr>
        <w:t xml:space="preserve">or regional </w:t>
      </w:r>
      <w:r w:rsidRPr="00957C0D">
        <w:rPr>
          <w:b/>
          <w:lang w:val="en-GB"/>
        </w:rPr>
        <w:t>context</w:t>
      </w:r>
    </w:p>
    <w:p w:rsidR="00653385" w:rsidRPr="00957C0D" w:rsidRDefault="00063442" w:rsidP="00F80C33">
      <w:pPr>
        <w:rPr>
          <w:lang w:val="en-GB"/>
        </w:rPr>
      </w:pPr>
      <w:r w:rsidRPr="00957C0D">
        <w:rPr>
          <w:lang w:val="en-GB"/>
        </w:rPr>
        <w:t>Although the Mozambican economy has nearly doubled in the past 10 years with a sustained average Gross Domestic Growth of 6</w:t>
      </w:r>
      <w:proofErr w:type="gramStart"/>
      <w:r w:rsidRPr="00957C0D">
        <w:rPr>
          <w:lang w:val="en-GB"/>
        </w:rPr>
        <w:t>,24</w:t>
      </w:r>
      <w:proofErr w:type="gramEnd"/>
      <w:r w:rsidRPr="00957C0D">
        <w:rPr>
          <w:lang w:val="en-GB"/>
        </w:rPr>
        <w:t xml:space="preserve">% , </w:t>
      </w:r>
      <w:smartTag w:uri="urn:schemas-microsoft-com:office:smarttags" w:element="country-region">
        <w:smartTag w:uri="urn:schemas-microsoft-com:office:smarttags" w:element="place">
          <w:r w:rsidRPr="00957C0D">
            <w:rPr>
              <w:lang w:val="en-GB"/>
            </w:rPr>
            <w:t>Mozambique</w:t>
          </w:r>
        </w:smartTag>
      </w:smartTag>
      <w:r w:rsidRPr="00957C0D">
        <w:rPr>
          <w:lang w:val="en-GB"/>
        </w:rPr>
        <w:t xml:space="preserve"> is still one of the poorest countries of the world. More than half of the population live below the poverty line (Household Budget </w:t>
      </w:r>
      <w:proofErr w:type="gramStart"/>
      <w:r w:rsidRPr="00957C0D">
        <w:rPr>
          <w:lang w:val="en-GB"/>
        </w:rPr>
        <w:t>Survey - IOF 2008/9).</w:t>
      </w:r>
      <w:proofErr w:type="gramEnd"/>
      <w:r w:rsidRPr="00957C0D">
        <w:rPr>
          <w:lang w:val="en-GB"/>
        </w:rPr>
        <w:t xml:space="preserve"> </w:t>
      </w:r>
      <w:smartTag w:uri="urn:schemas-microsoft-com:office:smarttags" w:element="country-region">
        <w:smartTag w:uri="urn:schemas-microsoft-com:office:smarttags" w:element="place">
          <w:r w:rsidRPr="00957C0D">
            <w:rPr>
              <w:lang w:val="en-GB"/>
            </w:rPr>
            <w:t>Mozambique</w:t>
          </w:r>
        </w:smartTag>
      </w:smartTag>
      <w:r w:rsidRPr="00957C0D">
        <w:rPr>
          <w:lang w:val="en-GB"/>
        </w:rPr>
        <w:t xml:space="preserve"> ranks 165 out of 169 countries in the UN Human Development Index (HDI – UNDP, 2010</w:t>
      </w:r>
      <w:r w:rsidRPr="00957C0D">
        <w:rPr>
          <w:rStyle w:val="FootnoteReference"/>
          <w:lang w:val="en-GB"/>
        </w:rPr>
        <w:footnoteReference w:id="1"/>
      </w:r>
      <w:r w:rsidRPr="00957C0D">
        <w:rPr>
          <w:lang w:val="en-GB"/>
        </w:rPr>
        <w:t xml:space="preserve">). Yet </w:t>
      </w:r>
      <w:smartTag w:uri="urn:schemas-microsoft-com:office:smarttags" w:element="country-region">
        <w:smartTag w:uri="urn:schemas-microsoft-com:office:smarttags" w:element="place">
          <w:r w:rsidRPr="00957C0D">
            <w:rPr>
              <w:lang w:val="en-GB"/>
            </w:rPr>
            <w:t>Mozambique</w:t>
          </w:r>
        </w:smartTag>
      </w:smartTag>
      <w:r w:rsidRPr="00957C0D">
        <w:rPr>
          <w:lang w:val="en-GB"/>
        </w:rPr>
        <w:t xml:space="preserve">’s HDI value has improved notably since the end of the war and the country is among the top 10 improvers since 2000. Of the 20.2 million people more than half (54%) are younger than 18 years. For anyone born in 2007, life expectancy was 49.4 years. </w:t>
      </w:r>
      <w:proofErr w:type="gramStart"/>
      <w:r w:rsidRPr="00957C0D">
        <w:rPr>
          <w:lang w:val="en-GB"/>
        </w:rPr>
        <w:t>(Population Census 2007).</w:t>
      </w:r>
      <w:proofErr w:type="gramEnd"/>
      <w:r w:rsidRPr="00957C0D">
        <w:rPr>
          <w:lang w:val="en-GB"/>
        </w:rPr>
        <w:t xml:space="preserve"> In the rural areas one third and in the urban areas two thirds of the people have access to safe, clean water (World Development Indicators, 2006). 50.4% of the population cannot read or write. Illiteracy is strongly gender structured: 34.6% of men are illiterate, whereas for women the figure rises to 64.2% (Pop. </w:t>
      </w:r>
      <w:proofErr w:type="gramStart"/>
      <w:r w:rsidRPr="00957C0D">
        <w:rPr>
          <w:lang w:val="en-GB"/>
        </w:rPr>
        <w:t>Census 2007).</w:t>
      </w:r>
      <w:proofErr w:type="gramEnd"/>
      <w:r w:rsidRPr="00957C0D">
        <w:rPr>
          <w:lang w:val="en-GB"/>
        </w:rPr>
        <w:t xml:space="preserve"> </w:t>
      </w:r>
    </w:p>
    <w:p w:rsidR="00992C82" w:rsidRPr="00957C0D" w:rsidRDefault="00992C82" w:rsidP="00F80C33">
      <w:pPr>
        <w:rPr>
          <w:lang w:val="en-GB"/>
        </w:rPr>
      </w:pPr>
    </w:p>
    <w:p w:rsidR="0021622E" w:rsidRPr="00957C0D" w:rsidRDefault="0021622E" w:rsidP="0021622E">
      <w:pPr>
        <w:rPr>
          <w:b/>
          <w:lang w:val="en-GB"/>
        </w:rPr>
      </w:pPr>
      <w:proofErr w:type="gramStart"/>
      <w:r w:rsidRPr="00957C0D">
        <w:rPr>
          <w:b/>
          <w:lang w:val="en-GB"/>
        </w:rPr>
        <w:t>b</w:t>
      </w:r>
      <w:proofErr w:type="gramEnd"/>
      <w:r w:rsidRPr="00957C0D">
        <w:rPr>
          <w:b/>
          <w:lang w:val="en-GB"/>
        </w:rPr>
        <w:t>.</w:t>
      </w:r>
      <w:r w:rsidR="00FA4B54">
        <w:rPr>
          <w:b/>
          <w:lang w:val="en-GB"/>
        </w:rPr>
        <w:t xml:space="preserve"> Education</w:t>
      </w:r>
      <w:r w:rsidRPr="00957C0D">
        <w:rPr>
          <w:b/>
          <w:lang w:val="en-GB"/>
        </w:rPr>
        <w:t xml:space="preserve"> Sector context</w:t>
      </w:r>
    </w:p>
    <w:p w:rsidR="000D127F" w:rsidRPr="00957C0D" w:rsidRDefault="000D127F" w:rsidP="000D127F">
      <w:pPr>
        <w:rPr>
          <w:lang w:val="en-GB"/>
        </w:rPr>
      </w:pPr>
      <w:smartTag w:uri="urn:schemas-microsoft-com:office:smarttags" w:element="country-region">
        <w:smartTag w:uri="urn:schemas-microsoft-com:office:smarttags" w:element="place">
          <w:r w:rsidRPr="00957C0D">
            <w:rPr>
              <w:lang w:val="en-GB"/>
            </w:rPr>
            <w:t>Mozambique</w:t>
          </w:r>
        </w:smartTag>
      </w:smartTag>
      <w:r w:rsidRPr="00957C0D">
        <w:rPr>
          <w:lang w:val="en-GB"/>
        </w:rPr>
        <w:t>’s current Five Year Government Plan (PQG) 2010 – 2014 emphasizes the crucial role of education and training to create the necessary human capital for sustained social and economic development</w:t>
      </w:r>
      <w:r w:rsidR="002A06D7" w:rsidRPr="00957C0D">
        <w:rPr>
          <w:lang w:val="en-GB"/>
        </w:rPr>
        <w:t xml:space="preserve">. </w:t>
      </w:r>
      <w:r w:rsidRPr="00957C0D">
        <w:rPr>
          <w:lang w:val="en-GB"/>
        </w:rPr>
        <w:t xml:space="preserve">Priority is given to ensuring opportunities for all children to complete a primary education of seven years. </w:t>
      </w:r>
    </w:p>
    <w:p w:rsidR="000D127F" w:rsidRPr="00957C0D" w:rsidRDefault="000D127F" w:rsidP="000D127F">
      <w:pPr>
        <w:rPr>
          <w:lang w:val="en-GB"/>
        </w:rPr>
      </w:pPr>
      <w:r w:rsidRPr="00957C0D">
        <w:rPr>
          <w:lang w:val="en-GB"/>
        </w:rPr>
        <w:t xml:space="preserve">The current </w:t>
      </w:r>
      <w:r w:rsidR="00A65486">
        <w:rPr>
          <w:lang w:val="en-GB"/>
        </w:rPr>
        <w:t xml:space="preserve">education sector </w:t>
      </w:r>
      <w:r w:rsidRPr="00957C0D">
        <w:rPr>
          <w:lang w:val="en-GB"/>
        </w:rPr>
        <w:t xml:space="preserve">strategic </w:t>
      </w:r>
      <w:proofErr w:type="gramStart"/>
      <w:r w:rsidRPr="00957C0D">
        <w:rPr>
          <w:lang w:val="en-GB"/>
        </w:rPr>
        <w:t>plan ,</w:t>
      </w:r>
      <w:proofErr w:type="gramEnd"/>
      <w:r w:rsidRPr="00957C0D">
        <w:rPr>
          <w:lang w:val="en-GB"/>
        </w:rPr>
        <w:t xml:space="preserve">  priorit</w:t>
      </w:r>
      <w:r w:rsidR="00B5245B" w:rsidRPr="00957C0D">
        <w:rPr>
          <w:lang w:val="en-GB"/>
        </w:rPr>
        <w:t>ise</w:t>
      </w:r>
      <w:r w:rsidR="00A65486">
        <w:rPr>
          <w:lang w:val="en-GB"/>
        </w:rPr>
        <w:t>s</w:t>
      </w:r>
      <w:r w:rsidRPr="00957C0D">
        <w:rPr>
          <w:lang w:val="en-GB"/>
        </w:rPr>
        <w:t xml:space="preserve"> primary education through three main areas of interventions:</w:t>
      </w:r>
    </w:p>
    <w:p w:rsidR="000D127F" w:rsidRPr="00957C0D" w:rsidRDefault="000D127F" w:rsidP="000D127F">
      <w:pPr>
        <w:pStyle w:val="StyleBulleted"/>
        <w:numPr>
          <w:ilvl w:val="0"/>
          <w:numId w:val="6"/>
        </w:numPr>
        <w:ind w:left="924" w:hanging="357"/>
        <w:rPr>
          <w:sz w:val="24"/>
        </w:rPr>
      </w:pPr>
      <w:r w:rsidRPr="00957C0D">
        <w:rPr>
          <w:sz w:val="24"/>
          <w:u w:val="single"/>
        </w:rPr>
        <w:t>Increasing access</w:t>
      </w:r>
      <w:r w:rsidR="00022E9D">
        <w:rPr>
          <w:sz w:val="24"/>
          <w:u w:val="single"/>
        </w:rPr>
        <w:t>,</w:t>
      </w:r>
      <w:r w:rsidR="00A63AFD" w:rsidRPr="00A63AFD">
        <w:rPr>
          <w:sz w:val="24"/>
        </w:rPr>
        <w:t xml:space="preserve"> </w:t>
      </w:r>
      <w:r w:rsidR="00A63AFD">
        <w:rPr>
          <w:sz w:val="24"/>
        </w:rPr>
        <w:t>with a special focus on reaching gender parity</w:t>
      </w:r>
      <w:r w:rsidR="00022E9D">
        <w:rPr>
          <w:sz w:val="24"/>
        </w:rPr>
        <w:t xml:space="preserve">, </w:t>
      </w:r>
    </w:p>
    <w:p w:rsidR="000D127F" w:rsidRPr="00957C0D" w:rsidRDefault="000D127F" w:rsidP="000D127F">
      <w:pPr>
        <w:pStyle w:val="StyleBulleted"/>
        <w:numPr>
          <w:ilvl w:val="0"/>
          <w:numId w:val="6"/>
        </w:numPr>
        <w:ind w:left="924" w:hanging="357"/>
        <w:rPr>
          <w:sz w:val="24"/>
        </w:rPr>
      </w:pPr>
      <w:r w:rsidRPr="00957C0D">
        <w:rPr>
          <w:sz w:val="24"/>
          <w:u w:val="single"/>
        </w:rPr>
        <w:t>Improving quality of education</w:t>
      </w:r>
      <w:r w:rsidRPr="00957C0D">
        <w:rPr>
          <w:sz w:val="24"/>
        </w:rPr>
        <w:t xml:space="preserve"> </w:t>
      </w:r>
    </w:p>
    <w:p w:rsidR="00A63AFD" w:rsidRPr="00957C0D" w:rsidRDefault="000D127F" w:rsidP="00A65486">
      <w:pPr>
        <w:pStyle w:val="StyleBulleted"/>
        <w:numPr>
          <w:ilvl w:val="0"/>
          <w:numId w:val="6"/>
        </w:numPr>
        <w:ind w:left="924" w:hanging="357"/>
        <w:rPr>
          <w:sz w:val="24"/>
        </w:rPr>
      </w:pPr>
      <w:r w:rsidRPr="00957C0D">
        <w:rPr>
          <w:sz w:val="24"/>
          <w:u w:val="single"/>
        </w:rPr>
        <w:t>Strengthening institutional capacity</w:t>
      </w:r>
      <w:r w:rsidR="005B68EE" w:rsidRPr="00957C0D">
        <w:rPr>
          <w:sz w:val="24"/>
        </w:rPr>
        <w:t xml:space="preserve"> </w:t>
      </w:r>
      <w:r w:rsidR="00A65486">
        <w:rPr>
          <w:sz w:val="24"/>
        </w:rPr>
        <w:t>throughout the education system.</w:t>
      </w:r>
    </w:p>
    <w:p w:rsidR="000D127F" w:rsidRDefault="000D127F" w:rsidP="000D127F">
      <w:pPr>
        <w:rPr>
          <w:lang w:val="en-GB"/>
        </w:rPr>
      </w:pPr>
      <w:r w:rsidRPr="00957C0D">
        <w:rPr>
          <w:lang w:val="en-GB"/>
        </w:rPr>
        <w:t xml:space="preserve">Resulting from the progress </w:t>
      </w:r>
      <w:r w:rsidR="005B68EE" w:rsidRPr="00957C0D">
        <w:rPr>
          <w:lang w:val="en-GB"/>
        </w:rPr>
        <w:t>made in access to primary schooling</w:t>
      </w:r>
      <w:r w:rsidRPr="00957C0D">
        <w:rPr>
          <w:lang w:val="en-GB"/>
        </w:rPr>
        <w:t>, secondary education is expanding rapidly, while the call for a more technical-oriented work force is increasing. In the coming years, focus will be on the consolidation of the reforms initiated over the last years in the area of secondary, technical and vocational education, as well as higher education with the aim to make this level of education more responsive to the needs of society for sustainable economic and social development.</w:t>
      </w:r>
    </w:p>
    <w:p w:rsidR="00183814" w:rsidRDefault="00183814" w:rsidP="000D127F">
      <w:pPr>
        <w:rPr>
          <w:lang w:val="en-GB"/>
        </w:rPr>
      </w:pPr>
    </w:p>
    <w:p w:rsidR="00E070F6" w:rsidRPr="00957C0D" w:rsidRDefault="00E070F6" w:rsidP="000D127F">
      <w:pPr>
        <w:rPr>
          <w:lang w:val="en-GB"/>
        </w:rPr>
      </w:pPr>
      <w:r>
        <w:rPr>
          <w:lang w:val="en-GB"/>
        </w:rPr>
        <w:t xml:space="preserve">Gender parity has </w:t>
      </w:r>
      <w:r w:rsidR="00BB5B51">
        <w:rPr>
          <w:lang w:val="en-GB"/>
        </w:rPr>
        <w:t xml:space="preserve">practically been </w:t>
      </w:r>
      <w:r>
        <w:rPr>
          <w:lang w:val="en-GB"/>
        </w:rPr>
        <w:t>reached with regard to 6 year old children entering Grade 1</w:t>
      </w:r>
      <w:r w:rsidR="00BB5B51">
        <w:rPr>
          <w:rStyle w:val="FootnoteReference"/>
          <w:lang w:val="en-GB"/>
        </w:rPr>
        <w:footnoteReference w:id="2"/>
      </w:r>
      <w:r>
        <w:rPr>
          <w:lang w:val="en-GB"/>
        </w:rPr>
        <w:t xml:space="preserve">. However, the longer children stay in school, the higher the chance for girls to drop out. </w:t>
      </w:r>
      <w:r w:rsidR="00A65486">
        <w:rPr>
          <w:lang w:val="en-GB"/>
        </w:rPr>
        <w:lastRenderedPageBreak/>
        <w:t>The p</w:t>
      </w:r>
      <w:r>
        <w:rPr>
          <w:lang w:val="en-GB"/>
        </w:rPr>
        <w:t>ercentage of female</w:t>
      </w:r>
      <w:r w:rsidR="00A65486">
        <w:rPr>
          <w:lang w:val="en-GB"/>
        </w:rPr>
        <w:t xml:space="preserve"> </w:t>
      </w:r>
      <w:r>
        <w:rPr>
          <w:lang w:val="en-GB"/>
        </w:rPr>
        <w:t>s</w:t>
      </w:r>
      <w:r w:rsidR="00A65486">
        <w:rPr>
          <w:lang w:val="en-GB"/>
        </w:rPr>
        <w:t>tudents</w:t>
      </w:r>
      <w:r>
        <w:rPr>
          <w:lang w:val="en-GB"/>
        </w:rPr>
        <w:t xml:space="preserve"> in higher education is much lower than for </w:t>
      </w:r>
      <w:r w:rsidR="00A65486">
        <w:rPr>
          <w:lang w:val="en-GB"/>
        </w:rPr>
        <w:t>male students</w:t>
      </w:r>
      <w:r>
        <w:rPr>
          <w:lang w:val="en-GB"/>
        </w:rPr>
        <w:t xml:space="preserve"> (</w:t>
      </w:r>
      <w:r w:rsidR="00BB5B51">
        <w:rPr>
          <w:lang w:val="en-GB"/>
        </w:rPr>
        <w:t xml:space="preserve">female students </w:t>
      </w:r>
      <w:r>
        <w:rPr>
          <w:lang w:val="en-GB"/>
        </w:rPr>
        <w:t xml:space="preserve">occupy </w:t>
      </w:r>
      <w:r w:rsidR="00935B69">
        <w:rPr>
          <w:lang w:val="en-GB"/>
        </w:rPr>
        <w:t>approx</w:t>
      </w:r>
      <w:r w:rsidR="00BB5B51">
        <w:rPr>
          <w:lang w:val="en-GB"/>
        </w:rPr>
        <w:t>imately</w:t>
      </w:r>
      <w:r w:rsidR="00935B69">
        <w:rPr>
          <w:lang w:val="en-GB"/>
        </w:rPr>
        <w:t xml:space="preserve"> 30</w:t>
      </w:r>
      <w:r>
        <w:rPr>
          <w:lang w:val="en-GB"/>
        </w:rPr>
        <w:t>%</w:t>
      </w:r>
      <w:r w:rsidR="00BB5B51">
        <w:rPr>
          <w:lang w:val="en-GB"/>
        </w:rPr>
        <w:t xml:space="preserve"> </w:t>
      </w:r>
      <w:r w:rsidR="00B64589">
        <w:rPr>
          <w:lang w:val="en-GB"/>
        </w:rPr>
        <w:t xml:space="preserve">of the available places </w:t>
      </w:r>
      <w:r>
        <w:rPr>
          <w:lang w:val="en-GB"/>
        </w:rPr>
        <w:t>in higher education)</w:t>
      </w:r>
    </w:p>
    <w:p w:rsidR="00B64589" w:rsidRDefault="00B64589" w:rsidP="000D127F">
      <w:pPr>
        <w:rPr>
          <w:lang w:val="en-GB"/>
        </w:rPr>
      </w:pPr>
    </w:p>
    <w:p w:rsidR="005B68EE" w:rsidRDefault="00B64589" w:rsidP="0021622E">
      <w:pPr>
        <w:rPr>
          <w:lang w:val="en-GB"/>
        </w:rPr>
      </w:pPr>
      <w:r>
        <w:rPr>
          <w:lang w:val="en-GB"/>
        </w:rPr>
        <w:t>Until 2009</w:t>
      </w:r>
      <w:r w:rsidR="000D127F" w:rsidRPr="00957C0D">
        <w:rPr>
          <w:lang w:val="en-GB"/>
        </w:rPr>
        <w:t xml:space="preserve">, the </w:t>
      </w:r>
      <w:r>
        <w:rPr>
          <w:lang w:val="en-GB"/>
        </w:rPr>
        <w:t xml:space="preserve">education </w:t>
      </w:r>
      <w:r w:rsidR="000D127F" w:rsidRPr="00957C0D">
        <w:rPr>
          <w:lang w:val="en-GB"/>
        </w:rPr>
        <w:t xml:space="preserve">sector programme </w:t>
      </w:r>
      <w:r>
        <w:rPr>
          <w:lang w:val="en-GB"/>
        </w:rPr>
        <w:t>was</w:t>
      </w:r>
      <w:r w:rsidR="000D127F" w:rsidRPr="00957C0D">
        <w:rPr>
          <w:lang w:val="en-GB"/>
        </w:rPr>
        <w:t xml:space="preserve"> supported by increased internal and external funding. Government has consistently allocated around 20% of its resource</w:t>
      </w:r>
      <w:r>
        <w:rPr>
          <w:lang w:val="en-GB"/>
        </w:rPr>
        <w:t>s</w:t>
      </w:r>
      <w:r w:rsidR="000D127F" w:rsidRPr="00957C0D">
        <w:rPr>
          <w:lang w:val="en-GB"/>
        </w:rPr>
        <w:t xml:space="preserve"> to the education sector. </w:t>
      </w:r>
      <w:r w:rsidR="00A65486">
        <w:rPr>
          <w:lang w:val="en-GB"/>
        </w:rPr>
        <w:t>However, t</w:t>
      </w:r>
      <w:r>
        <w:rPr>
          <w:lang w:val="en-GB"/>
        </w:rPr>
        <w:t xml:space="preserve">he portion of bilateral donor funding through the common education sector support fund has diminished from 2010 onwards. Through contributions of </w:t>
      </w:r>
      <w:proofErr w:type="gramStart"/>
      <w:r>
        <w:rPr>
          <w:lang w:val="en-GB"/>
        </w:rPr>
        <w:t>FTI  and</w:t>
      </w:r>
      <w:proofErr w:type="gramEnd"/>
      <w:r>
        <w:rPr>
          <w:lang w:val="en-GB"/>
        </w:rPr>
        <w:t xml:space="preserve"> a World Bank loan (</w:t>
      </w:r>
      <w:r w:rsidR="00FE530A">
        <w:rPr>
          <w:lang w:val="en-GB"/>
        </w:rPr>
        <w:t>total 16</w:t>
      </w:r>
      <w:r>
        <w:rPr>
          <w:lang w:val="en-GB"/>
        </w:rPr>
        <w:t>1 million USD for 3 years), contributions are now again at the level of 2009. This poses a serious problem</w:t>
      </w:r>
      <w:r w:rsidR="00FE530A">
        <w:rPr>
          <w:lang w:val="en-GB"/>
        </w:rPr>
        <w:t xml:space="preserve">, </w:t>
      </w:r>
      <w:r>
        <w:rPr>
          <w:lang w:val="en-GB"/>
        </w:rPr>
        <w:t xml:space="preserve">however, because there is not sufficient funding to accommodate </w:t>
      </w:r>
      <w:r w:rsidR="008468A1">
        <w:rPr>
          <w:lang w:val="en-GB"/>
        </w:rPr>
        <w:t xml:space="preserve">maintenance, let alone </w:t>
      </w:r>
      <w:r>
        <w:rPr>
          <w:lang w:val="en-GB"/>
        </w:rPr>
        <w:t xml:space="preserve">the dramatic growth of the system. </w:t>
      </w:r>
    </w:p>
    <w:p w:rsidR="00FE530A" w:rsidRPr="00957C0D" w:rsidRDefault="00FE530A" w:rsidP="0021622E">
      <w:pPr>
        <w:rPr>
          <w:lang w:val="en-GB"/>
        </w:rPr>
      </w:pPr>
    </w:p>
    <w:p w:rsidR="0021622E" w:rsidRPr="00957C0D" w:rsidRDefault="0021622E" w:rsidP="0021622E">
      <w:pPr>
        <w:rPr>
          <w:b/>
          <w:lang w:val="en-GB"/>
        </w:rPr>
      </w:pPr>
      <w:r w:rsidRPr="00957C0D">
        <w:rPr>
          <w:b/>
          <w:lang w:val="en-GB"/>
        </w:rPr>
        <w:t>c. Description of the problem</w:t>
      </w:r>
    </w:p>
    <w:p w:rsidR="005B68EE" w:rsidRDefault="00B5245B" w:rsidP="0021622E">
      <w:pPr>
        <w:rPr>
          <w:lang w:val="en-GB"/>
        </w:rPr>
      </w:pPr>
      <w:r w:rsidRPr="00957C0D">
        <w:rPr>
          <w:lang w:val="en-GB"/>
        </w:rPr>
        <w:t xml:space="preserve">As access to primary education has grown dramatically, the system has not been able to ensure sufficient </w:t>
      </w:r>
      <w:r w:rsidRPr="00E25BED">
        <w:rPr>
          <w:lang w:val="en-GB"/>
        </w:rPr>
        <w:t xml:space="preserve">quality </w:t>
      </w:r>
      <w:r w:rsidRPr="00957C0D">
        <w:rPr>
          <w:lang w:val="en-GB"/>
        </w:rPr>
        <w:t>of outcomes in terms of pupils’ performance. A comparative education quality monitoring study for Southern and Eastern Africa, SACMEQ III, (</w:t>
      </w:r>
      <w:hyperlink r:id="rId8" w:history="1">
        <w:r w:rsidRPr="00957C0D">
          <w:rPr>
            <w:rStyle w:val="Hyperlink"/>
            <w:lang w:val="en-GB"/>
          </w:rPr>
          <w:t>http://www.sacmeq.org/sacmeq3.htm</w:t>
        </w:r>
      </w:hyperlink>
      <w:r w:rsidR="00E25BED">
        <w:rPr>
          <w:lang w:val="en-GB"/>
        </w:rPr>
        <w:t xml:space="preserve">) </w:t>
      </w:r>
      <w:r w:rsidRPr="00957C0D">
        <w:rPr>
          <w:lang w:val="en-GB"/>
        </w:rPr>
        <w:t xml:space="preserve">showed that performance in  reading and mathematics skills for Grade 6 pupils have deteriorated significantly in Mozambique, whereas in all but one (Uganda) other participating countries,  performance remained the same or improved. </w:t>
      </w:r>
      <w:r w:rsidR="00FE530A">
        <w:rPr>
          <w:lang w:val="en-GB"/>
        </w:rPr>
        <w:t>In order to improve learning outcomes, g</w:t>
      </w:r>
      <w:r w:rsidR="00183814">
        <w:rPr>
          <w:lang w:val="en-GB"/>
        </w:rPr>
        <w:t xml:space="preserve">overnment </w:t>
      </w:r>
      <w:r w:rsidR="00FE530A">
        <w:rPr>
          <w:lang w:val="en-GB"/>
        </w:rPr>
        <w:t xml:space="preserve">is advised to </w:t>
      </w:r>
      <w:r w:rsidR="00183814">
        <w:rPr>
          <w:lang w:val="en-GB"/>
        </w:rPr>
        <w:t xml:space="preserve">address the design and implementation </w:t>
      </w:r>
      <w:proofErr w:type="gramStart"/>
      <w:r w:rsidR="00183814">
        <w:rPr>
          <w:lang w:val="en-GB"/>
        </w:rPr>
        <w:t>of  an</w:t>
      </w:r>
      <w:proofErr w:type="gramEnd"/>
      <w:r w:rsidR="00183814">
        <w:rPr>
          <w:lang w:val="en-GB"/>
        </w:rPr>
        <w:t xml:space="preserve"> Early Childhood Development policy as well as </w:t>
      </w:r>
      <w:r w:rsidR="00C45758">
        <w:rPr>
          <w:lang w:val="en-GB"/>
        </w:rPr>
        <w:t>in addressing the implementation of a mother tongue language instruction policy throughout the country.</w:t>
      </w:r>
    </w:p>
    <w:p w:rsidR="00183814" w:rsidRDefault="00183814" w:rsidP="0021622E">
      <w:pPr>
        <w:rPr>
          <w:lang w:val="en-GB"/>
        </w:rPr>
      </w:pPr>
    </w:p>
    <w:p w:rsidR="00183814" w:rsidRPr="00957C0D" w:rsidRDefault="00183814" w:rsidP="0021622E">
      <w:pPr>
        <w:rPr>
          <w:lang w:val="en-GB"/>
        </w:rPr>
      </w:pPr>
      <w:r>
        <w:rPr>
          <w:lang w:val="en-GB"/>
        </w:rPr>
        <w:t xml:space="preserve">There are also challenges in addressing </w:t>
      </w:r>
      <w:r w:rsidR="00FE530A">
        <w:rPr>
          <w:lang w:val="en-GB"/>
        </w:rPr>
        <w:t xml:space="preserve">gender and </w:t>
      </w:r>
      <w:r w:rsidR="005D61F4">
        <w:rPr>
          <w:lang w:val="en-GB"/>
        </w:rPr>
        <w:t xml:space="preserve">geographical equity, </w:t>
      </w:r>
      <w:r>
        <w:rPr>
          <w:lang w:val="en-GB"/>
        </w:rPr>
        <w:t xml:space="preserve">quality and relevance issues in the secondary and </w:t>
      </w:r>
      <w:proofErr w:type="spellStart"/>
      <w:r>
        <w:rPr>
          <w:lang w:val="en-GB"/>
        </w:rPr>
        <w:t>post secondary</w:t>
      </w:r>
      <w:proofErr w:type="spellEnd"/>
      <w:r>
        <w:rPr>
          <w:lang w:val="en-GB"/>
        </w:rPr>
        <w:t xml:space="preserve"> education subsectors.</w:t>
      </w:r>
      <w:r w:rsidR="00C45758">
        <w:rPr>
          <w:lang w:val="en-GB"/>
        </w:rPr>
        <w:t xml:space="preserve"> </w:t>
      </w:r>
    </w:p>
    <w:p w:rsidR="00E25BED" w:rsidRDefault="00E25BED" w:rsidP="0021622E">
      <w:pPr>
        <w:rPr>
          <w:lang w:val="en-GB"/>
        </w:rPr>
      </w:pPr>
    </w:p>
    <w:p w:rsidR="00183814" w:rsidRPr="00957C0D" w:rsidRDefault="00B5245B" w:rsidP="0021622E">
      <w:pPr>
        <w:rPr>
          <w:lang w:val="en-GB"/>
        </w:rPr>
      </w:pPr>
      <w:r w:rsidRPr="00957C0D">
        <w:rPr>
          <w:lang w:val="en-GB"/>
        </w:rPr>
        <w:t xml:space="preserve">Another serious challenge is that the system has not succeeded to accommodate primary school </w:t>
      </w:r>
      <w:r w:rsidR="007C4517" w:rsidRPr="00957C0D">
        <w:rPr>
          <w:lang w:val="en-GB"/>
        </w:rPr>
        <w:t xml:space="preserve">leavers in post primary levels of education. </w:t>
      </w:r>
      <w:r w:rsidR="00E25BED">
        <w:rPr>
          <w:lang w:val="en-GB"/>
        </w:rPr>
        <w:t xml:space="preserve">Not only is there lack of physical space in post primary education, there is by far not enough budget available to ensure adequate good quality post primary schooling system. Strategies for post primary education are </w:t>
      </w:r>
      <w:r w:rsidR="009212FE">
        <w:rPr>
          <w:lang w:val="en-GB"/>
        </w:rPr>
        <w:t>in place, but the</w:t>
      </w:r>
      <w:r w:rsidR="00E25BED">
        <w:rPr>
          <w:lang w:val="en-GB"/>
        </w:rPr>
        <w:t xml:space="preserve"> adequately trained human resources and financial resources are lacking.</w:t>
      </w:r>
      <w:r w:rsidR="00183814">
        <w:rPr>
          <w:lang w:val="en-GB"/>
        </w:rPr>
        <w:t xml:space="preserve"> </w:t>
      </w:r>
      <w:r w:rsidR="00C24406">
        <w:rPr>
          <w:lang w:val="en-GB"/>
        </w:rPr>
        <w:t>T</w:t>
      </w:r>
      <w:r w:rsidR="00183814">
        <w:rPr>
          <w:lang w:val="en-GB"/>
        </w:rPr>
        <w:t>he number of out of school and unemployed youth is growing which in turn may have a negative impact on social stability</w:t>
      </w:r>
      <w:r w:rsidR="005D61F4">
        <w:rPr>
          <w:lang w:val="en-GB"/>
        </w:rPr>
        <w:t>, especially in urban areas.</w:t>
      </w:r>
      <w:r w:rsidR="00183814">
        <w:rPr>
          <w:lang w:val="en-GB"/>
        </w:rPr>
        <w:t xml:space="preserve"> </w:t>
      </w:r>
    </w:p>
    <w:p w:rsidR="007C4517" w:rsidRPr="00957C0D" w:rsidRDefault="007C4517" w:rsidP="0021622E">
      <w:pPr>
        <w:rPr>
          <w:lang w:val="en-GB"/>
        </w:rPr>
      </w:pPr>
    </w:p>
    <w:p w:rsidR="0021622E" w:rsidRPr="000131EB" w:rsidRDefault="0021622E" w:rsidP="0021622E">
      <w:pPr>
        <w:rPr>
          <w:b/>
          <w:lang w:val="en-GB"/>
        </w:rPr>
      </w:pPr>
      <w:r w:rsidRPr="000131EB">
        <w:rPr>
          <w:b/>
          <w:lang w:val="en-GB"/>
        </w:rPr>
        <w:t>d. Intervention logic</w:t>
      </w:r>
    </w:p>
    <w:p w:rsidR="000131EB" w:rsidRDefault="00E25BED" w:rsidP="0021622E">
      <w:pPr>
        <w:rPr>
          <w:lang w:val="en-GB"/>
        </w:rPr>
      </w:pPr>
      <w:r>
        <w:rPr>
          <w:lang w:val="en-GB"/>
        </w:rPr>
        <w:t xml:space="preserve">A number of donors participate in </w:t>
      </w:r>
      <w:r w:rsidR="00D15EC3">
        <w:rPr>
          <w:lang w:val="en-GB"/>
        </w:rPr>
        <w:t xml:space="preserve">the education </w:t>
      </w:r>
      <w:r>
        <w:rPr>
          <w:lang w:val="en-GB"/>
        </w:rPr>
        <w:t xml:space="preserve">sector pooled fund (FASE) which supports the implementation of the education sector </w:t>
      </w:r>
      <w:r w:rsidR="000131EB">
        <w:rPr>
          <w:lang w:val="en-GB"/>
        </w:rPr>
        <w:t xml:space="preserve">strategic </w:t>
      </w:r>
      <w:r>
        <w:rPr>
          <w:lang w:val="en-GB"/>
        </w:rPr>
        <w:t>plan</w:t>
      </w:r>
      <w:r w:rsidR="000131EB">
        <w:rPr>
          <w:lang w:val="en-GB"/>
        </w:rPr>
        <w:t xml:space="preserve"> (ESSP)</w:t>
      </w:r>
      <w:r w:rsidR="00D15EC3">
        <w:rPr>
          <w:lang w:val="en-GB"/>
        </w:rPr>
        <w:t>.</w:t>
      </w:r>
      <w:r>
        <w:rPr>
          <w:lang w:val="en-GB"/>
        </w:rPr>
        <w:t xml:space="preserve"> The </w:t>
      </w:r>
      <w:smartTag w:uri="urn:schemas-microsoft-com:office:smarttags" w:element="country-region">
        <w:smartTag w:uri="urn:schemas-microsoft-com:office:smarttags" w:element="place">
          <w:r>
            <w:rPr>
              <w:lang w:val="en-GB"/>
            </w:rPr>
            <w:t>Netherlands</w:t>
          </w:r>
        </w:smartTag>
      </w:smartTag>
      <w:r>
        <w:rPr>
          <w:lang w:val="en-GB"/>
        </w:rPr>
        <w:t xml:space="preserve"> has been one of the major</w:t>
      </w:r>
      <w:r w:rsidR="00D15EC3">
        <w:rPr>
          <w:lang w:val="en-GB"/>
        </w:rPr>
        <w:t xml:space="preserve"> FASE</w:t>
      </w:r>
      <w:r>
        <w:rPr>
          <w:lang w:val="en-GB"/>
        </w:rPr>
        <w:t xml:space="preserve"> donors for the past few years</w:t>
      </w:r>
      <w:r w:rsidR="000131EB">
        <w:rPr>
          <w:lang w:val="en-GB"/>
        </w:rPr>
        <w:t xml:space="preserve"> both in terms of financial contribution to FASE (19 million € in 2009, 7 million € in 2010) as well as in terms of participation in policy development dialogue</w:t>
      </w:r>
      <w:r>
        <w:rPr>
          <w:lang w:val="en-GB"/>
        </w:rPr>
        <w:t xml:space="preserve">. </w:t>
      </w:r>
    </w:p>
    <w:p w:rsidR="000131EB" w:rsidRPr="00957C0D" w:rsidRDefault="00E25BED" w:rsidP="0021622E">
      <w:pPr>
        <w:rPr>
          <w:lang w:val="en-GB"/>
        </w:rPr>
      </w:pPr>
      <w:r>
        <w:rPr>
          <w:lang w:val="en-GB"/>
        </w:rPr>
        <w:t xml:space="preserve">However, in </w:t>
      </w:r>
      <w:r w:rsidR="000131EB">
        <w:rPr>
          <w:lang w:val="en-GB"/>
        </w:rPr>
        <w:t xml:space="preserve">2007, the Embassy decided that it could withdraw from participating in FASE in 2011, because it was expected that the Netherlands contribution to the national </w:t>
      </w:r>
      <w:proofErr w:type="gramStart"/>
      <w:r w:rsidR="000131EB">
        <w:rPr>
          <w:lang w:val="en-GB"/>
        </w:rPr>
        <w:t>budget</w:t>
      </w:r>
      <w:r w:rsidR="00C24406">
        <w:rPr>
          <w:lang w:val="en-GB"/>
        </w:rPr>
        <w:t>(</w:t>
      </w:r>
      <w:proofErr w:type="gramEnd"/>
      <w:r w:rsidR="00C24406">
        <w:rPr>
          <w:lang w:val="en-GB"/>
        </w:rPr>
        <w:t xml:space="preserve"> </w:t>
      </w:r>
      <w:r w:rsidR="000131EB">
        <w:rPr>
          <w:lang w:val="en-GB"/>
        </w:rPr>
        <w:t xml:space="preserve"> </w:t>
      </w:r>
      <w:r w:rsidR="00C24406">
        <w:rPr>
          <w:lang w:val="en-GB"/>
        </w:rPr>
        <w:t xml:space="preserve">via the direct budget support mechanism) </w:t>
      </w:r>
      <w:r w:rsidR="000131EB">
        <w:rPr>
          <w:lang w:val="en-GB"/>
        </w:rPr>
        <w:t>would grow substantially and that the education sector support fund FASE would cease to exist as the sector was expected to become fully funded through the overall budget.</w:t>
      </w:r>
    </w:p>
    <w:p w:rsidR="0021622E" w:rsidRPr="00957C0D" w:rsidRDefault="0021622E" w:rsidP="0021622E">
      <w:pPr>
        <w:rPr>
          <w:lang w:val="en-GB"/>
        </w:rPr>
      </w:pPr>
    </w:p>
    <w:p w:rsidR="0021622E" w:rsidRPr="00957C0D" w:rsidRDefault="0021622E" w:rsidP="00F80C33">
      <w:pPr>
        <w:rPr>
          <w:b/>
          <w:bCs/>
          <w:lang w:val="en-GB"/>
        </w:rPr>
      </w:pPr>
      <w:r w:rsidRPr="00957C0D">
        <w:rPr>
          <w:b/>
          <w:bCs/>
          <w:lang w:val="en-GB"/>
        </w:rPr>
        <w:t xml:space="preserve">2. RESULTS AND LESSONS LEARNED </w:t>
      </w:r>
    </w:p>
    <w:p w:rsidR="000131EB" w:rsidRPr="000131EB" w:rsidRDefault="0021622E" w:rsidP="00E25BED">
      <w:pPr>
        <w:numPr>
          <w:ilvl w:val="0"/>
          <w:numId w:val="4"/>
        </w:numPr>
        <w:rPr>
          <w:b/>
          <w:lang w:val="en-GB"/>
        </w:rPr>
      </w:pPr>
      <w:r w:rsidRPr="000131EB">
        <w:rPr>
          <w:b/>
          <w:lang w:val="en-GB"/>
        </w:rPr>
        <w:t xml:space="preserve">What was achieved and why? </w:t>
      </w:r>
      <w:r w:rsidR="000F1E7D" w:rsidRPr="000131EB">
        <w:rPr>
          <w:b/>
          <w:lang w:val="en-GB"/>
        </w:rPr>
        <w:t xml:space="preserve">What made it happen? </w:t>
      </w:r>
    </w:p>
    <w:p w:rsidR="000131EB" w:rsidRPr="00166B73" w:rsidRDefault="00544558" w:rsidP="00544558">
      <w:pPr>
        <w:autoSpaceDE w:val="0"/>
        <w:autoSpaceDN w:val="0"/>
        <w:adjustRightInd w:val="0"/>
        <w:rPr>
          <w:rFonts w:ascii="TimesNewRoman" w:hAnsi="TimesNewRoman" w:cs="TimesNewRoman"/>
          <w:lang w:val="en-GB" w:eastAsia="nl-NL"/>
        </w:rPr>
      </w:pPr>
      <w:r w:rsidRPr="00166B73">
        <w:rPr>
          <w:rFonts w:ascii="TimesNewRoman" w:hAnsi="TimesNewRoman" w:cs="TimesNewRoman"/>
          <w:lang w:val="en-GB" w:eastAsia="nl-NL"/>
        </w:rPr>
        <w:t>Between 2003</w:t>
      </w:r>
      <w:r w:rsidR="00C24406" w:rsidRPr="00166B73">
        <w:rPr>
          <w:rFonts w:ascii="TimesNewRoman" w:hAnsi="TimesNewRoman" w:cs="TimesNewRoman"/>
          <w:lang w:val="en-GB" w:eastAsia="nl-NL"/>
        </w:rPr>
        <w:t xml:space="preserve"> and 2010</w:t>
      </w:r>
      <w:proofErr w:type="gramStart"/>
      <w:r w:rsidR="00C24406" w:rsidRPr="00166B73">
        <w:rPr>
          <w:rFonts w:ascii="TimesNewRoman" w:hAnsi="TimesNewRoman" w:cs="TimesNewRoman"/>
          <w:lang w:val="en-GB" w:eastAsia="nl-NL"/>
        </w:rPr>
        <w:t>,the</w:t>
      </w:r>
      <w:proofErr w:type="gramEnd"/>
      <w:r w:rsidR="00C24406" w:rsidRPr="00166B73">
        <w:rPr>
          <w:rFonts w:ascii="TimesNewRoman" w:hAnsi="TimesNewRoman" w:cs="TimesNewRoman"/>
          <w:lang w:val="en-GB" w:eastAsia="nl-NL"/>
        </w:rPr>
        <w:t xml:space="preserve"> number of </w:t>
      </w:r>
      <w:r w:rsidRPr="00166B73">
        <w:rPr>
          <w:rFonts w:ascii="TimesNewRoman" w:hAnsi="TimesNewRoman" w:cs="TimesNewRoman"/>
          <w:lang w:val="en-GB" w:eastAsia="nl-NL"/>
        </w:rPr>
        <w:t>children</w:t>
      </w:r>
      <w:r w:rsidR="00C24406" w:rsidRPr="00166B73">
        <w:rPr>
          <w:rFonts w:ascii="TimesNewRoman" w:hAnsi="TimesNewRoman" w:cs="TimesNewRoman"/>
          <w:lang w:val="en-GB" w:eastAsia="nl-NL"/>
        </w:rPr>
        <w:t xml:space="preserve"> in primary </w:t>
      </w:r>
      <w:r w:rsidRPr="00166B73">
        <w:rPr>
          <w:rFonts w:ascii="TimesNewRoman" w:hAnsi="TimesNewRoman" w:cs="TimesNewRoman"/>
          <w:lang w:val="en-GB" w:eastAsia="nl-NL"/>
        </w:rPr>
        <w:t>schools</w:t>
      </w:r>
      <w:r w:rsidR="00C24406" w:rsidRPr="00166B73">
        <w:rPr>
          <w:rFonts w:ascii="TimesNewRoman" w:hAnsi="TimesNewRoman" w:cs="TimesNewRoman"/>
          <w:lang w:val="en-GB" w:eastAsia="nl-NL"/>
        </w:rPr>
        <w:t xml:space="preserve"> </w:t>
      </w:r>
      <w:r w:rsidR="004C26CE">
        <w:rPr>
          <w:rFonts w:ascii="TimesNewRoman" w:hAnsi="TimesNewRoman" w:cs="TimesNewRoman"/>
          <w:lang w:val="en-GB" w:eastAsia="nl-NL"/>
        </w:rPr>
        <w:t>increased</w:t>
      </w:r>
      <w:r w:rsidR="00C24406" w:rsidRPr="00166B73">
        <w:rPr>
          <w:rFonts w:ascii="TimesNewRoman" w:hAnsi="TimesNewRoman" w:cs="TimesNewRoman"/>
          <w:lang w:val="en-GB" w:eastAsia="nl-NL"/>
        </w:rPr>
        <w:t xml:space="preserve"> </w:t>
      </w:r>
      <w:r w:rsidRPr="00166B73">
        <w:rPr>
          <w:rFonts w:ascii="TimesNewRoman" w:hAnsi="TimesNewRoman" w:cs="TimesNewRoman"/>
          <w:lang w:val="en-GB" w:eastAsia="nl-NL"/>
        </w:rPr>
        <w:t>from 3,3 million to 5,3 million.</w:t>
      </w:r>
      <w:r w:rsidR="00FA2D06" w:rsidRPr="00166B73">
        <w:rPr>
          <w:rFonts w:ascii="TimesNewRoman" w:hAnsi="TimesNewRoman" w:cs="TimesNewRoman"/>
          <w:lang w:val="en-GB" w:eastAsia="nl-NL"/>
        </w:rPr>
        <w:t xml:space="preserve"> The number of qualified primary school teachers has grown as well. In 2009 the government </w:t>
      </w:r>
      <w:proofErr w:type="gramStart"/>
      <w:r w:rsidR="00FA2D06" w:rsidRPr="00166B73">
        <w:rPr>
          <w:rFonts w:ascii="TimesNewRoman" w:hAnsi="TimesNewRoman" w:cs="TimesNewRoman"/>
          <w:lang w:val="en-GB" w:eastAsia="nl-NL"/>
        </w:rPr>
        <w:t>recruited  9.400</w:t>
      </w:r>
      <w:proofErr w:type="gramEnd"/>
      <w:r w:rsidR="00FA2D06" w:rsidRPr="00166B73">
        <w:rPr>
          <w:rFonts w:ascii="TimesNewRoman" w:hAnsi="TimesNewRoman" w:cs="TimesNewRoman"/>
          <w:lang w:val="en-GB" w:eastAsia="nl-NL"/>
        </w:rPr>
        <w:t xml:space="preserve"> new teachers and in 2010 again  9.800 new teachers were </w:t>
      </w:r>
      <w:r w:rsidR="00FA2D06" w:rsidRPr="00166B73">
        <w:rPr>
          <w:rFonts w:ascii="TimesNewRoman" w:hAnsi="TimesNewRoman" w:cs="TimesNewRoman"/>
          <w:lang w:val="en-GB" w:eastAsia="nl-NL"/>
        </w:rPr>
        <w:lastRenderedPageBreak/>
        <w:t xml:space="preserve">recruited. In 2011 yet another 12.000 new teachers were </w:t>
      </w:r>
      <w:r w:rsidR="007502E3" w:rsidRPr="00166B73">
        <w:rPr>
          <w:rFonts w:ascii="TimesNewRoman" w:hAnsi="TimesNewRoman" w:cs="TimesNewRoman"/>
          <w:lang w:val="en-GB" w:eastAsia="nl-NL"/>
        </w:rPr>
        <w:t>employed</w:t>
      </w:r>
      <w:r w:rsidR="00FA2D06" w:rsidRPr="00166B73">
        <w:rPr>
          <w:rFonts w:ascii="TimesNewRoman" w:hAnsi="TimesNewRoman" w:cs="TimesNewRoman"/>
          <w:lang w:val="en-GB" w:eastAsia="nl-NL"/>
        </w:rPr>
        <w:t xml:space="preserve">. </w:t>
      </w:r>
      <w:r w:rsidR="007502E3" w:rsidRPr="00166B73">
        <w:rPr>
          <w:rFonts w:ascii="TimesNewRoman" w:hAnsi="TimesNewRoman" w:cs="TimesNewRoman"/>
          <w:lang w:val="en-GB" w:eastAsia="nl-NL"/>
        </w:rPr>
        <w:t>T</w:t>
      </w:r>
      <w:r w:rsidR="00FA2D06" w:rsidRPr="00166B73">
        <w:rPr>
          <w:rFonts w:ascii="TimesNewRoman" w:hAnsi="TimesNewRoman" w:cs="TimesNewRoman"/>
          <w:lang w:val="en-GB" w:eastAsia="nl-NL"/>
        </w:rPr>
        <w:t xml:space="preserve">he ministry has </w:t>
      </w:r>
      <w:r w:rsidR="007502E3" w:rsidRPr="00166B73">
        <w:rPr>
          <w:rFonts w:ascii="TimesNewRoman" w:hAnsi="TimesNewRoman" w:cs="TimesNewRoman"/>
          <w:lang w:val="en-GB" w:eastAsia="nl-NL"/>
        </w:rPr>
        <w:t xml:space="preserve">also </w:t>
      </w:r>
      <w:r w:rsidR="00FA2D06" w:rsidRPr="00166B73">
        <w:rPr>
          <w:rFonts w:ascii="TimesNewRoman" w:hAnsi="TimesNewRoman" w:cs="TimesNewRoman"/>
          <w:lang w:val="en-GB" w:eastAsia="nl-NL"/>
        </w:rPr>
        <w:t xml:space="preserve">managed to ensure the </w:t>
      </w:r>
      <w:proofErr w:type="gramStart"/>
      <w:r w:rsidR="00FA2D06" w:rsidRPr="00166B73">
        <w:rPr>
          <w:rFonts w:ascii="TimesNewRoman" w:hAnsi="TimesNewRoman" w:cs="TimesNewRoman"/>
          <w:lang w:val="en-GB" w:eastAsia="nl-NL"/>
        </w:rPr>
        <w:t xml:space="preserve">availability </w:t>
      </w:r>
      <w:r w:rsidRPr="00166B73">
        <w:rPr>
          <w:rFonts w:ascii="TimesNewRoman" w:hAnsi="TimesNewRoman" w:cs="TimesNewRoman"/>
          <w:lang w:val="en-GB" w:eastAsia="nl-NL"/>
        </w:rPr>
        <w:t xml:space="preserve"> </w:t>
      </w:r>
      <w:r w:rsidR="007502E3" w:rsidRPr="00166B73">
        <w:rPr>
          <w:rFonts w:ascii="TimesNewRoman" w:hAnsi="TimesNewRoman" w:cs="TimesNewRoman"/>
          <w:lang w:val="en-GB" w:eastAsia="nl-NL"/>
        </w:rPr>
        <w:t>of</w:t>
      </w:r>
      <w:proofErr w:type="gramEnd"/>
      <w:r w:rsidR="007502E3" w:rsidRPr="00166B73">
        <w:rPr>
          <w:rFonts w:ascii="TimesNewRoman" w:hAnsi="TimesNewRoman" w:cs="TimesNewRoman"/>
          <w:lang w:val="en-GB" w:eastAsia="nl-NL"/>
        </w:rPr>
        <w:t xml:space="preserve"> free textbooks for all the children in primary schools. Increased funding from internal sources and external sources has made this substantial growth possible. </w:t>
      </w:r>
    </w:p>
    <w:p w:rsidR="00544558" w:rsidRPr="00343121" w:rsidRDefault="00544558" w:rsidP="00544558">
      <w:pPr>
        <w:autoSpaceDE w:val="0"/>
        <w:autoSpaceDN w:val="0"/>
        <w:adjustRightInd w:val="0"/>
        <w:rPr>
          <w:lang w:val="en-GB"/>
        </w:rPr>
      </w:pPr>
    </w:p>
    <w:p w:rsidR="0021622E" w:rsidRPr="00DF4B9D" w:rsidRDefault="0021622E" w:rsidP="00C2674C">
      <w:pPr>
        <w:numPr>
          <w:ilvl w:val="0"/>
          <w:numId w:val="4"/>
        </w:numPr>
        <w:rPr>
          <w:b/>
          <w:lang w:val="en-GB"/>
        </w:rPr>
      </w:pPr>
      <w:r w:rsidRPr="00DF4B9D">
        <w:rPr>
          <w:b/>
          <w:lang w:val="en-GB"/>
        </w:rPr>
        <w:t>What went less well and why?</w:t>
      </w:r>
    </w:p>
    <w:p w:rsidR="000131EB" w:rsidRDefault="007502E3" w:rsidP="000131EB">
      <w:pPr>
        <w:ind w:left="360"/>
        <w:rPr>
          <w:lang w:val="en-GB"/>
        </w:rPr>
      </w:pPr>
      <w:r>
        <w:rPr>
          <w:lang w:val="en-GB"/>
        </w:rPr>
        <w:t>I</w:t>
      </w:r>
      <w:r w:rsidR="000131EB">
        <w:rPr>
          <w:lang w:val="en-GB"/>
        </w:rPr>
        <w:t xml:space="preserve">mproving </w:t>
      </w:r>
      <w:r>
        <w:rPr>
          <w:lang w:val="en-GB"/>
        </w:rPr>
        <w:t xml:space="preserve">educational </w:t>
      </w:r>
      <w:r w:rsidR="000131EB">
        <w:rPr>
          <w:lang w:val="en-GB"/>
        </w:rPr>
        <w:t xml:space="preserve">quality </w:t>
      </w:r>
      <w:r>
        <w:rPr>
          <w:lang w:val="en-GB"/>
        </w:rPr>
        <w:t>and a sufficient</w:t>
      </w:r>
      <w:r w:rsidR="000131EB">
        <w:rPr>
          <w:lang w:val="en-GB"/>
        </w:rPr>
        <w:t xml:space="preserve"> </w:t>
      </w:r>
      <w:r>
        <w:rPr>
          <w:lang w:val="en-GB"/>
        </w:rPr>
        <w:t xml:space="preserve">expansion </w:t>
      </w:r>
      <w:r w:rsidR="000131EB">
        <w:rPr>
          <w:lang w:val="en-GB"/>
        </w:rPr>
        <w:t xml:space="preserve">and strengthening </w:t>
      </w:r>
      <w:r>
        <w:rPr>
          <w:lang w:val="en-GB"/>
        </w:rPr>
        <w:t xml:space="preserve">of </w:t>
      </w:r>
      <w:r w:rsidR="000131EB">
        <w:rPr>
          <w:lang w:val="en-GB"/>
        </w:rPr>
        <w:t>the post primary levels</w:t>
      </w:r>
      <w:r>
        <w:rPr>
          <w:lang w:val="en-GB"/>
        </w:rPr>
        <w:t xml:space="preserve"> did not go well</w:t>
      </w:r>
      <w:r w:rsidR="000131EB">
        <w:rPr>
          <w:lang w:val="en-GB"/>
        </w:rPr>
        <w:t>.</w:t>
      </w:r>
      <w:r w:rsidR="00DF4B9D">
        <w:rPr>
          <w:lang w:val="en-GB"/>
        </w:rPr>
        <w:t xml:space="preserve"> An important reason for this is the fact that attention of policy makers has been too much focused on performance related to Millennium Development Goal 2 (reaching universal primary education by 2015) which resulted in less attention to quality in primary education and to planning for establishing an adequate post primary system.</w:t>
      </w:r>
    </w:p>
    <w:p w:rsidR="00E25BED" w:rsidRPr="00957C0D" w:rsidRDefault="00E25BED" w:rsidP="00E25BED">
      <w:pPr>
        <w:ind w:left="360"/>
        <w:rPr>
          <w:lang w:val="en-GB"/>
        </w:rPr>
      </w:pPr>
    </w:p>
    <w:p w:rsidR="0021622E" w:rsidRPr="00DF4B9D" w:rsidRDefault="0021622E" w:rsidP="00C2674C">
      <w:pPr>
        <w:numPr>
          <w:ilvl w:val="0"/>
          <w:numId w:val="4"/>
        </w:numPr>
        <w:rPr>
          <w:b/>
          <w:lang w:val="en-GB"/>
        </w:rPr>
      </w:pPr>
      <w:r w:rsidRPr="00DF4B9D">
        <w:rPr>
          <w:b/>
          <w:lang w:val="en-GB"/>
        </w:rPr>
        <w:t>What has been learned?</w:t>
      </w:r>
    </w:p>
    <w:p w:rsidR="001273FE" w:rsidRDefault="00DF4B9D" w:rsidP="0021622E">
      <w:pPr>
        <w:rPr>
          <w:lang w:val="en-GB"/>
        </w:rPr>
      </w:pPr>
      <w:r>
        <w:rPr>
          <w:lang w:val="en-GB"/>
        </w:rPr>
        <w:t xml:space="preserve">The policy dialogue should have focused seriously on </w:t>
      </w:r>
      <w:r w:rsidR="001273FE">
        <w:rPr>
          <w:lang w:val="en-GB"/>
        </w:rPr>
        <w:t xml:space="preserve">overall </w:t>
      </w:r>
      <w:r>
        <w:rPr>
          <w:lang w:val="en-GB"/>
        </w:rPr>
        <w:t>educational quality and post-primary education long ago.</w:t>
      </w:r>
      <w:r w:rsidR="001273FE">
        <w:rPr>
          <w:lang w:val="en-GB"/>
        </w:rPr>
        <w:t xml:space="preserve"> Long term inclusive planning would have indicated that problems which we are facing today, would occur and could then have been dealt with in a </w:t>
      </w:r>
      <w:proofErr w:type="gramStart"/>
      <w:r w:rsidR="001273FE">
        <w:rPr>
          <w:lang w:val="en-GB"/>
        </w:rPr>
        <w:t>more timely</w:t>
      </w:r>
      <w:proofErr w:type="gramEnd"/>
      <w:r w:rsidR="001273FE">
        <w:rPr>
          <w:lang w:val="en-GB"/>
        </w:rPr>
        <w:t xml:space="preserve"> manner.</w:t>
      </w:r>
    </w:p>
    <w:p w:rsidR="001273FE" w:rsidRDefault="001273FE" w:rsidP="0021622E">
      <w:pPr>
        <w:rPr>
          <w:lang w:val="en-GB"/>
        </w:rPr>
      </w:pPr>
    </w:p>
    <w:p w:rsidR="0021622E" w:rsidRDefault="001273FE" w:rsidP="0021622E">
      <w:pPr>
        <w:rPr>
          <w:lang w:val="en-GB"/>
        </w:rPr>
      </w:pPr>
      <w:r>
        <w:rPr>
          <w:lang w:val="en-GB"/>
        </w:rPr>
        <w:t>Also, discussions on education sector financing should have been done more openly amongst all donors and with involvement of the line Ministry and the Ministries of Planning and Finance in order to identify the financing gaps in an early stage.</w:t>
      </w:r>
    </w:p>
    <w:p w:rsidR="001273FE" w:rsidRDefault="001273FE" w:rsidP="0021622E">
      <w:pPr>
        <w:rPr>
          <w:lang w:val="en-GB"/>
        </w:rPr>
      </w:pPr>
    </w:p>
    <w:p w:rsidR="00B75EE8" w:rsidRDefault="001273FE" w:rsidP="0021622E">
      <w:pPr>
        <w:rPr>
          <w:lang w:val="en-GB"/>
        </w:rPr>
      </w:pPr>
      <w:r>
        <w:rPr>
          <w:lang w:val="en-GB"/>
        </w:rPr>
        <w:t>Last but not least, the Netherlands Embassy should have discussed her plan to withdraw from sector financing in a dialogue with other donors and the government, before taking the decision. This was now done in isolation and compensation for our withdrawal did not occur in a properly designed way.</w:t>
      </w:r>
      <w:r w:rsidR="00B75EE8">
        <w:rPr>
          <w:lang w:val="en-GB"/>
        </w:rPr>
        <w:t xml:space="preserve"> Apart from the </w:t>
      </w:r>
      <w:smartTag w:uri="urn:schemas-microsoft-com:office:smarttags" w:element="country-region">
        <w:r w:rsidR="00B75EE8">
          <w:rPr>
            <w:lang w:val="en-GB"/>
          </w:rPr>
          <w:t>Netherlands</w:t>
        </w:r>
      </w:smartTag>
      <w:r w:rsidR="00B75EE8">
        <w:rPr>
          <w:lang w:val="en-GB"/>
        </w:rPr>
        <w:t xml:space="preserve">, </w:t>
      </w:r>
      <w:smartTag w:uri="urn:schemas-microsoft-com:office:smarttags" w:element="country-region">
        <w:smartTag w:uri="urn:schemas-microsoft-com:office:smarttags" w:element="place">
          <w:r w:rsidR="00B75EE8">
            <w:rPr>
              <w:lang w:val="en-GB"/>
            </w:rPr>
            <w:t>Denmark</w:t>
          </w:r>
        </w:smartTag>
      </w:smartTag>
      <w:r w:rsidR="00B75EE8">
        <w:rPr>
          <w:lang w:val="en-GB"/>
        </w:rPr>
        <w:t xml:space="preserve"> decided in 2010 to withdraw from the education sector. This decision was communicated to other donors without prior consultation or discussion.</w:t>
      </w:r>
    </w:p>
    <w:p w:rsidR="00DF4B9D" w:rsidRPr="00957C0D" w:rsidRDefault="00DF4B9D" w:rsidP="0021622E">
      <w:pPr>
        <w:rPr>
          <w:lang w:val="en-GB"/>
        </w:rPr>
      </w:pPr>
    </w:p>
    <w:p w:rsidR="0021622E" w:rsidRPr="00957C0D" w:rsidRDefault="0021622E" w:rsidP="0021622E">
      <w:pPr>
        <w:rPr>
          <w:b/>
          <w:bCs/>
          <w:lang w:val="en-GB"/>
        </w:rPr>
      </w:pPr>
      <w:r w:rsidRPr="00957C0D">
        <w:rPr>
          <w:b/>
          <w:bCs/>
          <w:lang w:val="en-GB"/>
        </w:rPr>
        <w:t>3. RESOURCES SPENT (ODA and FTEs)</w:t>
      </w:r>
    </w:p>
    <w:p w:rsidR="0021622E" w:rsidRPr="00957C0D" w:rsidRDefault="0021622E" w:rsidP="0021622E">
      <w:pPr>
        <w:rPr>
          <w:lang w:val="en-GB"/>
        </w:rPr>
      </w:pPr>
    </w:p>
    <w:p w:rsidR="00C2674C" w:rsidRPr="00957C0D" w:rsidRDefault="00C2674C" w:rsidP="00C2674C">
      <w:pPr>
        <w:rPr>
          <w:lang w:val="en-GB"/>
        </w:rPr>
      </w:pPr>
    </w:p>
    <w:tbl>
      <w:tblPr>
        <w:tblW w:w="9157" w:type="dxa"/>
        <w:tblInd w:w="55" w:type="dxa"/>
        <w:tblCellMar>
          <w:left w:w="70" w:type="dxa"/>
          <w:right w:w="70" w:type="dxa"/>
        </w:tblCellMar>
        <w:tblLook w:val="0000" w:firstRow="0" w:lastRow="0" w:firstColumn="0" w:lastColumn="0" w:noHBand="0" w:noVBand="0"/>
      </w:tblPr>
      <w:tblGrid>
        <w:gridCol w:w="5079"/>
        <w:gridCol w:w="4078"/>
      </w:tblGrid>
      <w:tr w:rsidR="00C2674C" w:rsidRPr="00957C0D" w:rsidTr="00CD11C1">
        <w:trPr>
          <w:trHeight w:val="255"/>
        </w:trPr>
        <w:tc>
          <w:tcPr>
            <w:tcW w:w="5079" w:type="dxa"/>
            <w:tcBorders>
              <w:top w:val="single" w:sz="4" w:space="0" w:color="auto"/>
              <w:left w:val="single" w:sz="4" w:space="0" w:color="auto"/>
              <w:bottom w:val="single" w:sz="4" w:space="0" w:color="auto"/>
              <w:right w:val="single" w:sz="4" w:space="0" w:color="auto"/>
            </w:tcBorders>
            <w:noWrap/>
            <w:vAlign w:val="bottom"/>
          </w:tcPr>
          <w:p w:rsidR="00C2674C" w:rsidRPr="00957C0D" w:rsidRDefault="00C2674C" w:rsidP="00A5633B">
            <w:pPr>
              <w:rPr>
                <w:rFonts w:ascii="Arial" w:hAnsi="Arial" w:cs="Arial"/>
                <w:lang w:val="en-GB"/>
              </w:rPr>
            </w:pPr>
            <w:r w:rsidRPr="00957C0D">
              <w:rPr>
                <w:lang w:val="en-GB"/>
              </w:rPr>
              <w:t>Dutch ODA disbursed during 2009-2010 as contribution to this strategic goal</w:t>
            </w:r>
            <w:r w:rsidR="00F80C33" w:rsidRPr="00957C0D">
              <w:rPr>
                <w:lang w:val="en-GB"/>
              </w:rPr>
              <w:t xml:space="preserve"> (approximately)</w:t>
            </w:r>
          </w:p>
        </w:tc>
        <w:tc>
          <w:tcPr>
            <w:tcW w:w="4078" w:type="dxa"/>
            <w:tcBorders>
              <w:top w:val="single" w:sz="4" w:space="0" w:color="auto"/>
              <w:left w:val="nil"/>
              <w:bottom w:val="single" w:sz="4" w:space="0" w:color="auto"/>
              <w:right w:val="single" w:sz="4" w:space="0" w:color="auto"/>
            </w:tcBorders>
            <w:noWrap/>
            <w:vAlign w:val="bottom"/>
          </w:tcPr>
          <w:p w:rsidR="00C2674C" w:rsidRPr="00957C0D" w:rsidRDefault="00C2674C" w:rsidP="001273FE">
            <w:pPr>
              <w:rPr>
                <w:rFonts w:ascii="Arial" w:hAnsi="Arial" w:cs="Arial"/>
                <w:lang w:val="en-GB"/>
              </w:rPr>
            </w:pPr>
            <w:r w:rsidRPr="00957C0D">
              <w:rPr>
                <w:rFonts w:ascii="Arial" w:hAnsi="Arial" w:cs="Arial"/>
                <w:lang w:val="en-GB"/>
              </w:rPr>
              <w:t> </w:t>
            </w:r>
            <w:r w:rsidR="00CD11C1" w:rsidRPr="00957C0D">
              <w:rPr>
                <w:rFonts w:ascii="Arial" w:hAnsi="Arial" w:cs="Arial"/>
                <w:lang w:val="en-GB"/>
              </w:rPr>
              <w:t>€</w:t>
            </w:r>
            <w:r w:rsidR="001273FE">
              <w:rPr>
                <w:rFonts w:ascii="Arial" w:hAnsi="Arial" w:cs="Arial"/>
                <w:lang w:val="en-GB"/>
              </w:rPr>
              <w:t xml:space="preserve"> 27.000.000</w:t>
            </w:r>
          </w:p>
        </w:tc>
      </w:tr>
      <w:tr w:rsidR="00C2674C" w:rsidRPr="00957C0D" w:rsidTr="00284532">
        <w:trPr>
          <w:trHeight w:val="255"/>
        </w:trPr>
        <w:tc>
          <w:tcPr>
            <w:tcW w:w="5079" w:type="dxa"/>
            <w:tcBorders>
              <w:top w:val="single" w:sz="4" w:space="0" w:color="auto"/>
              <w:left w:val="single" w:sz="4" w:space="0" w:color="auto"/>
              <w:bottom w:val="dashed" w:sz="4" w:space="0" w:color="auto"/>
              <w:right w:val="single" w:sz="4" w:space="0" w:color="auto"/>
            </w:tcBorders>
            <w:noWrap/>
            <w:vAlign w:val="bottom"/>
          </w:tcPr>
          <w:p w:rsidR="00C2674C" w:rsidRPr="00957C0D" w:rsidRDefault="00F80C33" w:rsidP="00F80C33">
            <w:pPr>
              <w:rPr>
                <w:lang w:val="en-GB"/>
              </w:rPr>
            </w:pPr>
            <w:r w:rsidRPr="00957C0D">
              <w:rPr>
                <w:lang w:val="en-GB"/>
              </w:rPr>
              <w:t>Average a</w:t>
            </w:r>
            <w:r w:rsidR="00CD11C1" w:rsidRPr="00957C0D">
              <w:rPr>
                <w:lang w:val="en-GB"/>
              </w:rPr>
              <w:t xml:space="preserve">mount of Embassy FTEs allocated </w:t>
            </w:r>
            <w:r w:rsidRPr="00957C0D">
              <w:rPr>
                <w:lang w:val="en-GB"/>
              </w:rPr>
              <w:t xml:space="preserve">during 2009 and 2010 </w:t>
            </w:r>
            <w:r w:rsidR="00CD11C1" w:rsidRPr="00957C0D">
              <w:rPr>
                <w:lang w:val="en-GB"/>
              </w:rPr>
              <w:t>to this goal (for delegated aid)</w:t>
            </w:r>
          </w:p>
          <w:p w:rsidR="00CD11C1" w:rsidRPr="00957C0D" w:rsidRDefault="00CD11C1" w:rsidP="00284532">
            <w:pPr>
              <w:rPr>
                <w:rFonts w:ascii="Arial" w:hAnsi="Arial" w:cs="Arial"/>
                <w:lang w:val="en-GB"/>
              </w:rPr>
            </w:pPr>
          </w:p>
        </w:tc>
        <w:tc>
          <w:tcPr>
            <w:tcW w:w="4078" w:type="dxa"/>
            <w:tcBorders>
              <w:top w:val="nil"/>
              <w:left w:val="nil"/>
              <w:bottom w:val="dashed" w:sz="4" w:space="0" w:color="auto"/>
              <w:right w:val="single" w:sz="4" w:space="0" w:color="auto"/>
            </w:tcBorders>
            <w:noWrap/>
            <w:vAlign w:val="bottom"/>
          </w:tcPr>
          <w:p w:rsidR="00C2674C" w:rsidRPr="00957C0D" w:rsidRDefault="00C2674C" w:rsidP="00A5633B">
            <w:pPr>
              <w:rPr>
                <w:rFonts w:ascii="Arial" w:hAnsi="Arial" w:cs="Arial"/>
                <w:lang w:val="en-GB"/>
              </w:rPr>
            </w:pPr>
            <w:r w:rsidRPr="00957C0D">
              <w:rPr>
                <w:rFonts w:ascii="Arial" w:hAnsi="Arial" w:cs="Arial"/>
                <w:lang w:val="en-GB"/>
              </w:rPr>
              <w:t> </w:t>
            </w:r>
            <w:r w:rsidR="001273FE">
              <w:rPr>
                <w:rFonts w:ascii="Arial" w:hAnsi="Arial" w:cs="Arial"/>
                <w:lang w:val="en-GB"/>
              </w:rPr>
              <w:t>0,75 FTE</w:t>
            </w:r>
          </w:p>
        </w:tc>
      </w:tr>
      <w:tr w:rsidR="00284532" w:rsidRPr="00957C0D" w:rsidTr="00750F26">
        <w:trPr>
          <w:trHeight w:val="255"/>
        </w:trPr>
        <w:tc>
          <w:tcPr>
            <w:tcW w:w="5079" w:type="dxa"/>
            <w:tcBorders>
              <w:top w:val="dashed" w:sz="4" w:space="0" w:color="auto"/>
              <w:left w:val="single" w:sz="4" w:space="0" w:color="auto"/>
              <w:bottom w:val="dashed" w:sz="4" w:space="0" w:color="auto"/>
              <w:right w:val="single" w:sz="4" w:space="0" w:color="auto"/>
            </w:tcBorders>
            <w:noWrap/>
            <w:vAlign w:val="bottom"/>
          </w:tcPr>
          <w:p w:rsidR="00284532" w:rsidRPr="00957C0D" w:rsidRDefault="00284532" w:rsidP="007B6C2F">
            <w:pPr>
              <w:rPr>
                <w:lang w:val="en-GB"/>
              </w:rPr>
            </w:pPr>
          </w:p>
        </w:tc>
        <w:tc>
          <w:tcPr>
            <w:tcW w:w="4078" w:type="dxa"/>
            <w:tcBorders>
              <w:top w:val="dashed" w:sz="4" w:space="0" w:color="auto"/>
              <w:left w:val="nil"/>
              <w:bottom w:val="dashed" w:sz="4" w:space="0" w:color="auto"/>
              <w:right w:val="single" w:sz="4" w:space="0" w:color="auto"/>
            </w:tcBorders>
            <w:noWrap/>
            <w:vAlign w:val="bottom"/>
          </w:tcPr>
          <w:p w:rsidR="00284532" w:rsidRPr="00957C0D" w:rsidRDefault="00284532" w:rsidP="00A5633B">
            <w:pPr>
              <w:rPr>
                <w:rFonts w:ascii="Arial" w:hAnsi="Arial" w:cs="Arial"/>
                <w:lang w:val="en-GB"/>
              </w:rPr>
            </w:pPr>
          </w:p>
        </w:tc>
      </w:tr>
      <w:tr w:rsidR="00750F26" w:rsidRPr="00957C0D" w:rsidTr="00284532">
        <w:trPr>
          <w:trHeight w:val="255"/>
        </w:trPr>
        <w:tc>
          <w:tcPr>
            <w:tcW w:w="5079" w:type="dxa"/>
            <w:tcBorders>
              <w:top w:val="dashed" w:sz="4" w:space="0" w:color="auto"/>
              <w:left w:val="single" w:sz="4" w:space="0" w:color="auto"/>
              <w:bottom w:val="single" w:sz="4" w:space="0" w:color="auto"/>
              <w:right w:val="single" w:sz="4" w:space="0" w:color="auto"/>
            </w:tcBorders>
            <w:noWrap/>
            <w:vAlign w:val="bottom"/>
          </w:tcPr>
          <w:p w:rsidR="00750F26" w:rsidRPr="00957C0D" w:rsidRDefault="00750F26" w:rsidP="007B6C2F">
            <w:pPr>
              <w:rPr>
                <w:lang w:val="en-GB"/>
              </w:rPr>
            </w:pPr>
            <w:proofErr w:type="spellStart"/>
            <w:r w:rsidRPr="00957C0D">
              <w:rPr>
                <w:lang w:val="en-GB"/>
              </w:rPr>
              <w:t>Piramide</w:t>
            </w:r>
            <w:proofErr w:type="spellEnd"/>
            <w:r w:rsidRPr="00957C0D">
              <w:rPr>
                <w:lang w:val="en-GB"/>
              </w:rPr>
              <w:t xml:space="preserve"> numbers of relevant Activities</w:t>
            </w:r>
          </w:p>
          <w:p w:rsidR="00750F26" w:rsidRPr="00957C0D" w:rsidRDefault="00750F26" w:rsidP="007B6C2F">
            <w:pPr>
              <w:rPr>
                <w:lang w:val="en-GB"/>
              </w:rPr>
            </w:pPr>
          </w:p>
        </w:tc>
        <w:tc>
          <w:tcPr>
            <w:tcW w:w="4078" w:type="dxa"/>
            <w:tcBorders>
              <w:top w:val="dashed" w:sz="4" w:space="0" w:color="auto"/>
              <w:left w:val="nil"/>
              <w:bottom w:val="single" w:sz="4" w:space="0" w:color="auto"/>
              <w:right w:val="single" w:sz="4" w:space="0" w:color="auto"/>
            </w:tcBorders>
            <w:noWrap/>
            <w:vAlign w:val="bottom"/>
          </w:tcPr>
          <w:p w:rsidR="00750F26" w:rsidRPr="00957C0D" w:rsidRDefault="001273FE" w:rsidP="00A5633B">
            <w:pPr>
              <w:rPr>
                <w:rFonts w:ascii="Arial" w:hAnsi="Arial" w:cs="Arial"/>
                <w:lang w:val="en-GB"/>
              </w:rPr>
            </w:pPr>
            <w:r>
              <w:rPr>
                <w:rFonts w:ascii="Arial" w:hAnsi="Arial" w:cs="Arial"/>
                <w:lang w:val="en-GB"/>
              </w:rPr>
              <w:t>14419</w:t>
            </w:r>
          </w:p>
        </w:tc>
      </w:tr>
    </w:tbl>
    <w:p w:rsidR="00497973" w:rsidRPr="00957C0D" w:rsidRDefault="00497973" w:rsidP="0021622E">
      <w:pPr>
        <w:rPr>
          <w:lang w:val="en-GB"/>
        </w:rPr>
      </w:pPr>
    </w:p>
    <w:p w:rsidR="0021622E" w:rsidRPr="00957C0D" w:rsidRDefault="0021622E" w:rsidP="0021622E">
      <w:pPr>
        <w:rPr>
          <w:b/>
          <w:bCs/>
          <w:lang w:val="en-GB"/>
        </w:rPr>
      </w:pPr>
      <w:r w:rsidRPr="00957C0D">
        <w:rPr>
          <w:b/>
          <w:bCs/>
          <w:lang w:val="en-GB"/>
        </w:rPr>
        <w:t>4. OVERALL TRAFFIC LIGHT SCORE</w:t>
      </w:r>
    </w:p>
    <w:p w:rsidR="007D6B51" w:rsidRPr="00957C0D" w:rsidRDefault="007D6B51" w:rsidP="007D6B51">
      <w:pPr>
        <w:rPr>
          <w:lang w:val="en-GB"/>
        </w:rPr>
      </w:pPr>
      <w:r w:rsidRPr="00957C0D">
        <w:rPr>
          <w:lang w:val="en-GB"/>
        </w:rPr>
        <w:t>The overall achievement of results is:</w:t>
      </w:r>
    </w:p>
    <w:p w:rsidR="0021622E" w:rsidRPr="00957C0D" w:rsidRDefault="007D6B51" w:rsidP="009270A1">
      <w:pPr>
        <w:ind w:left="3540"/>
        <w:rPr>
          <w:lang w:val="en-GB"/>
        </w:rPr>
      </w:pPr>
      <w:r w:rsidRPr="00957C0D">
        <w:rPr>
          <w:lang w:val="en-GB"/>
        </w:rPr>
        <w:t xml:space="preserve"> (</w:t>
      </w:r>
      <w:r w:rsidR="0021622E" w:rsidRPr="00957C0D">
        <w:rPr>
          <w:lang w:val="en-GB"/>
        </w:rPr>
        <w:t>Please tick</w:t>
      </w:r>
      <w:r w:rsidR="009270A1" w:rsidRPr="00957C0D">
        <w:rPr>
          <w:lang w:val="en-GB"/>
        </w:rPr>
        <w:t xml:space="preserve"> </w:t>
      </w:r>
      <w:r w:rsidR="009270A1" w:rsidRPr="00957C0D">
        <w:rPr>
          <w:b/>
          <w:bCs/>
          <w:lang w:val="en-GB"/>
        </w:rPr>
        <w:t>√</w:t>
      </w:r>
      <w:r w:rsidRPr="00957C0D">
        <w:rPr>
          <w:lang w:val="en-GB"/>
        </w:rPr>
        <w:t>)</w:t>
      </w:r>
    </w:p>
    <w:tbl>
      <w:tblPr>
        <w:tblW w:w="5308" w:type="dxa"/>
        <w:tblInd w:w="55" w:type="dxa"/>
        <w:tblCellMar>
          <w:left w:w="70" w:type="dxa"/>
          <w:right w:w="70" w:type="dxa"/>
        </w:tblCellMar>
        <w:tblLook w:val="0000" w:firstRow="0" w:lastRow="0" w:firstColumn="0" w:lastColumn="0" w:noHBand="0" w:noVBand="0"/>
      </w:tblPr>
      <w:tblGrid>
        <w:gridCol w:w="960"/>
        <w:gridCol w:w="2512"/>
        <w:gridCol w:w="419"/>
        <w:gridCol w:w="1417"/>
      </w:tblGrid>
      <w:tr w:rsidR="007D6B51" w:rsidRPr="00957C0D" w:rsidTr="009270A1">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7D6B51" w:rsidRPr="00957C0D" w:rsidRDefault="007D6B51" w:rsidP="0021622E">
            <w:pPr>
              <w:rPr>
                <w:rFonts w:ascii="Arial" w:hAnsi="Arial" w:cs="Arial"/>
                <w:lang w:val="en-GB"/>
              </w:rPr>
            </w:pPr>
            <w:r w:rsidRPr="00957C0D">
              <w:rPr>
                <w:rFonts w:ascii="Arial" w:hAnsi="Arial" w:cs="Arial"/>
                <w:lang w:val="en-GB"/>
              </w:rPr>
              <w:t> </w:t>
            </w:r>
          </w:p>
        </w:tc>
        <w:tc>
          <w:tcPr>
            <w:tcW w:w="2512" w:type="dxa"/>
            <w:tcBorders>
              <w:top w:val="single" w:sz="4" w:space="0" w:color="auto"/>
              <w:left w:val="nil"/>
              <w:bottom w:val="single" w:sz="4" w:space="0" w:color="auto"/>
              <w:right w:val="single" w:sz="4" w:space="0" w:color="auto"/>
            </w:tcBorders>
            <w:noWrap/>
            <w:vAlign w:val="bottom"/>
          </w:tcPr>
          <w:p w:rsidR="007D6B51" w:rsidRPr="00957C0D" w:rsidRDefault="007D6B51" w:rsidP="0021622E">
            <w:pPr>
              <w:rPr>
                <w:rFonts w:ascii="Arial" w:hAnsi="Arial" w:cs="Arial"/>
              </w:rPr>
            </w:pPr>
            <w:r w:rsidRPr="00957C0D">
              <w:rPr>
                <w:lang w:val="en-GB"/>
              </w:rPr>
              <w:t>Off-track</w:t>
            </w:r>
            <w:r w:rsidRPr="00957C0D">
              <w:rPr>
                <w:rFonts w:ascii="Arial" w:hAnsi="Arial" w:cs="Arial"/>
              </w:rPr>
              <w:t> </w:t>
            </w:r>
          </w:p>
        </w:tc>
        <w:tc>
          <w:tcPr>
            <w:tcW w:w="419" w:type="dxa"/>
            <w:tcBorders>
              <w:top w:val="single" w:sz="4" w:space="0" w:color="auto"/>
              <w:left w:val="nil"/>
              <w:bottom w:val="single" w:sz="4" w:space="0" w:color="auto"/>
              <w:right w:val="single" w:sz="4" w:space="0" w:color="auto"/>
            </w:tcBorders>
            <w:noWrap/>
            <w:vAlign w:val="bottom"/>
          </w:tcPr>
          <w:p w:rsidR="007D6B51" w:rsidRPr="00957C0D" w:rsidRDefault="007D6B51" w:rsidP="0021622E">
            <w:pPr>
              <w:rPr>
                <w:lang w:val="en-GB"/>
              </w:rPr>
            </w:pPr>
            <w:r w:rsidRPr="00957C0D">
              <w:rPr>
                <w:lang w:val="en-GB"/>
              </w:rPr>
              <w:t> 1</w:t>
            </w:r>
          </w:p>
        </w:tc>
        <w:tc>
          <w:tcPr>
            <w:tcW w:w="1417" w:type="dxa"/>
            <w:tcBorders>
              <w:top w:val="single" w:sz="4" w:space="0" w:color="auto"/>
              <w:left w:val="nil"/>
              <w:bottom w:val="single" w:sz="4" w:space="0" w:color="auto"/>
              <w:right w:val="single" w:sz="4" w:space="0" w:color="auto"/>
            </w:tcBorders>
          </w:tcPr>
          <w:p w:rsidR="007D6B51" w:rsidRPr="00957C0D" w:rsidRDefault="001273FE" w:rsidP="0021622E">
            <w:pPr>
              <w:rPr>
                <w:rFonts w:ascii="Arial" w:hAnsi="Arial" w:cs="Arial"/>
              </w:rPr>
            </w:pPr>
            <w:r>
              <w:rPr>
                <w:rFonts w:ascii="Arial" w:hAnsi="Arial" w:cs="Arial"/>
              </w:rPr>
              <w:t>v</w:t>
            </w:r>
          </w:p>
        </w:tc>
      </w:tr>
      <w:tr w:rsidR="007D6B51" w:rsidRPr="00957C0D" w:rsidTr="009270A1">
        <w:trPr>
          <w:trHeight w:val="255"/>
        </w:trPr>
        <w:tc>
          <w:tcPr>
            <w:tcW w:w="960" w:type="dxa"/>
            <w:tcBorders>
              <w:top w:val="nil"/>
              <w:left w:val="single" w:sz="4" w:space="0" w:color="auto"/>
              <w:bottom w:val="single" w:sz="4" w:space="0" w:color="auto"/>
              <w:right w:val="single" w:sz="4" w:space="0" w:color="auto"/>
            </w:tcBorders>
            <w:shd w:val="clear" w:color="auto" w:fill="FFCC00"/>
            <w:noWrap/>
            <w:vAlign w:val="bottom"/>
          </w:tcPr>
          <w:p w:rsidR="007D6B51" w:rsidRPr="00957C0D" w:rsidRDefault="007D6B51" w:rsidP="0021622E">
            <w:pPr>
              <w:rPr>
                <w:rFonts w:ascii="Arial" w:hAnsi="Arial" w:cs="Arial"/>
              </w:rPr>
            </w:pPr>
            <w:r w:rsidRPr="00957C0D">
              <w:rPr>
                <w:rFonts w:ascii="Arial" w:hAnsi="Arial" w:cs="Arial"/>
              </w:rPr>
              <w:t> </w:t>
            </w:r>
          </w:p>
        </w:tc>
        <w:tc>
          <w:tcPr>
            <w:tcW w:w="2512" w:type="dxa"/>
            <w:tcBorders>
              <w:top w:val="nil"/>
              <w:left w:val="nil"/>
              <w:bottom w:val="single" w:sz="4" w:space="0" w:color="auto"/>
              <w:right w:val="single" w:sz="4" w:space="0" w:color="auto"/>
            </w:tcBorders>
            <w:noWrap/>
            <w:vAlign w:val="bottom"/>
          </w:tcPr>
          <w:p w:rsidR="007D6B51" w:rsidRPr="00957C0D" w:rsidRDefault="007D6B51" w:rsidP="0021622E">
            <w:pPr>
              <w:rPr>
                <w:rFonts w:ascii="Arial" w:hAnsi="Arial" w:cs="Arial"/>
                <w:lang w:val="en-GB"/>
              </w:rPr>
            </w:pPr>
            <w:r w:rsidRPr="00957C0D">
              <w:rPr>
                <w:rFonts w:ascii="Arial" w:hAnsi="Arial" w:cs="Arial"/>
                <w:lang w:val="en-GB"/>
              </w:rPr>
              <w:t> </w:t>
            </w:r>
            <w:r w:rsidRPr="00957C0D">
              <w:rPr>
                <w:lang w:val="en-GB"/>
              </w:rPr>
              <w:t>In danger to be off track</w:t>
            </w:r>
          </w:p>
        </w:tc>
        <w:tc>
          <w:tcPr>
            <w:tcW w:w="419" w:type="dxa"/>
            <w:tcBorders>
              <w:top w:val="nil"/>
              <w:left w:val="nil"/>
              <w:bottom w:val="single" w:sz="4" w:space="0" w:color="auto"/>
              <w:right w:val="single" w:sz="4" w:space="0" w:color="auto"/>
            </w:tcBorders>
            <w:noWrap/>
            <w:vAlign w:val="bottom"/>
          </w:tcPr>
          <w:p w:rsidR="007D6B51" w:rsidRPr="00957C0D" w:rsidRDefault="007D6B51" w:rsidP="0021622E">
            <w:pPr>
              <w:rPr>
                <w:lang w:val="en-GB"/>
              </w:rPr>
            </w:pPr>
            <w:r w:rsidRPr="00957C0D">
              <w:rPr>
                <w:lang w:val="en-GB"/>
              </w:rPr>
              <w:t> 2</w:t>
            </w:r>
          </w:p>
        </w:tc>
        <w:tc>
          <w:tcPr>
            <w:tcW w:w="1417" w:type="dxa"/>
            <w:tcBorders>
              <w:top w:val="nil"/>
              <w:left w:val="nil"/>
              <w:bottom w:val="single" w:sz="4" w:space="0" w:color="auto"/>
              <w:right w:val="single" w:sz="4" w:space="0" w:color="auto"/>
            </w:tcBorders>
          </w:tcPr>
          <w:p w:rsidR="007D6B51" w:rsidRPr="00957C0D" w:rsidRDefault="007D6B51" w:rsidP="0021622E">
            <w:pPr>
              <w:rPr>
                <w:rFonts w:ascii="Arial" w:hAnsi="Arial" w:cs="Arial"/>
                <w:lang w:val="en-GB"/>
              </w:rPr>
            </w:pPr>
          </w:p>
        </w:tc>
      </w:tr>
      <w:tr w:rsidR="007D6B51" w:rsidRPr="00957C0D" w:rsidTr="009270A1">
        <w:trPr>
          <w:trHeight w:val="255"/>
        </w:trPr>
        <w:tc>
          <w:tcPr>
            <w:tcW w:w="960" w:type="dxa"/>
            <w:tcBorders>
              <w:top w:val="nil"/>
              <w:left w:val="single" w:sz="4" w:space="0" w:color="auto"/>
              <w:bottom w:val="single" w:sz="4" w:space="0" w:color="auto"/>
              <w:right w:val="single" w:sz="4" w:space="0" w:color="auto"/>
            </w:tcBorders>
            <w:shd w:val="clear" w:color="auto" w:fill="99CC00"/>
            <w:noWrap/>
            <w:vAlign w:val="bottom"/>
          </w:tcPr>
          <w:p w:rsidR="007D6B51" w:rsidRPr="00957C0D" w:rsidRDefault="007D6B51" w:rsidP="0021622E">
            <w:pPr>
              <w:rPr>
                <w:rFonts w:ascii="Arial" w:hAnsi="Arial" w:cs="Arial"/>
                <w:lang w:val="en-GB"/>
              </w:rPr>
            </w:pPr>
            <w:r w:rsidRPr="00957C0D">
              <w:rPr>
                <w:rFonts w:ascii="Arial" w:hAnsi="Arial" w:cs="Arial"/>
                <w:lang w:val="en-GB"/>
              </w:rPr>
              <w:t> </w:t>
            </w:r>
          </w:p>
        </w:tc>
        <w:tc>
          <w:tcPr>
            <w:tcW w:w="2512" w:type="dxa"/>
            <w:tcBorders>
              <w:top w:val="nil"/>
              <w:left w:val="nil"/>
              <w:bottom w:val="single" w:sz="4" w:space="0" w:color="auto"/>
              <w:right w:val="single" w:sz="4" w:space="0" w:color="auto"/>
            </w:tcBorders>
            <w:noWrap/>
            <w:vAlign w:val="bottom"/>
          </w:tcPr>
          <w:p w:rsidR="007D6B51" w:rsidRPr="00957C0D" w:rsidRDefault="007D6B51" w:rsidP="0021622E">
            <w:pPr>
              <w:rPr>
                <w:rFonts w:ascii="Arial" w:hAnsi="Arial" w:cs="Arial"/>
              </w:rPr>
            </w:pPr>
            <w:r w:rsidRPr="00957C0D">
              <w:rPr>
                <w:rFonts w:ascii="Arial" w:hAnsi="Arial" w:cs="Arial"/>
                <w:lang w:val="en-GB"/>
              </w:rPr>
              <w:t> O</w:t>
            </w:r>
            <w:r w:rsidRPr="00957C0D">
              <w:rPr>
                <w:lang w:val="en-GB"/>
              </w:rPr>
              <w:t>n track</w:t>
            </w:r>
          </w:p>
        </w:tc>
        <w:tc>
          <w:tcPr>
            <w:tcW w:w="419" w:type="dxa"/>
            <w:tcBorders>
              <w:top w:val="nil"/>
              <w:left w:val="nil"/>
              <w:bottom w:val="single" w:sz="4" w:space="0" w:color="auto"/>
              <w:right w:val="single" w:sz="4" w:space="0" w:color="auto"/>
            </w:tcBorders>
            <w:noWrap/>
            <w:vAlign w:val="bottom"/>
          </w:tcPr>
          <w:p w:rsidR="007D6B51" w:rsidRPr="00957C0D" w:rsidRDefault="007D6B51" w:rsidP="0021622E">
            <w:pPr>
              <w:rPr>
                <w:lang w:val="en-GB"/>
              </w:rPr>
            </w:pPr>
            <w:r w:rsidRPr="00957C0D">
              <w:rPr>
                <w:lang w:val="en-GB"/>
              </w:rPr>
              <w:t> 3</w:t>
            </w:r>
          </w:p>
        </w:tc>
        <w:tc>
          <w:tcPr>
            <w:tcW w:w="1417" w:type="dxa"/>
            <w:tcBorders>
              <w:top w:val="nil"/>
              <w:left w:val="nil"/>
              <w:bottom w:val="single" w:sz="4" w:space="0" w:color="auto"/>
              <w:right w:val="single" w:sz="4" w:space="0" w:color="auto"/>
            </w:tcBorders>
          </w:tcPr>
          <w:p w:rsidR="007D6B51" w:rsidRPr="00957C0D" w:rsidRDefault="007D6B51" w:rsidP="0021622E">
            <w:pPr>
              <w:rPr>
                <w:rFonts w:ascii="Arial" w:hAnsi="Arial" w:cs="Arial"/>
              </w:rPr>
            </w:pPr>
          </w:p>
        </w:tc>
      </w:tr>
    </w:tbl>
    <w:p w:rsidR="005B5C20" w:rsidRPr="00957C0D" w:rsidRDefault="005B5C20"/>
    <w:sectPr w:rsidR="005B5C20" w:rsidRPr="00957C0D" w:rsidSect="002162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ABB" w:rsidRDefault="008A3ABB" w:rsidP="00063442">
      <w:r>
        <w:separator/>
      </w:r>
    </w:p>
  </w:endnote>
  <w:endnote w:type="continuationSeparator" w:id="0">
    <w:p w:rsidR="008A3ABB" w:rsidRDefault="008A3ABB" w:rsidP="00063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ABB" w:rsidRDefault="008A3ABB" w:rsidP="00063442">
      <w:r>
        <w:separator/>
      </w:r>
    </w:p>
  </w:footnote>
  <w:footnote w:type="continuationSeparator" w:id="0">
    <w:p w:rsidR="008A3ABB" w:rsidRDefault="008A3ABB" w:rsidP="00063442">
      <w:r>
        <w:continuationSeparator/>
      </w:r>
    </w:p>
  </w:footnote>
  <w:footnote w:id="1">
    <w:p w:rsidR="00D15EC3" w:rsidRPr="005C2824" w:rsidRDefault="00D15EC3" w:rsidP="00063442">
      <w:pPr>
        <w:pStyle w:val="FootnoteText"/>
      </w:pPr>
      <w:r>
        <w:rPr>
          <w:rStyle w:val="FootnoteReference"/>
        </w:rPr>
        <w:footnoteRef/>
      </w:r>
      <w:r>
        <w:t xml:space="preserve"> </w:t>
      </w:r>
      <w:r w:rsidRPr="005C2824">
        <w:rPr>
          <w:rStyle w:val="Hyperlink"/>
          <w:lang w:val="fr-FR" w:eastAsia="zh-CN"/>
        </w:rPr>
        <w:t>http://hdr.undp.org/en/statistics/</w:t>
      </w:r>
    </w:p>
  </w:footnote>
  <w:footnote w:id="2">
    <w:p w:rsidR="00D15EC3" w:rsidRPr="00BB5B51" w:rsidRDefault="00D15EC3">
      <w:pPr>
        <w:pStyle w:val="FootnoteText"/>
      </w:pPr>
      <w:r>
        <w:rPr>
          <w:rStyle w:val="FootnoteReference"/>
        </w:rPr>
        <w:footnoteRef/>
      </w:r>
      <w:r>
        <w:t xml:space="preserve"> </w:t>
      </w:r>
      <w:r w:rsidRPr="00166B73">
        <w:t xml:space="preserve">Entrance rate at 6 years of age was 69.9% in total, the rate for girls was 68.8%, indicating </w:t>
      </w:r>
      <w:r>
        <w:t>that gender parity at this level was almost reached.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AA0"/>
    <w:multiLevelType w:val="hybridMultilevel"/>
    <w:tmpl w:val="ED58EE98"/>
    <w:lvl w:ilvl="0" w:tplc="B896CB40">
      <w:start w:val="1"/>
      <w:numFmt w:val="lowerLetter"/>
      <w:lvlText w:val="%1."/>
      <w:lvlJc w:val="left"/>
      <w:pPr>
        <w:tabs>
          <w:tab w:val="num" w:pos="360"/>
        </w:tabs>
        <w:ind w:left="360" w:hanging="360"/>
      </w:pPr>
      <w:rPr>
        <w:rFonts w:hint="default"/>
        <w:color w:val="000000"/>
        <w:sz w:val="24"/>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1C674151"/>
    <w:multiLevelType w:val="hybridMultilevel"/>
    <w:tmpl w:val="02CCB4A6"/>
    <w:lvl w:ilvl="0" w:tplc="5A9A1FEC">
      <w:start w:val="1"/>
      <w:numFmt w:val="bullet"/>
      <w:lvlText w:val=""/>
      <w:lvlJc w:val="left"/>
      <w:pPr>
        <w:tabs>
          <w:tab w:val="num" w:pos="360"/>
        </w:tabs>
        <w:ind w:left="360" w:hanging="360"/>
      </w:pPr>
      <w:rPr>
        <w:rFonts w:ascii="Symbol" w:hAnsi="Symbol" w:hint="default"/>
        <w:color w:val="00000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3AF17E6C"/>
    <w:multiLevelType w:val="hybridMultilevel"/>
    <w:tmpl w:val="72824F7C"/>
    <w:lvl w:ilvl="0" w:tplc="C6C8A13E">
      <w:start w:val="1"/>
      <w:numFmt w:val="bullet"/>
      <w:pStyle w:val="StyleBulleted"/>
      <w:lvlText w:val=""/>
      <w:lvlJc w:val="left"/>
      <w:pPr>
        <w:tabs>
          <w:tab w:val="num" w:pos="927"/>
        </w:tabs>
        <w:ind w:left="927" w:hanging="360"/>
      </w:pPr>
      <w:rPr>
        <w:rFonts w:ascii="Symbol" w:hAnsi="Symbol" w:hint="default"/>
        <w:b/>
        <w:i w:val="0"/>
        <w:sz w:val="22"/>
      </w:rPr>
    </w:lvl>
    <w:lvl w:ilvl="1" w:tplc="DAC09E46">
      <w:start w:val="1"/>
      <w:numFmt w:val="bullet"/>
      <w:pStyle w:val="StyleBulleted"/>
      <w:lvlText w:val=""/>
      <w:lvlJc w:val="left"/>
      <w:pPr>
        <w:tabs>
          <w:tab w:val="num" w:pos="1440"/>
        </w:tabs>
        <w:ind w:left="1440" w:hanging="360"/>
      </w:pPr>
      <w:rPr>
        <w:rFonts w:ascii="Symbol" w:hAnsi="Symbol" w:hint="default"/>
        <w:b/>
        <w:i w:val="0"/>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65759A"/>
    <w:multiLevelType w:val="multilevel"/>
    <w:tmpl w:val="1B84DC6E"/>
    <w:lvl w:ilvl="0">
      <w:start w:val="1"/>
      <w:numFmt w:val="decimal"/>
      <w:lvlText w:val="%1."/>
      <w:lvlJc w:val="left"/>
      <w:pPr>
        <w:tabs>
          <w:tab w:val="num" w:pos="360"/>
        </w:tabs>
        <w:ind w:left="360" w:hanging="360"/>
      </w:pPr>
      <w:rPr>
        <w:rFonts w:hint="default"/>
        <w:color w:val="000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2056970"/>
    <w:multiLevelType w:val="hybridMultilevel"/>
    <w:tmpl w:val="773490FE"/>
    <w:lvl w:ilvl="0" w:tplc="5A9A1FEC">
      <w:start w:val="1"/>
      <w:numFmt w:val="bullet"/>
      <w:lvlText w:val=""/>
      <w:lvlJc w:val="left"/>
      <w:pPr>
        <w:tabs>
          <w:tab w:val="num" w:pos="360"/>
        </w:tabs>
        <w:ind w:left="360" w:hanging="360"/>
      </w:pPr>
      <w:rPr>
        <w:rFonts w:ascii="Symbol" w:hAnsi="Symbol" w:hint="default"/>
        <w:color w:val="000000"/>
        <w:sz w:val="24"/>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765749A2"/>
    <w:multiLevelType w:val="hybridMultilevel"/>
    <w:tmpl w:val="2BEC824A"/>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772B7208"/>
    <w:multiLevelType w:val="hybridMultilevel"/>
    <w:tmpl w:val="4A7007A0"/>
    <w:lvl w:ilvl="0" w:tplc="04130019">
      <w:start w:val="1"/>
      <w:numFmt w:val="lowerLetter"/>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22E"/>
    <w:rsid w:val="000131EB"/>
    <w:rsid w:val="00022E9D"/>
    <w:rsid w:val="00063442"/>
    <w:rsid w:val="000647E3"/>
    <w:rsid w:val="00081640"/>
    <w:rsid w:val="000D127F"/>
    <w:rsid w:val="000D7198"/>
    <w:rsid w:val="000E0965"/>
    <w:rsid w:val="000F1E7D"/>
    <w:rsid w:val="000F7123"/>
    <w:rsid w:val="001273FE"/>
    <w:rsid w:val="001650AD"/>
    <w:rsid w:val="00166B73"/>
    <w:rsid w:val="00183814"/>
    <w:rsid w:val="001C2823"/>
    <w:rsid w:val="001C6D57"/>
    <w:rsid w:val="00206582"/>
    <w:rsid w:val="0021622E"/>
    <w:rsid w:val="002421D4"/>
    <w:rsid w:val="00260B31"/>
    <w:rsid w:val="00284532"/>
    <w:rsid w:val="002A06D7"/>
    <w:rsid w:val="002C5786"/>
    <w:rsid w:val="002C6D17"/>
    <w:rsid w:val="00343121"/>
    <w:rsid w:val="0036235F"/>
    <w:rsid w:val="00392549"/>
    <w:rsid w:val="003E118D"/>
    <w:rsid w:val="00414C7D"/>
    <w:rsid w:val="0048121E"/>
    <w:rsid w:val="00497973"/>
    <w:rsid w:val="004C0E63"/>
    <w:rsid w:val="004C26CE"/>
    <w:rsid w:val="004E5124"/>
    <w:rsid w:val="00512F6C"/>
    <w:rsid w:val="00517E37"/>
    <w:rsid w:val="00544558"/>
    <w:rsid w:val="005B50DF"/>
    <w:rsid w:val="005B5C20"/>
    <w:rsid w:val="005B68EE"/>
    <w:rsid w:val="005D61F4"/>
    <w:rsid w:val="005F6FC7"/>
    <w:rsid w:val="00653385"/>
    <w:rsid w:val="006F28F3"/>
    <w:rsid w:val="00706CC2"/>
    <w:rsid w:val="007338CE"/>
    <w:rsid w:val="007459A1"/>
    <w:rsid w:val="007502E3"/>
    <w:rsid w:val="00750F26"/>
    <w:rsid w:val="007B363E"/>
    <w:rsid w:val="007B6C2F"/>
    <w:rsid w:val="007C4517"/>
    <w:rsid w:val="007D2CD6"/>
    <w:rsid w:val="007D6B51"/>
    <w:rsid w:val="0080362F"/>
    <w:rsid w:val="0082436D"/>
    <w:rsid w:val="008468A1"/>
    <w:rsid w:val="00855CDD"/>
    <w:rsid w:val="008831A5"/>
    <w:rsid w:val="008A3ABB"/>
    <w:rsid w:val="008C4232"/>
    <w:rsid w:val="00901C5D"/>
    <w:rsid w:val="009212FE"/>
    <w:rsid w:val="009270A1"/>
    <w:rsid w:val="00935B69"/>
    <w:rsid w:val="00957C0D"/>
    <w:rsid w:val="00992C82"/>
    <w:rsid w:val="009B70B5"/>
    <w:rsid w:val="00A14068"/>
    <w:rsid w:val="00A5633B"/>
    <w:rsid w:val="00A63AFD"/>
    <w:rsid w:val="00A65486"/>
    <w:rsid w:val="00AF1DE5"/>
    <w:rsid w:val="00B037FE"/>
    <w:rsid w:val="00B5245B"/>
    <w:rsid w:val="00B6441B"/>
    <w:rsid w:val="00B64589"/>
    <w:rsid w:val="00B740EB"/>
    <w:rsid w:val="00B75EE8"/>
    <w:rsid w:val="00BB5B51"/>
    <w:rsid w:val="00BC4DD0"/>
    <w:rsid w:val="00C24406"/>
    <w:rsid w:val="00C2674C"/>
    <w:rsid w:val="00C45758"/>
    <w:rsid w:val="00CD0898"/>
    <w:rsid w:val="00CD11C1"/>
    <w:rsid w:val="00D131CC"/>
    <w:rsid w:val="00D15EC3"/>
    <w:rsid w:val="00D522A9"/>
    <w:rsid w:val="00DB38B6"/>
    <w:rsid w:val="00DF4B9D"/>
    <w:rsid w:val="00E070F6"/>
    <w:rsid w:val="00E25BED"/>
    <w:rsid w:val="00E5728D"/>
    <w:rsid w:val="00F01F9C"/>
    <w:rsid w:val="00F36D78"/>
    <w:rsid w:val="00F54AEA"/>
    <w:rsid w:val="00F80C33"/>
    <w:rsid w:val="00F96677"/>
    <w:rsid w:val="00FA2D06"/>
    <w:rsid w:val="00FA4B54"/>
    <w:rsid w:val="00FC2D2F"/>
    <w:rsid w:val="00FE53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622E"/>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82436D"/>
    <w:rPr>
      <w:rFonts w:ascii="Tahoma" w:hAnsi="Tahoma" w:cs="Tahoma"/>
      <w:sz w:val="16"/>
      <w:szCs w:val="16"/>
    </w:rPr>
  </w:style>
  <w:style w:type="paragraph" w:customStyle="1" w:styleId="StyleBulleted">
    <w:name w:val="Style Bulleted"/>
    <w:basedOn w:val="Normal"/>
    <w:rsid w:val="000D127F"/>
    <w:pPr>
      <w:numPr>
        <w:ilvl w:val="1"/>
        <w:numId w:val="6"/>
      </w:numPr>
      <w:tabs>
        <w:tab w:val="clear" w:pos="1440"/>
        <w:tab w:val="num" w:pos="927"/>
      </w:tabs>
      <w:spacing w:before="40" w:after="40"/>
      <w:ind w:left="924" w:hanging="357"/>
      <w:jc w:val="both"/>
    </w:pPr>
    <w:rPr>
      <w:sz w:val="22"/>
      <w:lang w:val="en-US" w:eastAsia="en-US"/>
    </w:rPr>
  </w:style>
  <w:style w:type="character" w:styleId="Hyperlink">
    <w:name w:val="Hyperlink"/>
    <w:basedOn w:val="DefaultParagraphFont"/>
    <w:rsid w:val="00B5245B"/>
    <w:rPr>
      <w:color w:val="0000FF"/>
      <w:u w:val="single"/>
    </w:rPr>
  </w:style>
  <w:style w:type="paragraph" w:styleId="FootnoteText">
    <w:name w:val="footnote text"/>
    <w:basedOn w:val="Normal"/>
    <w:link w:val="FootnoteTextChar"/>
    <w:rsid w:val="00063442"/>
    <w:rPr>
      <w:sz w:val="20"/>
      <w:szCs w:val="20"/>
      <w:lang w:val="en-GB" w:eastAsia="en-GB"/>
    </w:rPr>
  </w:style>
  <w:style w:type="character" w:customStyle="1" w:styleId="FootnoteTextChar">
    <w:name w:val="Footnote Text Char"/>
    <w:basedOn w:val="DefaultParagraphFont"/>
    <w:link w:val="FootnoteText"/>
    <w:rsid w:val="00063442"/>
    <w:rPr>
      <w:lang w:val="en-GB" w:eastAsia="en-GB"/>
    </w:rPr>
  </w:style>
  <w:style w:type="character" w:styleId="FootnoteReference">
    <w:name w:val="footnote reference"/>
    <w:basedOn w:val="DefaultParagraphFont"/>
    <w:rsid w:val="00063442"/>
    <w:rPr>
      <w:vertAlign w:val="superscript"/>
    </w:rPr>
  </w:style>
  <w:style w:type="paragraph" w:customStyle="1" w:styleId="Lijstalinea">
    <w:name w:val="Lijstalinea"/>
    <w:basedOn w:val="Normal"/>
    <w:uiPriority w:val="34"/>
    <w:qFormat/>
    <w:rsid w:val="00E25BED"/>
    <w:pPr>
      <w:ind w:left="708"/>
    </w:pPr>
  </w:style>
  <w:style w:type="character" w:styleId="FollowedHyperlink">
    <w:name w:val="FollowedHyperlink"/>
    <w:basedOn w:val="DefaultParagraphFont"/>
    <w:rsid w:val="001273FE"/>
    <w:rPr>
      <w:color w:val="800080"/>
      <w:u w:val="single"/>
    </w:rPr>
  </w:style>
  <w:style w:type="character" w:styleId="CommentReference">
    <w:name w:val="annotation reference"/>
    <w:basedOn w:val="DefaultParagraphFont"/>
    <w:semiHidden/>
    <w:rsid w:val="00A63AFD"/>
    <w:rPr>
      <w:sz w:val="16"/>
      <w:szCs w:val="16"/>
    </w:rPr>
  </w:style>
  <w:style w:type="paragraph" w:styleId="CommentText">
    <w:name w:val="annotation text"/>
    <w:basedOn w:val="Normal"/>
    <w:semiHidden/>
    <w:rsid w:val="00A63AFD"/>
    <w:rPr>
      <w:sz w:val="20"/>
      <w:szCs w:val="20"/>
    </w:rPr>
  </w:style>
  <w:style w:type="paragraph" w:styleId="CommentSubject">
    <w:name w:val="annotation subject"/>
    <w:basedOn w:val="CommentText"/>
    <w:next w:val="CommentText"/>
    <w:semiHidden/>
    <w:rsid w:val="00A63A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622E"/>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82436D"/>
    <w:rPr>
      <w:rFonts w:ascii="Tahoma" w:hAnsi="Tahoma" w:cs="Tahoma"/>
      <w:sz w:val="16"/>
      <w:szCs w:val="16"/>
    </w:rPr>
  </w:style>
  <w:style w:type="paragraph" w:customStyle="1" w:styleId="StyleBulleted">
    <w:name w:val="Style Bulleted"/>
    <w:basedOn w:val="Normal"/>
    <w:rsid w:val="000D127F"/>
    <w:pPr>
      <w:numPr>
        <w:ilvl w:val="1"/>
        <w:numId w:val="6"/>
      </w:numPr>
      <w:tabs>
        <w:tab w:val="clear" w:pos="1440"/>
        <w:tab w:val="num" w:pos="927"/>
      </w:tabs>
      <w:spacing w:before="40" w:after="40"/>
      <w:ind w:left="924" w:hanging="357"/>
      <w:jc w:val="both"/>
    </w:pPr>
    <w:rPr>
      <w:sz w:val="22"/>
      <w:lang w:val="en-US" w:eastAsia="en-US"/>
    </w:rPr>
  </w:style>
  <w:style w:type="character" w:styleId="Hyperlink">
    <w:name w:val="Hyperlink"/>
    <w:basedOn w:val="DefaultParagraphFont"/>
    <w:rsid w:val="00B5245B"/>
    <w:rPr>
      <w:color w:val="0000FF"/>
      <w:u w:val="single"/>
    </w:rPr>
  </w:style>
  <w:style w:type="paragraph" w:styleId="FootnoteText">
    <w:name w:val="footnote text"/>
    <w:basedOn w:val="Normal"/>
    <w:link w:val="FootnoteTextChar"/>
    <w:rsid w:val="00063442"/>
    <w:rPr>
      <w:sz w:val="20"/>
      <w:szCs w:val="20"/>
      <w:lang w:val="en-GB" w:eastAsia="en-GB"/>
    </w:rPr>
  </w:style>
  <w:style w:type="character" w:customStyle="1" w:styleId="FootnoteTextChar">
    <w:name w:val="Footnote Text Char"/>
    <w:basedOn w:val="DefaultParagraphFont"/>
    <w:link w:val="FootnoteText"/>
    <w:rsid w:val="00063442"/>
    <w:rPr>
      <w:lang w:val="en-GB" w:eastAsia="en-GB"/>
    </w:rPr>
  </w:style>
  <w:style w:type="character" w:styleId="FootnoteReference">
    <w:name w:val="footnote reference"/>
    <w:basedOn w:val="DefaultParagraphFont"/>
    <w:rsid w:val="00063442"/>
    <w:rPr>
      <w:vertAlign w:val="superscript"/>
    </w:rPr>
  </w:style>
  <w:style w:type="paragraph" w:customStyle="1" w:styleId="Lijstalinea">
    <w:name w:val="Lijstalinea"/>
    <w:basedOn w:val="Normal"/>
    <w:uiPriority w:val="34"/>
    <w:qFormat/>
    <w:rsid w:val="00E25BED"/>
    <w:pPr>
      <w:ind w:left="708"/>
    </w:pPr>
  </w:style>
  <w:style w:type="character" w:styleId="FollowedHyperlink">
    <w:name w:val="FollowedHyperlink"/>
    <w:basedOn w:val="DefaultParagraphFont"/>
    <w:rsid w:val="001273FE"/>
    <w:rPr>
      <w:color w:val="800080"/>
      <w:u w:val="single"/>
    </w:rPr>
  </w:style>
  <w:style w:type="character" w:styleId="CommentReference">
    <w:name w:val="annotation reference"/>
    <w:basedOn w:val="DefaultParagraphFont"/>
    <w:semiHidden/>
    <w:rsid w:val="00A63AFD"/>
    <w:rPr>
      <w:sz w:val="16"/>
      <w:szCs w:val="16"/>
    </w:rPr>
  </w:style>
  <w:style w:type="paragraph" w:styleId="CommentText">
    <w:name w:val="annotation text"/>
    <w:basedOn w:val="Normal"/>
    <w:semiHidden/>
    <w:rsid w:val="00A63AFD"/>
    <w:rPr>
      <w:sz w:val="20"/>
      <w:szCs w:val="20"/>
    </w:rPr>
  </w:style>
  <w:style w:type="paragraph" w:styleId="CommentSubject">
    <w:name w:val="annotation subject"/>
    <w:basedOn w:val="CommentText"/>
    <w:next w:val="CommentText"/>
    <w:semiHidden/>
    <w:rsid w:val="00A63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991824">
      <w:bodyDiv w:val="1"/>
      <w:marLeft w:val="0"/>
      <w:marRight w:val="0"/>
      <w:marTop w:val="0"/>
      <w:marBottom w:val="0"/>
      <w:divBdr>
        <w:top w:val="none" w:sz="0" w:space="0" w:color="auto"/>
        <w:left w:val="none" w:sz="0" w:space="0" w:color="auto"/>
        <w:bottom w:val="none" w:sz="0" w:space="0" w:color="auto"/>
        <w:right w:val="none" w:sz="0" w:space="0" w:color="auto"/>
      </w:divBdr>
      <w:divsChild>
        <w:div w:id="138811303">
          <w:marLeft w:val="0"/>
          <w:marRight w:val="0"/>
          <w:marTop w:val="0"/>
          <w:marBottom w:val="0"/>
          <w:divBdr>
            <w:top w:val="none" w:sz="0" w:space="0" w:color="auto"/>
            <w:left w:val="none" w:sz="0" w:space="0" w:color="auto"/>
            <w:bottom w:val="none" w:sz="0" w:space="0" w:color="auto"/>
            <w:right w:val="none" w:sz="0" w:space="0" w:color="auto"/>
          </w:divBdr>
          <w:divsChild>
            <w:div w:id="331690570">
              <w:marLeft w:val="0"/>
              <w:marRight w:val="0"/>
              <w:marTop w:val="0"/>
              <w:marBottom w:val="0"/>
              <w:divBdr>
                <w:top w:val="none" w:sz="0" w:space="0" w:color="auto"/>
                <w:left w:val="none" w:sz="0" w:space="0" w:color="auto"/>
                <w:bottom w:val="none" w:sz="0" w:space="0" w:color="auto"/>
                <w:right w:val="none" w:sz="0" w:space="0" w:color="auto"/>
              </w:divBdr>
            </w:div>
            <w:div w:id="818576616">
              <w:marLeft w:val="0"/>
              <w:marRight w:val="0"/>
              <w:marTop w:val="0"/>
              <w:marBottom w:val="0"/>
              <w:divBdr>
                <w:top w:val="none" w:sz="0" w:space="0" w:color="auto"/>
                <w:left w:val="none" w:sz="0" w:space="0" w:color="auto"/>
                <w:bottom w:val="none" w:sz="0" w:space="0" w:color="auto"/>
                <w:right w:val="none" w:sz="0" w:space="0" w:color="auto"/>
              </w:divBdr>
            </w:div>
            <w:div w:id="907615926">
              <w:marLeft w:val="0"/>
              <w:marRight w:val="0"/>
              <w:marTop w:val="0"/>
              <w:marBottom w:val="0"/>
              <w:divBdr>
                <w:top w:val="none" w:sz="0" w:space="0" w:color="auto"/>
                <w:left w:val="none" w:sz="0" w:space="0" w:color="auto"/>
                <w:bottom w:val="none" w:sz="0" w:space="0" w:color="auto"/>
                <w:right w:val="none" w:sz="0" w:space="0" w:color="auto"/>
              </w:divBdr>
            </w:div>
            <w:div w:id="1010184339">
              <w:marLeft w:val="0"/>
              <w:marRight w:val="0"/>
              <w:marTop w:val="0"/>
              <w:marBottom w:val="0"/>
              <w:divBdr>
                <w:top w:val="none" w:sz="0" w:space="0" w:color="auto"/>
                <w:left w:val="none" w:sz="0" w:space="0" w:color="auto"/>
                <w:bottom w:val="none" w:sz="0" w:space="0" w:color="auto"/>
                <w:right w:val="none" w:sz="0" w:space="0" w:color="auto"/>
              </w:divBdr>
            </w:div>
            <w:div w:id="1289897320">
              <w:marLeft w:val="0"/>
              <w:marRight w:val="0"/>
              <w:marTop w:val="0"/>
              <w:marBottom w:val="0"/>
              <w:divBdr>
                <w:top w:val="none" w:sz="0" w:space="0" w:color="auto"/>
                <w:left w:val="none" w:sz="0" w:space="0" w:color="auto"/>
                <w:bottom w:val="none" w:sz="0" w:space="0" w:color="auto"/>
                <w:right w:val="none" w:sz="0" w:space="0" w:color="auto"/>
              </w:divBdr>
            </w:div>
            <w:div w:id="1563328206">
              <w:marLeft w:val="0"/>
              <w:marRight w:val="0"/>
              <w:marTop w:val="0"/>
              <w:marBottom w:val="0"/>
              <w:divBdr>
                <w:top w:val="none" w:sz="0" w:space="0" w:color="auto"/>
                <w:left w:val="none" w:sz="0" w:space="0" w:color="auto"/>
                <w:bottom w:val="none" w:sz="0" w:space="0" w:color="auto"/>
                <w:right w:val="none" w:sz="0" w:space="0" w:color="auto"/>
              </w:divBdr>
            </w:div>
          </w:divsChild>
        </w:div>
        <w:div w:id="284772646">
          <w:marLeft w:val="0"/>
          <w:marRight w:val="0"/>
          <w:marTop w:val="0"/>
          <w:marBottom w:val="0"/>
          <w:divBdr>
            <w:top w:val="none" w:sz="0" w:space="0" w:color="auto"/>
            <w:left w:val="none" w:sz="0" w:space="0" w:color="auto"/>
            <w:bottom w:val="none" w:sz="0" w:space="0" w:color="auto"/>
            <w:right w:val="none" w:sz="0" w:space="0" w:color="auto"/>
          </w:divBdr>
        </w:div>
        <w:div w:id="1113327194">
          <w:marLeft w:val="0"/>
          <w:marRight w:val="0"/>
          <w:marTop w:val="0"/>
          <w:marBottom w:val="0"/>
          <w:divBdr>
            <w:top w:val="none" w:sz="0" w:space="0" w:color="auto"/>
            <w:left w:val="none" w:sz="0" w:space="0" w:color="auto"/>
            <w:bottom w:val="none" w:sz="0" w:space="0" w:color="auto"/>
            <w:right w:val="none" w:sz="0" w:space="0" w:color="auto"/>
          </w:divBdr>
        </w:div>
        <w:div w:id="1141771246">
          <w:marLeft w:val="0"/>
          <w:marRight w:val="0"/>
          <w:marTop w:val="0"/>
          <w:marBottom w:val="0"/>
          <w:divBdr>
            <w:top w:val="none" w:sz="0" w:space="0" w:color="auto"/>
            <w:left w:val="none" w:sz="0" w:space="0" w:color="auto"/>
            <w:bottom w:val="none" w:sz="0" w:space="0" w:color="auto"/>
            <w:right w:val="none" w:sz="0" w:space="0" w:color="auto"/>
          </w:divBdr>
        </w:div>
        <w:div w:id="1492601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acmeq.org/sacmeq3.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FEDD3AF4</Template>
  <TotalTime>1</TotalTime>
  <Pages>4</Pages>
  <Words>1348</Words>
  <Characters>7418</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Information collection form for Netherlands Development Results Report 2009-2010 (bilateral aid)</vt:lpstr>
    </vt:vector>
  </TitlesOfParts>
  <Company>Min. van Buitenlandse Zaken</Company>
  <LinksUpToDate>false</LinksUpToDate>
  <CharactersWithSpaces>8749</CharactersWithSpaces>
  <SharedDoc>false</SharedDoc>
  <HLinks>
    <vt:vector size="12" baseType="variant">
      <vt:variant>
        <vt:i4>2752559</vt:i4>
      </vt:variant>
      <vt:variant>
        <vt:i4>3</vt:i4>
      </vt:variant>
      <vt:variant>
        <vt:i4>0</vt:i4>
      </vt:variant>
      <vt:variant>
        <vt:i4>5</vt:i4>
      </vt:variant>
      <vt:variant>
        <vt:lpwstr>http://www.educationfasttrack.org/</vt:lpwstr>
      </vt:variant>
      <vt:variant>
        <vt:lpwstr/>
      </vt:variant>
      <vt:variant>
        <vt:i4>655371</vt:i4>
      </vt:variant>
      <vt:variant>
        <vt:i4>0</vt:i4>
      </vt:variant>
      <vt:variant>
        <vt:i4>0</vt:i4>
      </vt:variant>
      <vt:variant>
        <vt:i4>5</vt:i4>
      </vt:variant>
      <vt:variant>
        <vt:lpwstr>http://www.sacmeq.org/sacmeq3.htm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collection form for Netherlands Development Results Report 2009-2010 (bilateral aid)</dc:title>
  <dc:creator>Rob Swinkels</dc:creator>
  <cp:lastModifiedBy>ICT</cp:lastModifiedBy>
  <cp:revision>2</cp:revision>
  <cp:lastPrinted>2011-03-17T09:58:00Z</cp:lastPrinted>
  <dcterms:created xsi:type="dcterms:W3CDTF">2011-05-09T10:47:00Z</dcterms:created>
  <dcterms:modified xsi:type="dcterms:W3CDTF">2011-05-09T10:47:00Z</dcterms:modified>
</cp:coreProperties>
</file>