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80B0D" w:rsidRDefault="00080B0D" w:rsidP="00080B0D">
      <w:pPr>
        <w:rPr>
          <w:b/>
          <w:bCs/>
          <w:lang w:val="en-GB"/>
        </w:rPr>
      </w:pPr>
      <w:r>
        <w:rPr>
          <w:b/>
          <w:bCs/>
          <w:lang w:val="en-GB"/>
        </w:rPr>
        <w:t>Results Report 2009-2010 (bilateral aid program)</w:t>
      </w:r>
    </w:p>
    <w:p w:rsidR="00080B0D" w:rsidRDefault="00080B0D" w:rsidP="00080B0D">
      <w:pPr>
        <w:rPr>
          <w:lang w:val="en-GB"/>
        </w:rPr>
      </w:pPr>
    </w:p>
    <w:p w:rsidR="00080B0D" w:rsidRDefault="00080B0D" w:rsidP="00080B0D">
      <w:pPr>
        <w:rPr>
          <w:lang w:val="en-GB"/>
        </w:rPr>
      </w:pPr>
      <w:r>
        <w:rPr>
          <w:lang w:val="en-GB"/>
        </w:rPr>
        <w:t>Embassy (for delegated aid): Addis Ababa</w:t>
      </w:r>
    </w:p>
    <w:p w:rsidR="00080B0D" w:rsidRDefault="00080B0D" w:rsidP="00080B0D">
      <w:pPr>
        <w:rPr>
          <w:lang w:val="en-GB"/>
        </w:rPr>
      </w:pPr>
      <w:r>
        <w:rPr>
          <w:lang w:val="en-GB"/>
        </w:rPr>
        <w:t xml:space="preserve">Thematic Department (for non-delegated aid): </w:t>
      </w:r>
    </w:p>
    <w:p w:rsidR="00080B0D" w:rsidRDefault="00080B0D" w:rsidP="00080B0D">
      <w:pPr>
        <w:rPr>
          <w:lang w:val="en-GB"/>
        </w:rPr>
      </w:pPr>
      <w:r>
        <w:rPr>
          <w:lang w:val="en-GB"/>
        </w:rPr>
        <w:t>Country: Ethiopia</w:t>
      </w:r>
    </w:p>
    <w:p w:rsidR="00080B0D" w:rsidRDefault="00080B0D" w:rsidP="00080B0D">
      <w:pPr>
        <w:rPr>
          <w:lang w:val="en-GB"/>
        </w:rPr>
      </w:pPr>
      <w:r>
        <w:rPr>
          <w:lang w:val="en-GB"/>
        </w:rPr>
        <w:t>Strategic Goal: food security and agricultural growth</w:t>
      </w:r>
    </w:p>
    <w:p w:rsidR="00080B0D" w:rsidRDefault="00080B0D" w:rsidP="00080B0D">
      <w:pPr>
        <w:rPr>
          <w:lang w:val="en-GB"/>
        </w:rPr>
      </w:pPr>
      <w:r>
        <w:rPr>
          <w:lang w:val="en-GB"/>
        </w:rPr>
        <w:t>Sub-goal/ programme selected for this form (where relevant):</w:t>
      </w:r>
      <w:r w:rsidR="00AB3E70">
        <w:rPr>
          <w:lang w:val="en-GB"/>
        </w:rPr>
        <w:t xml:space="preserve"> </w:t>
      </w:r>
      <w:r>
        <w:rPr>
          <w:lang w:val="en-GB"/>
        </w:rPr>
        <w:t>environment, PSD</w:t>
      </w:r>
    </w:p>
    <w:p w:rsidR="00080B0D" w:rsidRDefault="00080B0D" w:rsidP="00080B0D">
      <w:pPr>
        <w:rPr>
          <w:lang w:val="en-GB"/>
        </w:rPr>
      </w:pPr>
      <w:r>
        <w:rPr>
          <w:lang w:val="en-GB"/>
        </w:rPr>
        <w:t xml:space="preserve">This form is completed by: </w:t>
      </w:r>
      <w:r w:rsidR="00AB3E70">
        <w:rPr>
          <w:lang w:val="en-GB"/>
        </w:rPr>
        <w:t>G</w:t>
      </w:r>
      <w:r>
        <w:rPr>
          <w:lang w:val="en-GB"/>
        </w:rPr>
        <w:t xml:space="preserve">errit </w:t>
      </w:r>
      <w:r w:rsidR="00AB3E70">
        <w:rPr>
          <w:lang w:val="en-GB"/>
        </w:rPr>
        <w:t>N</w:t>
      </w:r>
      <w:r>
        <w:rPr>
          <w:lang w:val="en-GB"/>
        </w:rPr>
        <w:t>oordam</w:t>
      </w:r>
      <w:r w:rsidR="00AE7BC6">
        <w:rPr>
          <w:lang w:val="en-GB"/>
        </w:rPr>
        <w:t xml:space="preserve"> and Gerrit Westenbrink</w:t>
      </w:r>
    </w:p>
    <w:p w:rsidR="00080B0D" w:rsidRDefault="00080B0D" w:rsidP="00080B0D">
      <w:pPr>
        <w:rPr>
          <w:lang w:val="en-GB"/>
        </w:rPr>
      </w:pPr>
    </w:p>
    <w:p w:rsidR="00080B0D" w:rsidRDefault="00080B0D" w:rsidP="00080B0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1. CONTEXT </w:t>
      </w:r>
    </w:p>
    <w:p w:rsidR="00080B0D" w:rsidRPr="007221E4" w:rsidRDefault="00080B0D" w:rsidP="00080B0D">
      <w:pPr>
        <w:rPr>
          <w:b/>
          <w:lang w:val="en-GB"/>
        </w:rPr>
      </w:pPr>
      <w:r w:rsidRPr="007221E4">
        <w:rPr>
          <w:b/>
          <w:lang w:val="en-GB"/>
        </w:rPr>
        <w:t>a. Country or regional context and b. Sector (or thematic) context</w:t>
      </w:r>
    </w:p>
    <w:p w:rsidR="00080B0D" w:rsidRDefault="00080B0D" w:rsidP="00080B0D">
      <w:pPr>
        <w:rPr>
          <w:lang w:val="en-GB"/>
        </w:rPr>
      </w:pPr>
    </w:p>
    <w:p w:rsidR="00AE7BC6" w:rsidRDefault="00080B0D" w:rsidP="00080B0D">
      <w:pPr>
        <w:rPr>
          <w:lang w:val="en-GB"/>
        </w:rPr>
      </w:pPr>
      <w:r>
        <w:rPr>
          <w:lang w:val="en-GB"/>
        </w:rPr>
        <w:t>The context, the Horn of Africa,</w:t>
      </w:r>
      <w:proofErr w:type="gramStart"/>
      <w:r>
        <w:rPr>
          <w:lang w:val="en-GB"/>
        </w:rPr>
        <w:t>  in</w:t>
      </w:r>
      <w:proofErr w:type="gramEnd"/>
      <w:r>
        <w:rPr>
          <w:lang w:val="en-GB"/>
        </w:rPr>
        <w:t xml:space="preserve"> which Ethiopia is situated is characterized by various types of insecurity with different causes. Food insecurity in Ethiopia has been persistent and </w:t>
      </w:r>
      <w:r w:rsidR="00E7569E">
        <w:rPr>
          <w:lang w:val="en-GB"/>
        </w:rPr>
        <w:t xml:space="preserve">of a </w:t>
      </w:r>
      <w:r>
        <w:rPr>
          <w:lang w:val="en-GB"/>
        </w:rPr>
        <w:t xml:space="preserve">large scale over many decades. During </w:t>
      </w:r>
      <w:r w:rsidR="004F10B0">
        <w:rPr>
          <w:lang w:val="en-GB"/>
        </w:rPr>
        <w:t xml:space="preserve">the </w:t>
      </w:r>
      <w:r>
        <w:rPr>
          <w:lang w:val="en-GB"/>
        </w:rPr>
        <w:t>last decade the Government</w:t>
      </w:r>
      <w:r w:rsidR="004F10B0">
        <w:rPr>
          <w:lang w:val="en-GB"/>
        </w:rPr>
        <w:t xml:space="preserve"> of Ethiopia</w:t>
      </w:r>
      <w:r>
        <w:rPr>
          <w:lang w:val="en-GB"/>
        </w:rPr>
        <w:t xml:space="preserve"> (GoE) developed a consistent policy for alleviating poverty and eliminating food insufficiency</w:t>
      </w:r>
      <w:r w:rsidR="00142953">
        <w:rPr>
          <w:lang w:val="en-GB"/>
        </w:rPr>
        <w:t xml:space="preserve"> and stimulating economic growth in the private sector</w:t>
      </w:r>
      <w:r>
        <w:rPr>
          <w:lang w:val="en-GB"/>
        </w:rPr>
        <w:t xml:space="preserve">. </w:t>
      </w:r>
      <w:r w:rsidR="00142953">
        <w:rPr>
          <w:lang w:val="en-GB"/>
        </w:rPr>
        <w:t>In the new Growth and Transformation</w:t>
      </w:r>
      <w:r w:rsidR="00C92476">
        <w:rPr>
          <w:lang w:val="en-GB"/>
        </w:rPr>
        <w:t xml:space="preserve"> P</w:t>
      </w:r>
      <w:r w:rsidR="00142953">
        <w:rPr>
          <w:lang w:val="en-GB"/>
        </w:rPr>
        <w:t>lan</w:t>
      </w:r>
      <w:r w:rsidR="008D7B7F">
        <w:rPr>
          <w:lang w:val="en-GB"/>
        </w:rPr>
        <w:t xml:space="preserve"> (2010-2015)</w:t>
      </w:r>
      <w:r w:rsidR="00142953">
        <w:rPr>
          <w:lang w:val="en-GB"/>
        </w:rPr>
        <w:t xml:space="preserve"> very high am</w:t>
      </w:r>
      <w:r w:rsidR="00AE7BC6">
        <w:rPr>
          <w:lang w:val="en-GB"/>
        </w:rPr>
        <w:t>bitions have been included,</w:t>
      </w:r>
      <w:r w:rsidR="00142953">
        <w:rPr>
          <w:lang w:val="en-GB"/>
        </w:rPr>
        <w:t xml:space="preserve"> both in term of food</w:t>
      </w:r>
      <w:r w:rsidR="00AE7BC6">
        <w:rPr>
          <w:lang w:val="en-GB"/>
        </w:rPr>
        <w:t xml:space="preserve"> secu</w:t>
      </w:r>
      <w:r w:rsidR="00142953">
        <w:rPr>
          <w:lang w:val="en-GB"/>
        </w:rPr>
        <w:t>r</w:t>
      </w:r>
      <w:r w:rsidR="00AE7BC6">
        <w:rPr>
          <w:lang w:val="en-GB"/>
        </w:rPr>
        <w:t>it</w:t>
      </w:r>
      <w:r w:rsidR="00142953">
        <w:rPr>
          <w:lang w:val="en-GB"/>
        </w:rPr>
        <w:t>y and in ‘agricul</w:t>
      </w:r>
      <w:r w:rsidR="00C92476">
        <w:rPr>
          <w:lang w:val="en-GB"/>
        </w:rPr>
        <w:t>t</w:t>
      </w:r>
      <w:r w:rsidR="00142953">
        <w:rPr>
          <w:lang w:val="en-GB"/>
        </w:rPr>
        <w:t xml:space="preserve">ure as </w:t>
      </w:r>
      <w:r w:rsidR="00C92476">
        <w:rPr>
          <w:lang w:val="en-GB"/>
        </w:rPr>
        <w:t xml:space="preserve">an </w:t>
      </w:r>
      <w:r w:rsidR="00142953">
        <w:rPr>
          <w:lang w:val="en-GB"/>
        </w:rPr>
        <w:t xml:space="preserve">engine </w:t>
      </w:r>
      <w:r w:rsidR="00C92476">
        <w:rPr>
          <w:lang w:val="en-GB"/>
        </w:rPr>
        <w:t xml:space="preserve">for </w:t>
      </w:r>
      <w:r w:rsidR="00142953">
        <w:rPr>
          <w:lang w:val="en-GB"/>
        </w:rPr>
        <w:t>economic growth</w:t>
      </w:r>
      <w:r w:rsidR="00AE7BC6">
        <w:rPr>
          <w:lang w:val="en-GB"/>
        </w:rPr>
        <w:t>’</w:t>
      </w:r>
      <w:r w:rsidR="00142953">
        <w:rPr>
          <w:lang w:val="en-GB"/>
        </w:rPr>
        <w:t xml:space="preserve">. Ethiopia now </w:t>
      </w:r>
      <w:r w:rsidR="00C92476">
        <w:rPr>
          <w:lang w:val="en-GB"/>
        </w:rPr>
        <w:t xml:space="preserve">has three </w:t>
      </w:r>
      <w:r w:rsidR="00142953">
        <w:rPr>
          <w:lang w:val="en-GB"/>
        </w:rPr>
        <w:t>major multi-donor programmes in place</w:t>
      </w:r>
      <w:r w:rsidR="00AE7BC6">
        <w:rPr>
          <w:lang w:val="en-GB"/>
        </w:rPr>
        <w:t>:</w:t>
      </w:r>
      <w:r w:rsidR="00142953">
        <w:rPr>
          <w:lang w:val="en-GB"/>
        </w:rPr>
        <w:t xml:space="preserve"> </w:t>
      </w:r>
      <w:r w:rsidR="00C92476">
        <w:rPr>
          <w:lang w:val="en-GB"/>
        </w:rPr>
        <w:t xml:space="preserve">the </w:t>
      </w:r>
      <w:r w:rsidR="00142953">
        <w:rPr>
          <w:lang w:val="en-GB"/>
        </w:rPr>
        <w:t>P</w:t>
      </w:r>
      <w:r w:rsidR="00C92476">
        <w:rPr>
          <w:lang w:val="en-GB"/>
        </w:rPr>
        <w:t xml:space="preserve">roductive Safety Net Programme (SLMP), Sustainable Land Management Programme (SLMP) and </w:t>
      </w:r>
      <w:r w:rsidR="00AE7BC6">
        <w:rPr>
          <w:lang w:val="en-GB"/>
        </w:rPr>
        <w:t xml:space="preserve">the </w:t>
      </w:r>
      <w:r w:rsidR="00142953">
        <w:rPr>
          <w:lang w:val="en-GB"/>
        </w:rPr>
        <w:t xml:space="preserve">Agriculture Growth </w:t>
      </w:r>
      <w:r w:rsidR="00C92476">
        <w:rPr>
          <w:lang w:val="en-GB"/>
        </w:rPr>
        <w:t>Programme (AGP).</w:t>
      </w:r>
      <w:r w:rsidR="00142953">
        <w:rPr>
          <w:lang w:val="en-GB"/>
        </w:rPr>
        <w:t xml:space="preserve"> </w:t>
      </w:r>
      <w:r w:rsidR="00C92476">
        <w:rPr>
          <w:lang w:val="en-GB"/>
        </w:rPr>
        <w:t>T</w:t>
      </w:r>
      <w:r w:rsidR="00142953">
        <w:rPr>
          <w:lang w:val="en-GB"/>
        </w:rPr>
        <w:t>he first focuss</w:t>
      </w:r>
      <w:r w:rsidR="00C92476">
        <w:rPr>
          <w:lang w:val="en-GB"/>
        </w:rPr>
        <w:t>es</w:t>
      </w:r>
      <w:r w:rsidR="00142953">
        <w:rPr>
          <w:lang w:val="en-GB"/>
        </w:rPr>
        <w:t xml:space="preserve"> on </w:t>
      </w:r>
      <w:r w:rsidR="008D7B7F">
        <w:rPr>
          <w:lang w:val="en-GB"/>
        </w:rPr>
        <w:t>vulnerable</w:t>
      </w:r>
      <w:r w:rsidR="00142953">
        <w:rPr>
          <w:lang w:val="en-GB"/>
        </w:rPr>
        <w:t xml:space="preserve"> food insecure areas</w:t>
      </w:r>
      <w:r w:rsidR="00C92476">
        <w:rPr>
          <w:lang w:val="en-GB"/>
        </w:rPr>
        <w:t xml:space="preserve">, the second on restoring and improving natural resource management, and the third works on </w:t>
      </w:r>
      <w:r w:rsidR="00223D5E">
        <w:rPr>
          <w:lang w:val="en-GB"/>
        </w:rPr>
        <w:t xml:space="preserve">boosting surplus production and marketing in </w:t>
      </w:r>
      <w:r w:rsidR="00C92476">
        <w:rPr>
          <w:lang w:val="en-GB"/>
        </w:rPr>
        <w:t>high potential</w:t>
      </w:r>
      <w:r w:rsidR="00223D5E">
        <w:rPr>
          <w:lang w:val="en-GB"/>
        </w:rPr>
        <w:t xml:space="preserve"> areas</w:t>
      </w:r>
      <w:r w:rsidR="00AE7BC6">
        <w:rPr>
          <w:lang w:val="en-GB"/>
        </w:rPr>
        <w:t>.</w:t>
      </w:r>
    </w:p>
    <w:p w:rsidR="00080B0D" w:rsidRDefault="00142953" w:rsidP="00080B0D">
      <w:pPr>
        <w:rPr>
          <w:lang w:val="en-GB"/>
        </w:rPr>
      </w:pPr>
      <w:r>
        <w:rPr>
          <w:lang w:val="en-GB"/>
        </w:rPr>
        <w:t xml:space="preserve"> </w:t>
      </w:r>
    </w:p>
    <w:p w:rsidR="00080B0D" w:rsidRPr="007221E4" w:rsidRDefault="00080B0D" w:rsidP="00080B0D">
      <w:pPr>
        <w:rPr>
          <w:b/>
          <w:lang w:val="en-GB"/>
        </w:rPr>
      </w:pPr>
      <w:r w:rsidRPr="007221E4">
        <w:rPr>
          <w:b/>
          <w:lang w:val="en-GB"/>
        </w:rPr>
        <w:t>c. Description of the problem</w:t>
      </w:r>
    </w:p>
    <w:p w:rsidR="00080B0D" w:rsidRDefault="00080B0D" w:rsidP="00080B0D">
      <w:pPr>
        <w:rPr>
          <w:lang w:val="en-GB"/>
        </w:rPr>
      </w:pPr>
      <w:r>
        <w:rPr>
          <w:lang w:val="en-GB"/>
        </w:rPr>
        <w:t>Food insecurity has caused a vicious circle in development efforts for many years</w:t>
      </w:r>
      <w:r w:rsidR="00E7569E">
        <w:rPr>
          <w:lang w:val="en-GB"/>
        </w:rPr>
        <w:t>,</w:t>
      </w:r>
      <w:r>
        <w:rPr>
          <w:lang w:val="en-GB"/>
        </w:rPr>
        <w:t xml:space="preserve"> including the over</w:t>
      </w:r>
      <w:r w:rsidR="00E7569E">
        <w:rPr>
          <w:lang w:val="en-GB"/>
        </w:rPr>
        <w:t xml:space="preserve">-emphasis on </w:t>
      </w:r>
      <w:r>
        <w:rPr>
          <w:lang w:val="en-GB"/>
        </w:rPr>
        <w:t>emergency</w:t>
      </w:r>
      <w:r w:rsidR="00375DF5">
        <w:rPr>
          <w:lang w:val="en-GB"/>
        </w:rPr>
        <w:t>-related activities</w:t>
      </w:r>
      <w:r w:rsidR="00C00B6A">
        <w:rPr>
          <w:lang w:val="en-GB"/>
        </w:rPr>
        <w:t>.</w:t>
      </w:r>
      <w:r>
        <w:rPr>
          <w:lang w:val="en-GB"/>
        </w:rPr>
        <w:t xml:space="preserve"> This led to a (general) dependency attitude and a relative neglect of investments in </w:t>
      </w:r>
      <w:r w:rsidR="00223D5E">
        <w:rPr>
          <w:lang w:val="en-GB"/>
        </w:rPr>
        <w:t xml:space="preserve">agricultural growth </w:t>
      </w:r>
      <w:r>
        <w:rPr>
          <w:lang w:val="en-GB"/>
        </w:rPr>
        <w:t>and P</w:t>
      </w:r>
      <w:r w:rsidR="00375DF5">
        <w:rPr>
          <w:lang w:val="en-GB"/>
        </w:rPr>
        <w:t xml:space="preserve">rivate </w:t>
      </w:r>
      <w:r>
        <w:rPr>
          <w:lang w:val="en-GB"/>
        </w:rPr>
        <w:t>S</w:t>
      </w:r>
      <w:r w:rsidR="00375DF5">
        <w:rPr>
          <w:lang w:val="en-GB"/>
        </w:rPr>
        <w:t xml:space="preserve">ector </w:t>
      </w:r>
      <w:r>
        <w:rPr>
          <w:lang w:val="en-GB"/>
        </w:rPr>
        <w:t>D</w:t>
      </w:r>
      <w:r w:rsidR="00375DF5">
        <w:rPr>
          <w:lang w:val="en-GB"/>
        </w:rPr>
        <w:t>evelopment</w:t>
      </w:r>
      <w:r>
        <w:rPr>
          <w:lang w:val="en-GB"/>
        </w:rPr>
        <w:t xml:space="preserve">. With the change in policy, most significantly since 2005, and a new ambitious GTP, the challenge is to reverse the </w:t>
      </w:r>
      <w:r w:rsidR="00375DF5">
        <w:rPr>
          <w:lang w:val="en-GB"/>
        </w:rPr>
        <w:t>deficiencies</w:t>
      </w:r>
      <w:r>
        <w:rPr>
          <w:lang w:val="en-GB"/>
        </w:rPr>
        <w:t xml:space="preserve"> and threats into sustainable production and growth. </w:t>
      </w:r>
      <w:r w:rsidR="008D7B7F">
        <w:rPr>
          <w:lang w:val="en-GB"/>
        </w:rPr>
        <w:t>Output of agriculture is increased and new export commodities like flowers</w:t>
      </w:r>
      <w:r w:rsidR="00223D5E">
        <w:rPr>
          <w:lang w:val="en-GB"/>
        </w:rPr>
        <w:t>, fruits</w:t>
      </w:r>
      <w:r w:rsidR="008D7B7F">
        <w:rPr>
          <w:lang w:val="en-GB"/>
        </w:rPr>
        <w:t xml:space="preserve"> and vegetables </w:t>
      </w:r>
      <w:r w:rsidR="00223D5E">
        <w:rPr>
          <w:lang w:val="en-GB"/>
        </w:rPr>
        <w:t xml:space="preserve">and oilseeds </w:t>
      </w:r>
      <w:r w:rsidR="008D7B7F">
        <w:rPr>
          <w:lang w:val="en-GB"/>
        </w:rPr>
        <w:t>have shown sharp increases.</w:t>
      </w:r>
      <w:r>
        <w:rPr>
          <w:lang w:val="en-GB"/>
        </w:rPr>
        <w:t> </w:t>
      </w:r>
    </w:p>
    <w:p w:rsidR="00080B0D" w:rsidRDefault="00080B0D" w:rsidP="00080B0D">
      <w:pPr>
        <w:rPr>
          <w:lang w:val="en-GB"/>
        </w:rPr>
      </w:pPr>
    </w:p>
    <w:p w:rsidR="00080B0D" w:rsidRPr="007221E4" w:rsidRDefault="00080B0D" w:rsidP="00080B0D">
      <w:pPr>
        <w:rPr>
          <w:b/>
          <w:lang w:val="en-GB"/>
        </w:rPr>
      </w:pPr>
      <w:r w:rsidRPr="007221E4">
        <w:rPr>
          <w:b/>
          <w:lang w:val="en-GB"/>
        </w:rPr>
        <w:t>d. Intervention logic</w:t>
      </w:r>
    </w:p>
    <w:p w:rsidR="00223D5E" w:rsidRDefault="00223D5E" w:rsidP="000B75F4">
      <w:pPr>
        <w:rPr>
          <w:lang w:val="en-GB"/>
        </w:rPr>
      </w:pPr>
      <w:r>
        <w:rPr>
          <w:lang w:val="en-GB"/>
        </w:rPr>
        <w:t>In the agricultural sector EKN works along three lines: (i) Support to joint donor-donor government programmes where possible; (ii) Innovative and institutional strengthening programmes where necessary (including activities in the field of sustainable land management); and (iii) Public Private Partnerships between the Netherlands and Ethiopia where a special relationship exists (horticulture, dairy, oilseeds and the seed sector).</w:t>
      </w:r>
    </w:p>
    <w:p w:rsidR="00223D5E" w:rsidRDefault="00223D5E" w:rsidP="000B75F4">
      <w:pPr>
        <w:rPr>
          <w:lang w:val="en-GB"/>
        </w:rPr>
      </w:pPr>
    </w:p>
    <w:p w:rsidR="00633F8F" w:rsidRDefault="008D7B7F" w:rsidP="00080B0D">
      <w:pPr>
        <w:rPr>
          <w:lang w:val="en-GB"/>
        </w:rPr>
      </w:pPr>
      <w:r>
        <w:rPr>
          <w:lang w:val="en-GB"/>
        </w:rPr>
        <w:t xml:space="preserve">EKN has been in the lead in 2006 </w:t>
      </w:r>
      <w:r w:rsidR="00AE7BC6">
        <w:rPr>
          <w:lang w:val="en-GB"/>
        </w:rPr>
        <w:t>setting up the RED</w:t>
      </w:r>
      <w:r>
        <w:rPr>
          <w:lang w:val="en-GB"/>
        </w:rPr>
        <w:t xml:space="preserve"> FS</w:t>
      </w:r>
      <w:r w:rsidR="00AE7BC6">
        <w:rPr>
          <w:lang w:val="en-GB"/>
        </w:rPr>
        <w:t xml:space="preserve"> Sector Working group. T</w:t>
      </w:r>
      <w:r w:rsidR="000B75F4">
        <w:rPr>
          <w:lang w:val="en-GB"/>
        </w:rPr>
        <w:t xml:space="preserve">his </w:t>
      </w:r>
      <w:r w:rsidR="00223D5E">
        <w:rPr>
          <w:lang w:val="en-GB"/>
        </w:rPr>
        <w:t xml:space="preserve">has </w:t>
      </w:r>
      <w:r w:rsidR="000B75F4">
        <w:rPr>
          <w:lang w:val="en-GB"/>
        </w:rPr>
        <w:t>turned out to be</w:t>
      </w:r>
      <w:r w:rsidR="00AE7BC6">
        <w:rPr>
          <w:lang w:val="en-GB"/>
        </w:rPr>
        <w:t xml:space="preserve"> a well function</w:t>
      </w:r>
      <w:r w:rsidR="000B75F4">
        <w:rPr>
          <w:lang w:val="en-GB"/>
        </w:rPr>
        <w:t xml:space="preserve">ing </w:t>
      </w:r>
      <w:r w:rsidR="00223D5E">
        <w:rPr>
          <w:lang w:val="en-GB"/>
        </w:rPr>
        <w:t>g</w:t>
      </w:r>
      <w:r w:rsidR="000B75F4">
        <w:rPr>
          <w:lang w:val="en-GB"/>
        </w:rPr>
        <w:t xml:space="preserve">overnment-donor policy dialogue </w:t>
      </w:r>
      <w:r w:rsidR="00223D5E">
        <w:rPr>
          <w:lang w:val="en-GB"/>
        </w:rPr>
        <w:t>and implementation structure</w:t>
      </w:r>
      <w:r>
        <w:rPr>
          <w:lang w:val="en-GB"/>
        </w:rPr>
        <w:t xml:space="preserve">. </w:t>
      </w:r>
      <w:r w:rsidR="000B75F4">
        <w:rPr>
          <w:lang w:val="en-GB"/>
        </w:rPr>
        <w:t>The Sector Working Group has been instrumental in the developm</w:t>
      </w:r>
      <w:r w:rsidR="00563DB1">
        <w:rPr>
          <w:lang w:val="en-GB"/>
        </w:rPr>
        <w:t>ent of the Agricultural Growth P</w:t>
      </w:r>
      <w:r w:rsidR="000B75F4">
        <w:rPr>
          <w:lang w:val="en-GB"/>
        </w:rPr>
        <w:t xml:space="preserve">rogramme and its Investment Framework. Besides, EKN </w:t>
      </w:r>
      <w:r w:rsidR="00633F8F">
        <w:rPr>
          <w:lang w:val="en-GB"/>
        </w:rPr>
        <w:t>started in</w:t>
      </w:r>
      <w:r w:rsidR="005F5D50">
        <w:rPr>
          <w:lang w:val="en-GB"/>
        </w:rPr>
        <w:t xml:space="preserve"> 2006</w:t>
      </w:r>
      <w:r w:rsidR="000B75F4">
        <w:rPr>
          <w:lang w:val="en-GB"/>
        </w:rPr>
        <w:t xml:space="preserve"> with the fielding of an Agricultural Cou</w:t>
      </w:r>
      <w:r w:rsidR="00223D5E">
        <w:rPr>
          <w:lang w:val="en-GB"/>
        </w:rPr>
        <w:t>n</w:t>
      </w:r>
      <w:r w:rsidR="000B75F4">
        <w:rPr>
          <w:lang w:val="en-GB"/>
        </w:rPr>
        <w:t>sellor</w:t>
      </w:r>
      <w:r w:rsidR="00633F8F">
        <w:rPr>
          <w:lang w:val="en-GB"/>
        </w:rPr>
        <w:t xml:space="preserve"> to develop a compreh</w:t>
      </w:r>
      <w:r w:rsidR="00520210">
        <w:rPr>
          <w:lang w:val="en-GB"/>
        </w:rPr>
        <w:t>en</w:t>
      </w:r>
      <w:r w:rsidR="00633F8F">
        <w:rPr>
          <w:lang w:val="en-GB"/>
        </w:rPr>
        <w:t>sive sup</w:t>
      </w:r>
      <w:r w:rsidR="000B75F4">
        <w:rPr>
          <w:lang w:val="en-GB"/>
        </w:rPr>
        <w:t>port programme, focussing on PPP’s.</w:t>
      </w:r>
      <w:r w:rsidR="00633F8F">
        <w:rPr>
          <w:lang w:val="en-GB"/>
        </w:rPr>
        <w:t xml:space="preserve"> In 2006 the Ethiopia</w:t>
      </w:r>
      <w:r w:rsidR="00B25498">
        <w:rPr>
          <w:lang w:val="en-GB"/>
        </w:rPr>
        <w:t>-</w:t>
      </w:r>
      <w:r w:rsidR="00633F8F">
        <w:rPr>
          <w:lang w:val="en-GB"/>
        </w:rPr>
        <w:t>Netherlan</w:t>
      </w:r>
      <w:r w:rsidR="000B75F4">
        <w:rPr>
          <w:lang w:val="en-GB"/>
        </w:rPr>
        <w:t xml:space="preserve">ds Horticulture Partnership </w:t>
      </w:r>
      <w:r w:rsidR="00633F8F">
        <w:rPr>
          <w:lang w:val="en-GB"/>
        </w:rPr>
        <w:t>star</w:t>
      </w:r>
      <w:r w:rsidR="000B75F4">
        <w:rPr>
          <w:lang w:val="en-GB"/>
        </w:rPr>
        <w:t>ted and</w:t>
      </w:r>
      <w:r w:rsidR="00633F8F">
        <w:rPr>
          <w:lang w:val="en-GB"/>
        </w:rPr>
        <w:t xml:space="preserve"> in 2008 the </w:t>
      </w:r>
      <w:r w:rsidR="00B25498">
        <w:rPr>
          <w:lang w:val="en-GB"/>
        </w:rPr>
        <w:t>P</w:t>
      </w:r>
      <w:r w:rsidR="00633F8F">
        <w:rPr>
          <w:lang w:val="en-GB"/>
        </w:rPr>
        <w:t>ublic</w:t>
      </w:r>
      <w:r w:rsidR="00B25498">
        <w:rPr>
          <w:lang w:val="en-GB"/>
        </w:rPr>
        <w:t xml:space="preserve"> </w:t>
      </w:r>
      <w:r w:rsidR="00633F8F">
        <w:rPr>
          <w:lang w:val="en-GB"/>
        </w:rPr>
        <w:t>p</w:t>
      </w:r>
      <w:r w:rsidR="00B25498">
        <w:rPr>
          <w:lang w:val="en-GB"/>
        </w:rPr>
        <w:t>Pr</w:t>
      </w:r>
      <w:r w:rsidR="00633F8F">
        <w:rPr>
          <w:lang w:val="en-GB"/>
        </w:rPr>
        <w:t>ivat</w:t>
      </w:r>
      <w:r w:rsidR="000B75F4">
        <w:rPr>
          <w:lang w:val="en-GB"/>
        </w:rPr>
        <w:t xml:space="preserve">e </w:t>
      </w:r>
      <w:r w:rsidR="00B25498">
        <w:rPr>
          <w:lang w:val="en-GB"/>
        </w:rPr>
        <w:t>P</w:t>
      </w:r>
      <w:r w:rsidR="000B75F4">
        <w:rPr>
          <w:lang w:val="en-GB"/>
        </w:rPr>
        <w:t>art</w:t>
      </w:r>
      <w:r w:rsidR="00B25498">
        <w:rPr>
          <w:lang w:val="en-GB"/>
        </w:rPr>
        <w:t>n</w:t>
      </w:r>
      <w:r w:rsidR="000B75F4">
        <w:rPr>
          <w:lang w:val="en-GB"/>
        </w:rPr>
        <w:t xml:space="preserve">ership on </w:t>
      </w:r>
      <w:r w:rsidR="00B25498">
        <w:rPr>
          <w:lang w:val="en-GB"/>
        </w:rPr>
        <w:t>O</w:t>
      </w:r>
      <w:r w:rsidR="000B75F4">
        <w:rPr>
          <w:lang w:val="en-GB"/>
        </w:rPr>
        <w:t>ilseeds. I</w:t>
      </w:r>
      <w:r w:rsidR="00633F8F">
        <w:rPr>
          <w:lang w:val="en-GB"/>
        </w:rPr>
        <w:t xml:space="preserve">n 2009 the Integrated Seed Sector Development </w:t>
      </w:r>
      <w:r w:rsidR="000B75F4">
        <w:rPr>
          <w:lang w:val="en-GB"/>
        </w:rPr>
        <w:t xml:space="preserve">Programme </w:t>
      </w:r>
      <w:r w:rsidR="00B25498">
        <w:rPr>
          <w:lang w:val="en-GB"/>
        </w:rPr>
        <w:t xml:space="preserve">commenced </w:t>
      </w:r>
      <w:r w:rsidR="000B75F4">
        <w:rPr>
          <w:lang w:val="en-GB"/>
        </w:rPr>
        <w:t>and</w:t>
      </w:r>
      <w:r w:rsidR="00520210">
        <w:rPr>
          <w:lang w:val="en-GB"/>
        </w:rPr>
        <w:t xml:space="preserve"> in 2010</w:t>
      </w:r>
      <w:r w:rsidR="000B75F4">
        <w:rPr>
          <w:lang w:val="en-GB"/>
        </w:rPr>
        <w:t xml:space="preserve"> a </w:t>
      </w:r>
      <w:r w:rsidR="00B25498">
        <w:rPr>
          <w:lang w:val="en-GB"/>
        </w:rPr>
        <w:t>d</w:t>
      </w:r>
      <w:r w:rsidR="00633F8F">
        <w:rPr>
          <w:lang w:val="en-GB"/>
        </w:rPr>
        <w:t xml:space="preserve">airy </w:t>
      </w:r>
      <w:r w:rsidR="00B25498">
        <w:rPr>
          <w:lang w:val="en-GB"/>
        </w:rPr>
        <w:t xml:space="preserve">development programme has been </w:t>
      </w:r>
      <w:r w:rsidR="00520210">
        <w:rPr>
          <w:lang w:val="en-GB"/>
        </w:rPr>
        <w:t xml:space="preserve">prepared which </w:t>
      </w:r>
      <w:r w:rsidR="00B25498">
        <w:rPr>
          <w:lang w:val="en-GB"/>
        </w:rPr>
        <w:t xml:space="preserve">will </w:t>
      </w:r>
      <w:r w:rsidR="00633F8F">
        <w:rPr>
          <w:lang w:val="en-GB"/>
        </w:rPr>
        <w:t>start</w:t>
      </w:r>
      <w:r w:rsidR="00520210">
        <w:rPr>
          <w:lang w:val="en-GB"/>
        </w:rPr>
        <w:t xml:space="preserve"> in 2011</w:t>
      </w:r>
      <w:r w:rsidR="000B75F4">
        <w:rPr>
          <w:lang w:val="en-GB"/>
        </w:rPr>
        <w:t xml:space="preserve">. The NICHE programme on </w:t>
      </w:r>
      <w:r w:rsidR="00B25498">
        <w:rPr>
          <w:lang w:val="en-GB"/>
        </w:rPr>
        <w:t>a</w:t>
      </w:r>
      <w:r w:rsidR="000B75F4">
        <w:rPr>
          <w:lang w:val="en-GB"/>
        </w:rPr>
        <w:t xml:space="preserve">gri-business and </w:t>
      </w:r>
      <w:r w:rsidR="00B25498">
        <w:rPr>
          <w:lang w:val="en-GB"/>
        </w:rPr>
        <w:t>value-c</w:t>
      </w:r>
      <w:r w:rsidR="000B75F4">
        <w:rPr>
          <w:lang w:val="en-GB"/>
        </w:rPr>
        <w:t xml:space="preserve">hain </w:t>
      </w:r>
      <w:r w:rsidR="00B25498">
        <w:rPr>
          <w:lang w:val="en-GB"/>
        </w:rPr>
        <w:t>d</w:t>
      </w:r>
      <w:r w:rsidR="000B75F4">
        <w:rPr>
          <w:lang w:val="en-GB"/>
        </w:rPr>
        <w:t xml:space="preserve">evelopment </w:t>
      </w:r>
      <w:r w:rsidR="00B25498">
        <w:rPr>
          <w:lang w:val="en-GB"/>
        </w:rPr>
        <w:t xml:space="preserve">has </w:t>
      </w:r>
      <w:r w:rsidR="000B75F4">
        <w:rPr>
          <w:lang w:val="en-GB"/>
        </w:rPr>
        <w:t>started at four universities</w:t>
      </w:r>
      <w:r w:rsidR="00B25498">
        <w:rPr>
          <w:lang w:val="en-GB"/>
        </w:rPr>
        <w:t xml:space="preserve"> and two Agricultural Colleges (TVETs) are following in 2011</w:t>
      </w:r>
      <w:r w:rsidR="000B75F4">
        <w:rPr>
          <w:lang w:val="en-GB"/>
        </w:rPr>
        <w:t>. Finally</w:t>
      </w:r>
      <w:r w:rsidR="00520210">
        <w:rPr>
          <w:lang w:val="en-GB"/>
        </w:rPr>
        <w:t xml:space="preserve">, a comprehensive knowledge and extension programme on </w:t>
      </w:r>
      <w:r w:rsidR="000B75F4">
        <w:rPr>
          <w:lang w:val="en-GB"/>
        </w:rPr>
        <w:t>up</w:t>
      </w:r>
      <w:r w:rsidR="00520210">
        <w:rPr>
          <w:lang w:val="en-GB"/>
        </w:rPr>
        <w:t>scaling</w:t>
      </w:r>
      <w:r w:rsidR="000B75F4">
        <w:rPr>
          <w:lang w:val="en-GB"/>
        </w:rPr>
        <w:t xml:space="preserve"> </w:t>
      </w:r>
      <w:r w:rsidR="00B25498">
        <w:rPr>
          <w:lang w:val="en-GB"/>
        </w:rPr>
        <w:t xml:space="preserve">of </w:t>
      </w:r>
      <w:r w:rsidR="007221E4">
        <w:rPr>
          <w:lang w:val="en-GB"/>
        </w:rPr>
        <w:t xml:space="preserve">AGP-related </w:t>
      </w:r>
      <w:r w:rsidR="000B75F4">
        <w:rPr>
          <w:lang w:val="en-GB"/>
        </w:rPr>
        <w:t>evidence-based</w:t>
      </w:r>
      <w:r w:rsidR="007221E4">
        <w:rPr>
          <w:lang w:val="en-GB"/>
        </w:rPr>
        <w:t xml:space="preserve"> practices has been initiated </w:t>
      </w:r>
      <w:r w:rsidR="000B75F4">
        <w:rPr>
          <w:lang w:val="en-GB"/>
        </w:rPr>
        <w:t>by EKN</w:t>
      </w:r>
      <w:r w:rsidR="00520210">
        <w:rPr>
          <w:lang w:val="en-GB"/>
        </w:rPr>
        <w:t xml:space="preserve">. </w:t>
      </w:r>
      <w:r w:rsidR="000B75F4">
        <w:rPr>
          <w:lang w:val="en-GB"/>
        </w:rPr>
        <w:t xml:space="preserve"> </w:t>
      </w:r>
    </w:p>
    <w:p w:rsidR="000B75F4" w:rsidRDefault="000B75F4" w:rsidP="00080B0D">
      <w:pPr>
        <w:rPr>
          <w:lang w:val="en-GB"/>
        </w:rPr>
      </w:pPr>
    </w:p>
    <w:p w:rsidR="00080B0D" w:rsidRDefault="00080B0D" w:rsidP="00080B0D">
      <w:pPr>
        <w:rPr>
          <w:lang w:val="en-GB"/>
        </w:rPr>
      </w:pPr>
      <w:r>
        <w:rPr>
          <w:lang w:val="en-GB"/>
        </w:rPr>
        <w:t>EKN invest</w:t>
      </w:r>
      <w:r w:rsidR="00B25498">
        <w:rPr>
          <w:lang w:val="en-GB"/>
        </w:rPr>
        <w:t>s</w:t>
      </w:r>
      <w:r>
        <w:rPr>
          <w:lang w:val="en-GB"/>
        </w:rPr>
        <w:t xml:space="preserve"> appro</w:t>
      </w:r>
      <w:r w:rsidR="005F5D50">
        <w:rPr>
          <w:lang w:val="en-GB"/>
        </w:rPr>
        <w:t>ximately</w:t>
      </w:r>
      <w:r>
        <w:rPr>
          <w:lang w:val="en-GB"/>
        </w:rPr>
        <w:t xml:space="preserve"> 25%</w:t>
      </w:r>
      <w:proofErr w:type="gramStart"/>
      <w:r>
        <w:rPr>
          <w:lang w:val="en-GB"/>
        </w:rPr>
        <w:t>  of</w:t>
      </w:r>
      <w:proofErr w:type="gramEnd"/>
      <w:r>
        <w:rPr>
          <w:lang w:val="en-GB"/>
        </w:rPr>
        <w:t xml:space="preserve"> its yearly budget in </w:t>
      </w:r>
      <w:r w:rsidR="00B25498">
        <w:rPr>
          <w:lang w:val="en-GB"/>
        </w:rPr>
        <w:t>the</w:t>
      </w:r>
      <w:r>
        <w:rPr>
          <w:lang w:val="en-GB"/>
        </w:rPr>
        <w:t xml:space="preserve"> Productive Safety Net</w:t>
      </w:r>
      <w:r w:rsidR="00375DF5">
        <w:rPr>
          <w:lang w:val="en-GB"/>
        </w:rPr>
        <w:t xml:space="preserve"> </w:t>
      </w:r>
      <w:r w:rsidR="00B25498">
        <w:rPr>
          <w:lang w:val="en-GB"/>
        </w:rPr>
        <w:t xml:space="preserve">Programme </w:t>
      </w:r>
      <w:r w:rsidR="00375DF5">
        <w:rPr>
          <w:lang w:val="en-GB"/>
        </w:rPr>
        <w:t>(PNSP)</w:t>
      </w:r>
      <w:r>
        <w:rPr>
          <w:lang w:val="en-GB"/>
        </w:rPr>
        <w:t xml:space="preserve">, </w:t>
      </w:r>
      <w:r w:rsidR="00375DF5">
        <w:rPr>
          <w:lang w:val="en-GB"/>
        </w:rPr>
        <w:t xml:space="preserve">a </w:t>
      </w:r>
      <w:r>
        <w:rPr>
          <w:lang w:val="en-GB"/>
        </w:rPr>
        <w:t xml:space="preserve">multi-donor programme with the ultimate goal of eliminating food dependency for </w:t>
      </w:r>
      <w:r w:rsidR="00B25498">
        <w:rPr>
          <w:lang w:val="en-GB"/>
        </w:rPr>
        <w:t xml:space="preserve">around 7 </w:t>
      </w:r>
      <w:r>
        <w:rPr>
          <w:lang w:val="en-GB"/>
        </w:rPr>
        <w:t>million people.</w:t>
      </w:r>
      <w:r w:rsidR="000B75F4">
        <w:rPr>
          <w:lang w:val="en-GB"/>
        </w:rPr>
        <w:t xml:space="preserve"> </w:t>
      </w:r>
      <w:r w:rsidR="00563DB1">
        <w:rPr>
          <w:lang w:val="en-GB"/>
        </w:rPr>
        <w:t xml:space="preserve">EKN intends to contribute considerably to the AGP, benefitting from its experiences in the PPP’s and other </w:t>
      </w:r>
      <w:r w:rsidR="00B25498">
        <w:rPr>
          <w:lang w:val="en-GB"/>
        </w:rPr>
        <w:t>projects</w:t>
      </w:r>
      <w:r w:rsidR="00563DB1">
        <w:rPr>
          <w:lang w:val="en-GB"/>
        </w:rPr>
        <w:t xml:space="preserve">, </w:t>
      </w:r>
      <w:r w:rsidR="00B25498">
        <w:rPr>
          <w:lang w:val="en-GB"/>
        </w:rPr>
        <w:t xml:space="preserve">like SNV’s </w:t>
      </w:r>
      <w:r w:rsidR="00563DB1">
        <w:rPr>
          <w:lang w:val="en-GB"/>
        </w:rPr>
        <w:t>BOAM</w:t>
      </w:r>
      <w:r w:rsidR="00B25498">
        <w:rPr>
          <w:lang w:val="en-GB"/>
        </w:rPr>
        <w:t xml:space="preserve"> (Business Organisations and Access to Markets) </w:t>
      </w:r>
      <w:r w:rsidR="00563DB1">
        <w:rPr>
          <w:lang w:val="en-GB"/>
        </w:rPr>
        <w:t>programme.</w:t>
      </w:r>
    </w:p>
    <w:p w:rsidR="00563DB1" w:rsidRDefault="00563DB1" w:rsidP="00080B0D">
      <w:pPr>
        <w:rPr>
          <w:lang w:val="en-GB"/>
        </w:rPr>
      </w:pPr>
    </w:p>
    <w:p w:rsidR="00080B0D" w:rsidRDefault="00080B0D" w:rsidP="00080B0D">
      <w:pPr>
        <w:rPr>
          <w:lang w:val="en-GB"/>
        </w:rPr>
      </w:pPr>
      <w:r>
        <w:rPr>
          <w:lang w:val="en-GB"/>
        </w:rPr>
        <w:t xml:space="preserve">The </w:t>
      </w:r>
      <w:r w:rsidR="00B25498">
        <w:rPr>
          <w:lang w:val="en-GB"/>
        </w:rPr>
        <w:t xml:space="preserve">rationale </w:t>
      </w:r>
      <w:r>
        <w:rPr>
          <w:lang w:val="en-GB"/>
        </w:rPr>
        <w:t xml:space="preserve">for this shift </w:t>
      </w:r>
      <w:r w:rsidR="00B25498">
        <w:rPr>
          <w:lang w:val="en-GB"/>
        </w:rPr>
        <w:t xml:space="preserve">is </w:t>
      </w:r>
      <w:r>
        <w:rPr>
          <w:lang w:val="en-GB"/>
        </w:rPr>
        <w:t>the succes</w:t>
      </w:r>
      <w:r w:rsidR="00B25498">
        <w:rPr>
          <w:lang w:val="en-GB"/>
        </w:rPr>
        <w:t>s</w:t>
      </w:r>
      <w:r>
        <w:rPr>
          <w:lang w:val="en-GB"/>
        </w:rPr>
        <w:t xml:space="preserve">ful agricultural </w:t>
      </w:r>
      <w:r w:rsidR="00B25498">
        <w:rPr>
          <w:lang w:val="en-GB"/>
        </w:rPr>
        <w:t xml:space="preserve">agenda </w:t>
      </w:r>
      <w:r>
        <w:rPr>
          <w:lang w:val="en-GB"/>
        </w:rPr>
        <w:t>initiated by EKN since 2006</w:t>
      </w:r>
      <w:r w:rsidR="00B25498">
        <w:rPr>
          <w:lang w:val="en-GB"/>
        </w:rPr>
        <w:t xml:space="preserve">. In addition, the </w:t>
      </w:r>
      <w:r>
        <w:rPr>
          <w:lang w:val="en-GB"/>
        </w:rPr>
        <w:t>AGP</w:t>
      </w:r>
      <w:r w:rsidR="00B25498">
        <w:rPr>
          <w:lang w:val="en-GB"/>
        </w:rPr>
        <w:t xml:space="preserve"> has created a window of opportunity that can be well complemented by</w:t>
      </w:r>
      <w:r>
        <w:rPr>
          <w:lang w:val="en-GB"/>
        </w:rPr>
        <w:t xml:space="preserve"> intensification</w:t>
      </w:r>
      <w:r w:rsidR="00B25498">
        <w:rPr>
          <w:lang w:val="en-GB"/>
        </w:rPr>
        <w:t xml:space="preserve"> in the field of d</w:t>
      </w:r>
      <w:r>
        <w:rPr>
          <w:lang w:val="en-GB"/>
        </w:rPr>
        <w:t xml:space="preserve">airy </w:t>
      </w:r>
      <w:r w:rsidR="00B25498">
        <w:rPr>
          <w:lang w:val="en-GB"/>
        </w:rPr>
        <w:t xml:space="preserve">development </w:t>
      </w:r>
      <w:r>
        <w:rPr>
          <w:lang w:val="en-GB"/>
        </w:rPr>
        <w:t xml:space="preserve">and </w:t>
      </w:r>
      <w:r w:rsidR="00B25498">
        <w:rPr>
          <w:lang w:val="en-GB"/>
        </w:rPr>
        <w:t xml:space="preserve">support to evidence based </w:t>
      </w:r>
      <w:r>
        <w:rPr>
          <w:lang w:val="en-GB"/>
        </w:rPr>
        <w:t>best practices</w:t>
      </w:r>
      <w:r w:rsidR="005F5D50">
        <w:rPr>
          <w:lang w:val="en-GB"/>
        </w:rPr>
        <w:t xml:space="preserve">. </w:t>
      </w:r>
      <w:r>
        <w:rPr>
          <w:lang w:val="en-GB"/>
        </w:rPr>
        <w:t xml:space="preserve">The Netherlands </w:t>
      </w:r>
      <w:proofErr w:type="gramStart"/>
      <w:r>
        <w:rPr>
          <w:lang w:val="en-GB"/>
        </w:rPr>
        <w:t>agri(</w:t>
      </w:r>
      <w:proofErr w:type="gramEnd"/>
      <w:r>
        <w:rPr>
          <w:lang w:val="en-GB"/>
        </w:rPr>
        <w:t>business) sector has proven</w:t>
      </w:r>
      <w:r w:rsidR="00563DB1">
        <w:rPr>
          <w:lang w:val="en-GB"/>
        </w:rPr>
        <w:t xml:space="preserve"> to have</w:t>
      </w:r>
      <w:r>
        <w:rPr>
          <w:lang w:val="en-GB"/>
        </w:rPr>
        <w:t xml:space="preserve"> a comparative advantage for business and  </w:t>
      </w:r>
      <w:r w:rsidR="0010740B">
        <w:rPr>
          <w:lang w:val="en-GB"/>
        </w:rPr>
        <w:t xml:space="preserve">public private </w:t>
      </w:r>
      <w:r>
        <w:rPr>
          <w:lang w:val="en-GB"/>
        </w:rPr>
        <w:t>partnerships in Ethiopia</w:t>
      </w:r>
      <w:r w:rsidR="0010740B">
        <w:rPr>
          <w:lang w:val="en-GB"/>
        </w:rPr>
        <w:t xml:space="preserve">. This strongly </w:t>
      </w:r>
      <w:r w:rsidR="00563DB1">
        <w:rPr>
          <w:lang w:val="en-GB"/>
        </w:rPr>
        <w:t>contributes</w:t>
      </w:r>
      <w:r>
        <w:rPr>
          <w:lang w:val="en-GB"/>
        </w:rPr>
        <w:t xml:space="preserve"> to increased </w:t>
      </w:r>
      <w:r w:rsidR="0010740B">
        <w:rPr>
          <w:lang w:val="en-GB"/>
        </w:rPr>
        <w:t xml:space="preserve">institutional </w:t>
      </w:r>
      <w:r>
        <w:rPr>
          <w:lang w:val="en-GB"/>
        </w:rPr>
        <w:t xml:space="preserve">capacity, </w:t>
      </w:r>
      <w:r w:rsidR="0010740B">
        <w:rPr>
          <w:lang w:val="en-GB"/>
        </w:rPr>
        <w:t xml:space="preserve">agricultural </w:t>
      </w:r>
      <w:r>
        <w:rPr>
          <w:lang w:val="en-GB"/>
        </w:rPr>
        <w:t xml:space="preserve">production and </w:t>
      </w:r>
      <w:r w:rsidR="0010740B">
        <w:rPr>
          <w:lang w:val="en-GB"/>
        </w:rPr>
        <w:t xml:space="preserve">economic </w:t>
      </w:r>
      <w:r>
        <w:rPr>
          <w:lang w:val="en-GB"/>
        </w:rPr>
        <w:t xml:space="preserve">growth. </w:t>
      </w:r>
    </w:p>
    <w:p w:rsidR="005F5D50" w:rsidRDefault="005F5D50" w:rsidP="00080B0D">
      <w:pPr>
        <w:rPr>
          <w:b/>
          <w:bCs/>
          <w:lang w:val="en-GB"/>
        </w:rPr>
      </w:pPr>
    </w:p>
    <w:p w:rsidR="0010740B" w:rsidRPr="0010740B" w:rsidRDefault="0010740B" w:rsidP="00080B0D">
      <w:pPr>
        <w:rPr>
          <w:bCs/>
          <w:lang w:val="en-GB"/>
        </w:rPr>
      </w:pPr>
      <w:r w:rsidRPr="0010740B">
        <w:rPr>
          <w:bCs/>
          <w:lang w:val="en-GB"/>
        </w:rPr>
        <w:t xml:space="preserve">As </w:t>
      </w:r>
      <w:r>
        <w:rPr>
          <w:bCs/>
          <w:lang w:val="en-GB"/>
        </w:rPr>
        <w:t xml:space="preserve">a crosscutting issue the sustainable land management activities contribute to better land use planning and management of natural resources in specifically important areas of Ethiopia (Central Rift Valley, Gambella, </w:t>
      </w:r>
      <w:proofErr w:type="gramStart"/>
      <w:r>
        <w:rPr>
          <w:bCs/>
          <w:lang w:val="en-GB"/>
        </w:rPr>
        <w:t>Bale</w:t>
      </w:r>
      <w:proofErr w:type="gramEnd"/>
      <w:r>
        <w:rPr>
          <w:bCs/>
          <w:lang w:val="en-GB"/>
        </w:rPr>
        <w:t xml:space="preserve"> Mountains). These areas are crucial for the long term, sustainable use of land and water resources.</w:t>
      </w:r>
    </w:p>
    <w:p w:rsidR="003E163C" w:rsidRDefault="003E163C" w:rsidP="00080B0D">
      <w:pPr>
        <w:rPr>
          <w:b/>
          <w:bCs/>
          <w:lang w:val="en-GB"/>
        </w:rPr>
      </w:pPr>
    </w:p>
    <w:p w:rsidR="00080B0D" w:rsidRDefault="00080B0D" w:rsidP="00080B0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2. RESULTS AND LESSONS LEARNED </w:t>
      </w:r>
    </w:p>
    <w:p w:rsidR="00080B0D" w:rsidRPr="0010740B" w:rsidRDefault="00080B0D" w:rsidP="00080B0D">
      <w:pPr>
        <w:rPr>
          <w:b/>
          <w:lang w:val="en-GB"/>
        </w:rPr>
      </w:pPr>
      <w:r w:rsidRPr="0010740B">
        <w:rPr>
          <w:b/>
          <w:bCs/>
          <w:lang w:val="en-GB"/>
        </w:rPr>
        <w:t>a. W</w:t>
      </w:r>
      <w:r w:rsidRPr="0010740B">
        <w:rPr>
          <w:b/>
          <w:lang w:val="en-GB"/>
        </w:rPr>
        <w:t xml:space="preserve">hat was achieved and why? What made it happen? </w:t>
      </w:r>
    </w:p>
    <w:p w:rsidR="00080B0D" w:rsidRDefault="00080B0D" w:rsidP="00080B0D">
      <w:pPr>
        <w:rPr>
          <w:lang w:val="en-GB"/>
        </w:rPr>
      </w:pPr>
      <w:r>
        <w:rPr>
          <w:lang w:val="en-GB"/>
        </w:rPr>
        <w:t> </w:t>
      </w:r>
    </w:p>
    <w:p w:rsidR="00754FD0" w:rsidRDefault="00A01175" w:rsidP="00080B0D">
      <w:pPr>
        <w:rPr>
          <w:lang w:val="en-GB"/>
        </w:rPr>
      </w:pPr>
      <w:r>
        <w:rPr>
          <w:lang w:val="en-GB"/>
        </w:rPr>
        <w:t>The intervention</w:t>
      </w:r>
      <w:r w:rsidR="00C30D16">
        <w:rPr>
          <w:lang w:val="en-GB"/>
        </w:rPr>
        <w:t>s</w:t>
      </w:r>
      <w:r>
        <w:rPr>
          <w:lang w:val="en-GB"/>
        </w:rPr>
        <w:t xml:space="preserve"> have resulted in </w:t>
      </w:r>
      <w:r w:rsidR="0010740B">
        <w:rPr>
          <w:lang w:val="en-GB"/>
        </w:rPr>
        <w:t xml:space="preserve">an </w:t>
      </w:r>
      <w:r>
        <w:rPr>
          <w:lang w:val="en-GB"/>
        </w:rPr>
        <w:t>increase in employment (</w:t>
      </w:r>
      <w:r w:rsidR="00152BE2">
        <w:rPr>
          <w:lang w:val="en-GB"/>
        </w:rPr>
        <w:t>e</w:t>
      </w:r>
      <w:r>
        <w:rPr>
          <w:lang w:val="en-GB"/>
        </w:rPr>
        <w:t xml:space="preserve">specially in horticulture, employing now more than 50.000 people), more economic </w:t>
      </w:r>
      <w:r w:rsidR="00152BE2">
        <w:rPr>
          <w:lang w:val="en-GB"/>
        </w:rPr>
        <w:t xml:space="preserve">growth, </w:t>
      </w:r>
      <w:r w:rsidR="00520210">
        <w:rPr>
          <w:lang w:val="en-GB"/>
        </w:rPr>
        <w:t>more foreign ex</w:t>
      </w:r>
      <w:r w:rsidR="0010740B">
        <w:rPr>
          <w:lang w:val="en-GB"/>
        </w:rPr>
        <w:t>c</w:t>
      </w:r>
      <w:r>
        <w:rPr>
          <w:lang w:val="en-GB"/>
        </w:rPr>
        <w:t xml:space="preserve">hange </w:t>
      </w:r>
      <w:r w:rsidR="00152BE2">
        <w:rPr>
          <w:lang w:val="en-GB"/>
        </w:rPr>
        <w:t xml:space="preserve">income </w:t>
      </w:r>
      <w:r>
        <w:rPr>
          <w:lang w:val="en-GB"/>
        </w:rPr>
        <w:t>(</w:t>
      </w:r>
      <w:r w:rsidR="00152BE2">
        <w:rPr>
          <w:lang w:val="en-GB"/>
        </w:rPr>
        <w:t>from vege</w:t>
      </w:r>
      <w:r>
        <w:rPr>
          <w:lang w:val="en-GB"/>
        </w:rPr>
        <w:t xml:space="preserve">tables, flowers, oilseeds) and </w:t>
      </w:r>
      <w:r w:rsidR="00152BE2">
        <w:rPr>
          <w:lang w:val="en-GB"/>
        </w:rPr>
        <w:t xml:space="preserve">better equipped and able </w:t>
      </w:r>
      <w:r>
        <w:rPr>
          <w:lang w:val="en-GB"/>
        </w:rPr>
        <w:t xml:space="preserve">management </w:t>
      </w:r>
      <w:r w:rsidR="00152BE2">
        <w:rPr>
          <w:lang w:val="en-GB"/>
        </w:rPr>
        <w:t>staff in commercial enterprises.</w:t>
      </w:r>
      <w:r w:rsidR="00C30D16">
        <w:rPr>
          <w:lang w:val="en-GB"/>
        </w:rPr>
        <w:t xml:space="preserve"> 80% of the floriculture farms have successfully </w:t>
      </w:r>
      <w:r w:rsidR="00152BE2">
        <w:rPr>
          <w:lang w:val="en-GB"/>
        </w:rPr>
        <w:t>passed the audit</w:t>
      </w:r>
      <w:r w:rsidR="00C30D16">
        <w:rPr>
          <w:lang w:val="en-GB"/>
        </w:rPr>
        <w:t xml:space="preserve"> for the Code of Practice</w:t>
      </w:r>
      <w:r w:rsidR="00152BE2">
        <w:rPr>
          <w:lang w:val="en-GB"/>
        </w:rPr>
        <w:t xml:space="preserve">, which was developed at the request of </w:t>
      </w:r>
      <w:r w:rsidR="0010740B">
        <w:rPr>
          <w:lang w:val="en-GB"/>
        </w:rPr>
        <w:t xml:space="preserve">the </w:t>
      </w:r>
      <w:r w:rsidR="00152BE2">
        <w:rPr>
          <w:lang w:val="en-GB"/>
        </w:rPr>
        <w:t>G</w:t>
      </w:r>
      <w:r w:rsidR="0010740B">
        <w:rPr>
          <w:lang w:val="en-GB"/>
        </w:rPr>
        <w:t xml:space="preserve">overnment of </w:t>
      </w:r>
      <w:r w:rsidR="00152BE2">
        <w:rPr>
          <w:lang w:val="en-GB"/>
        </w:rPr>
        <w:t>E</w:t>
      </w:r>
      <w:r w:rsidR="0010740B">
        <w:rPr>
          <w:lang w:val="en-GB"/>
        </w:rPr>
        <w:t>thiopia</w:t>
      </w:r>
      <w:r w:rsidR="00152BE2">
        <w:rPr>
          <w:lang w:val="en-GB"/>
        </w:rPr>
        <w:t xml:space="preserve"> </w:t>
      </w:r>
      <w:r w:rsidR="0010740B">
        <w:rPr>
          <w:lang w:val="en-GB"/>
        </w:rPr>
        <w:t xml:space="preserve">and supported by </w:t>
      </w:r>
      <w:r w:rsidR="00152BE2">
        <w:rPr>
          <w:lang w:val="en-GB"/>
        </w:rPr>
        <w:t xml:space="preserve">EKN in the framework of Corporate Social Responsibility. In the </w:t>
      </w:r>
      <w:r w:rsidR="0010740B">
        <w:rPr>
          <w:lang w:val="en-GB"/>
        </w:rPr>
        <w:t xml:space="preserve">Integrated </w:t>
      </w:r>
      <w:r w:rsidR="00152BE2">
        <w:rPr>
          <w:lang w:val="en-GB"/>
        </w:rPr>
        <w:t xml:space="preserve">Seed </w:t>
      </w:r>
      <w:r w:rsidR="0010740B">
        <w:rPr>
          <w:lang w:val="en-GB"/>
        </w:rPr>
        <w:t xml:space="preserve">Sector Development </w:t>
      </w:r>
      <w:r w:rsidR="00152BE2">
        <w:rPr>
          <w:lang w:val="en-GB"/>
        </w:rPr>
        <w:t>Programme 34</w:t>
      </w:r>
      <w:r>
        <w:rPr>
          <w:lang w:val="en-GB"/>
        </w:rPr>
        <w:t xml:space="preserve"> seed cooperative</w:t>
      </w:r>
      <w:r w:rsidR="00152BE2">
        <w:rPr>
          <w:lang w:val="en-GB"/>
        </w:rPr>
        <w:t xml:space="preserve">s, involving </w:t>
      </w:r>
      <w:r w:rsidR="000F41D5">
        <w:rPr>
          <w:lang w:val="en-GB"/>
        </w:rPr>
        <w:t xml:space="preserve">more than </w:t>
      </w:r>
      <w:r w:rsidR="00152BE2">
        <w:rPr>
          <w:lang w:val="en-GB"/>
        </w:rPr>
        <w:t>3000 farmers, have signi</w:t>
      </w:r>
      <w:r w:rsidR="000F41D5">
        <w:rPr>
          <w:lang w:val="en-GB"/>
        </w:rPr>
        <w:t>fi</w:t>
      </w:r>
      <w:r w:rsidR="00152BE2">
        <w:rPr>
          <w:lang w:val="en-GB"/>
        </w:rPr>
        <w:t>cantly improved their</w:t>
      </w:r>
      <w:r>
        <w:rPr>
          <w:lang w:val="en-GB"/>
        </w:rPr>
        <w:t xml:space="preserve"> business </w:t>
      </w:r>
      <w:r w:rsidR="00152BE2">
        <w:rPr>
          <w:lang w:val="en-GB"/>
        </w:rPr>
        <w:t>model</w:t>
      </w:r>
      <w:r>
        <w:rPr>
          <w:lang w:val="en-GB"/>
        </w:rPr>
        <w:t xml:space="preserve"> and </w:t>
      </w:r>
      <w:r w:rsidR="00152BE2">
        <w:rPr>
          <w:lang w:val="en-GB"/>
        </w:rPr>
        <w:t xml:space="preserve">the </w:t>
      </w:r>
      <w:r w:rsidR="00C30D16">
        <w:rPr>
          <w:lang w:val="en-GB"/>
        </w:rPr>
        <w:t>quality</w:t>
      </w:r>
      <w:r w:rsidR="00152BE2">
        <w:rPr>
          <w:lang w:val="en-GB"/>
        </w:rPr>
        <w:t xml:space="preserve"> </w:t>
      </w:r>
      <w:r w:rsidR="000F41D5">
        <w:rPr>
          <w:lang w:val="en-GB"/>
        </w:rPr>
        <w:t xml:space="preserve">and quantity </w:t>
      </w:r>
      <w:r w:rsidR="00152BE2">
        <w:rPr>
          <w:lang w:val="en-GB"/>
        </w:rPr>
        <w:t>of seed</w:t>
      </w:r>
      <w:r w:rsidR="000F41D5">
        <w:rPr>
          <w:lang w:val="en-GB"/>
        </w:rPr>
        <w:t xml:space="preserve"> produced</w:t>
      </w:r>
      <w:r>
        <w:rPr>
          <w:lang w:val="en-GB"/>
        </w:rPr>
        <w:t>.</w:t>
      </w:r>
      <w:r w:rsidR="00152BE2">
        <w:rPr>
          <w:lang w:val="en-GB"/>
        </w:rPr>
        <w:t xml:space="preserve"> In the framework of</w:t>
      </w:r>
      <w:r>
        <w:rPr>
          <w:lang w:val="en-GB"/>
        </w:rPr>
        <w:t xml:space="preserve"> inst</w:t>
      </w:r>
      <w:r w:rsidR="00152BE2">
        <w:rPr>
          <w:lang w:val="en-GB"/>
        </w:rPr>
        <w:t>itut</w:t>
      </w:r>
      <w:r>
        <w:rPr>
          <w:lang w:val="en-GB"/>
        </w:rPr>
        <w:t>ional strengt</w:t>
      </w:r>
      <w:r w:rsidR="00152BE2">
        <w:rPr>
          <w:lang w:val="en-GB"/>
        </w:rPr>
        <w:t>h</w:t>
      </w:r>
      <w:r w:rsidR="00C30D16">
        <w:rPr>
          <w:lang w:val="en-GB"/>
        </w:rPr>
        <w:t>ening</w:t>
      </w:r>
      <w:r>
        <w:rPr>
          <w:lang w:val="en-GB"/>
        </w:rPr>
        <w:t xml:space="preserve"> joint project</w:t>
      </w:r>
      <w:r w:rsidR="00152BE2">
        <w:rPr>
          <w:lang w:val="en-GB"/>
        </w:rPr>
        <w:t>s have been</w:t>
      </w:r>
      <w:r>
        <w:rPr>
          <w:lang w:val="en-GB"/>
        </w:rPr>
        <w:t xml:space="preserve"> implemented </w:t>
      </w:r>
      <w:r w:rsidR="00F804FE">
        <w:rPr>
          <w:lang w:val="en-GB"/>
        </w:rPr>
        <w:t xml:space="preserve">aiming at </w:t>
      </w:r>
      <w:r w:rsidR="00754FD0">
        <w:rPr>
          <w:lang w:val="en-GB"/>
        </w:rPr>
        <w:t xml:space="preserve">improving </w:t>
      </w:r>
      <w:r w:rsidR="00F804FE">
        <w:rPr>
          <w:lang w:val="en-GB"/>
        </w:rPr>
        <w:t>the seed legislation (</w:t>
      </w:r>
      <w:proofErr w:type="gramStart"/>
      <w:r w:rsidR="00754FD0">
        <w:rPr>
          <w:lang w:val="en-GB"/>
        </w:rPr>
        <w:t>breeders</w:t>
      </w:r>
      <w:proofErr w:type="gramEnd"/>
      <w:r w:rsidR="00754FD0">
        <w:rPr>
          <w:lang w:val="en-GB"/>
        </w:rPr>
        <w:t xml:space="preserve"> rights), pesticide r</w:t>
      </w:r>
      <w:r w:rsidR="00F804FE">
        <w:rPr>
          <w:lang w:val="en-GB"/>
        </w:rPr>
        <w:t>egulation and management</w:t>
      </w:r>
      <w:r w:rsidR="000F41D5">
        <w:rPr>
          <w:lang w:val="en-GB"/>
        </w:rPr>
        <w:t xml:space="preserve"> and</w:t>
      </w:r>
      <w:r w:rsidR="00F804FE">
        <w:rPr>
          <w:lang w:val="en-GB"/>
        </w:rPr>
        <w:t xml:space="preserve"> phytosani</w:t>
      </w:r>
      <w:r w:rsidR="00754FD0">
        <w:rPr>
          <w:lang w:val="en-GB"/>
        </w:rPr>
        <w:t>t</w:t>
      </w:r>
      <w:r w:rsidR="00F804FE">
        <w:rPr>
          <w:lang w:val="en-GB"/>
        </w:rPr>
        <w:t>a</w:t>
      </w:r>
      <w:r w:rsidR="00754FD0">
        <w:rPr>
          <w:lang w:val="en-GB"/>
        </w:rPr>
        <w:t>ry regulation</w:t>
      </w:r>
      <w:r w:rsidR="00F804FE">
        <w:rPr>
          <w:lang w:val="en-GB"/>
        </w:rPr>
        <w:t>.  Improve</w:t>
      </w:r>
      <w:r w:rsidR="00754FD0">
        <w:rPr>
          <w:lang w:val="en-GB"/>
        </w:rPr>
        <w:t xml:space="preserve">ment of regulation is </w:t>
      </w:r>
      <w:r w:rsidR="000F41D5">
        <w:rPr>
          <w:lang w:val="en-GB"/>
        </w:rPr>
        <w:t xml:space="preserve">often </w:t>
      </w:r>
      <w:r w:rsidR="00754FD0">
        <w:rPr>
          <w:lang w:val="en-GB"/>
        </w:rPr>
        <w:t xml:space="preserve">combined with capacity building. With </w:t>
      </w:r>
      <w:r w:rsidR="00F804FE">
        <w:rPr>
          <w:lang w:val="en-GB"/>
        </w:rPr>
        <w:t xml:space="preserve">the </w:t>
      </w:r>
      <w:r w:rsidR="00754FD0">
        <w:rPr>
          <w:lang w:val="en-GB"/>
        </w:rPr>
        <w:t>help of PSI a wide array of new agri-business</w:t>
      </w:r>
      <w:r w:rsidR="00F804FE">
        <w:rPr>
          <w:lang w:val="en-GB"/>
        </w:rPr>
        <w:t>es</w:t>
      </w:r>
      <w:r w:rsidR="00754FD0">
        <w:rPr>
          <w:lang w:val="en-GB"/>
        </w:rPr>
        <w:t xml:space="preserve"> have started</w:t>
      </w:r>
      <w:r w:rsidR="00C30D16">
        <w:rPr>
          <w:lang w:val="en-GB"/>
        </w:rPr>
        <w:t xml:space="preserve"> and/or expanded</w:t>
      </w:r>
      <w:r w:rsidR="000F41D5">
        <w:rPr>
          <w:lang w:val="en-GB"/>
        </w:rPr>
        <w:t>,</w:t>
      </w:r>
      <w:r w:rsidR="00F804FE">
        <w:rPr>
          <w:lang w:val="en-GB"/>
        </w:rPr>
        <w:t xml:space="preserve"> to mention a few:</w:t>
      </w:r>
      <w:r w:rsidR="00754FD0">
        <w:rPr>
          <w:lang w:val="en-GB"/>
        </w:rPr>
        <w:t xml:space="preserve"> a </w:t>
      </w:r>
      <w:r w:rsidR="000F41D5">
        <w:rPr>
          <w:lang w:val="en-GB"/>
        </w:rPr>
        <w:t xml:space="preserve">plant </w:t>
      </w:r>
      <w:r w:rsidR="00754FD0">
        <w:rPr>
          <w:lang w:val="en-GB"/>
        </w:rPr>
        <w:t>tissue</w:t>
      </w:r>
      <w:r w:rsidR="00F804FE">
        <w:rPr>
          <w:lang w:val="en-GB"/>
        </w:rPr>
        <w:t xml:space="preserve"> </w:t>
      </w:r>
      <w:r w:rsidR="00754FD0">
        <w:rPr>
          <w:lang w:val="en-GB"/>
        </w:rPr>
        <w:t>lab</w:t>
      </w:r>
      <w:r w:rsidR="00F804FE">
        <w:rPr>
          <w:lang w:val="en-GB"/>
        </w:rPr>
        <w:t>oratory, a value</w:t>
      </w:r>
      <w:r w:rsidR="00754FD0">
        <w:rPr>
          <w:lang w:val="en-GB"/>
        </w:rPr>
        <w:t xml:space="preserve"> </w:t>
      </w:r>
      <w:r w:rsidR="00C30D16">
        <w:rPr>
          <w:lang w:val="en-GB"/>
        </w:rPr>
        <w:t>chain of process</w:t>
      </w:r>
      <w:r w:rsidR="00F804FE">
        <w:rPr>
          <w:lang w:val="en-GB"/>
        </w:rPr>
        <w:t>ing</w:t>
      </w:r>
      <w:r w:rsidR="00C30D16">
        <w:rPr>
          <w:lang w:val="en-GB"/>
        </w:rPr>
        <w:t xml:space="preserve"> organic sesam</w:t>
      </w:r>
      <w:r w:rsidR="00F804FE">
        <w:rPr>
          <w:lang w:val="en-GB"/>
        </w:rPr>
        <w:t>e</w:t>
      </w:r>
      <w:r w:rsidR="00C30D16">
        <w:rPr>
          <w:lang w:val="en-GB"/>
        </w:rPr>
        <w:t xml:space="preserve"> </w:t>
      </w:r>
      <w:r w:rsidR="00754FD0">
        <w:rPr>
          <w:lang w:val="en-GB"/>
        </w:rPr>
        <w:t>based on smallholder production</w:t>
      </w:r>
      <w:r w:rsidR="00C30D16">
        <w:rPr>
          <w:lang w:val="en-GB"/>
        </w:rPr>
        <w:t xml:space="preserve"> and a passion fruit production and processing company</w:t>
      </w:r>
      <w:r w:rsidR="00754FD0">
        <w:rPr>
          <w:lang w:val="en-GB"/>
        </w:rPr>
        <w:t xml:space="preserve">. </w:t>
      </w:r>
    </w:p>
    <w:p w:rsidR="008E3BE9" w:rsidRPr="00F804FE" w:rsidRDefault="00F804FE" w:rsidP="00080B0D">
      <w:pPr>
        <w:rPr>
          <w:lang w:val="en-GB"/>
        </w:rPr>
      </w:pPr>
      <w:r w:rsidRPr="00F804FE">
        <w:rPr>
          <w:lang w:val="en-GB"/>
        </w:rPr>
        <w:t>I</w:t>
      </w:r>
      <w:r>
        <w:rPr>
          <w:lang w:val="en-GB"/>
        </w:rPr>
        <w:t>n the</w:t>
      </w:r>
      <w:r w:rsidRPr="00F804FE">
        <w:rPr>
          <w:lang w:val="en-GB"/>
        </w:rPr>
        <w:t xml:space="preserve"> BOAM programme, SNV has been particularly successful in </w:t>
      </w:r>
      <w:r>
        <w:rPr>
          <w:lang w:val="en-GB"/>
        </w:rPr>
        <w:t>the honey value chain, linking smallholder produce</w:t>
      </w:r>
      <w:r w:rsidR="000F41D5">
        <w:rPr>
          <w:lang w:val="en-GB"/>
        </w:rPr>
        <w:t>r</w:t>
      </w:r>
      <w:r>
        <w:rPr>
          <w:lang w:val="en-GB"/>
        </w:rPr>
        <w:t xml:space="preserve">s through local processing plants (which also provide technical assistance and improved hives) with the export market. </w:t>
      </w:r>
      <w:r w:rsidR="00375EDB">
        <w:rPr>
          <w:lang w:val="en-GB"/>
        </w:rPr>
        <w:t>Exports have gone up from just 300 tons in 2008 to 3000 tons in 2010 to the Middle East</w:t>
      </w:r>
      <w:r w:rsidR="007221E4">
        <w:rPr>
          <w:lang w:val="en-GB"/>
        </w:rPr>
        <w:t xml:space="preserve"> and the EU.  E</w:t>
      </w:r>
      <w:r w:rsidR="00375EDB">
        <w:rPr>
          <w:lang w:val="en-GB"/>
        </w:rPr>
        <w:t>xport of sesa</w:t>
      </w:r>
      <w:r w:rsidR="007221E4">
        <w:rPr>
          <w:lang w:val="en-GB"/>
        </w:rPr>
        <w:t>me</w:t>
      </w:r>
      <w:r w:rsidR="00375EDB">
        <w:rPr>
          <w:lang w:val="en-GB"/>
        </w:rPr>
        <w:t xml:space="preserve"> tripled.</w:t>
      </w:r>
    </w:p>
    <w:p w:rsidR="00633F8F" w:rsidRDefault="00633F8F" w:rsidP="00633F8F">
      <w:pPr>
        <w:rPr>
          <w:lang w:val="en-GB"/>
        </w:rPr>
      </w:pPr>
      <w:r>
        <w:rPr>
          <w:lang w:val="en-GB"/>
        </w:rPr>
        <w:t>The PSNP programme has significantly improved food security levels and strengt</w:t>
      </w:r>
      <w:r w:rsidR="000F41D5">
        <w:rPr>
          <w:lang w:val="en-GB"/>
        </w:rPr>
        <w:t>h</w:t>
      </w:r>
      <w:r>
        <w:rPr>
          <w:lang w:val="en-GB"/>
        </w:rPr>
        <w:t xml:space="preserve">ened </w:t>
      </w:r>
      <w:r w:rsidR="00375EDB">
        <w:rPr>
          <w:lang w:val="en-GB"/>
        </w:rPr>
        <w:t xml:space="preserve">the </w:t>
      </w:r>
      <w:r>
        <w:rPr>
          <w:lang w:val="en-GB"/>
        </w:rPr>
        <w:t xml:space="preserve">resilience of millions of livelihoods. </w:t>
      </w:r>
      <w:r w:rsidR="000F41D5">
        <w:rPr>
          <w:lang w:val="en-GB"/>
        </w:rPr>
        <w:t xml:space="preserve">Though graduation numbers are still below target a significant number of households have moved out of the programme to self-resiliency. </w:t>
      </w:r>
      <w:r>
        <w:rPr>
          <w:lang w:val="en-GB"/>
        </w:rPr>
        <w:t xml:space="preserve">The program also contributed to </w:t>
      </w:r>
      <w:r w:rsidR="00375EDB">
        <w:rPr>
          <w:lang w:val="en-GB"/>
        </w:rPr>
        <w:t xml:space="preserve">the </w:t>
      </w:r>
      <w:r>
        <w:rPr>
          <w:lang w:val="en-GB"/>
        </w:rPr>
        <w:t>improvement of degraded land</w:t>
      </w:r>
      <w:r w:rsidR="000F41D5">
        <w:rPr>
          <w:lang w:val="en-GB"/>
        </w:rPr>
        <w:t>s</w:t>
      </w:r>
      <w:r>
        <w:rPr>
          <w:lang w:val="en-GB"/>
        </w:rPr>
        <w:t xml:space="preserve"> and infrastructure through public works. The impressive results can b</w:t>
      </w:r>
      <w:r w:rsidR="00375EDB">
        <w:rPr>
          <w:lang w:val="en-GB"/>
        </w:rPr>
        <w:t>e a</w:t>
      </w:r>
      <w:r>
        <w:rPr>
          <w:lang w:val="en-GB"/>
        </w:rPr>
        <w:t>scribed to a number of facts</w:t>
      </w:r>
      <w:r w:rsidR="00375EDB">
        <w:rPr>
          <w:lang w:val="en-GB"/>
        </w:rPr>
        <w:t>,</w:t>
      </w:r>
      <w:r>
        <w:rPr>
          <w:lang w:val="en-GB"/>
        </w:rPr>
        <w:t xml:space="preserve"> but most important</w:t>
      </w:r>
      <w:r w:rsidR="000F41D5">
        <w:rPr>
          <w:lang w:val="en-GB"/>
        </w:rPr>
        <w:t>ly</w:t>
      </w:r>
      <w:r>
        <w:rPr>
          <w:lang w:val="en-GB"/>
        </w:rPr>
        <w:t xml:space="preserve"> </w:t>
      </w:r>
      <w:r w:rsidR="000F41D5">
        <w:rPr>
          <w:lang w:val="en-GB"/>
        </w:rPr>
        <w:t xml:space="preserve">is </w:t>
      </w:r>
      <w:r>
        <w:rPr>
          <w:lang w:val="en-GB"/>
        </w:rPr>
        <w:t>the political will</w:t>
      </w:r>
      <w:r w:rsidR="00375EDB">
        <w:rPr>
          <w:lang w:val="en-GB"/>
        </w:rPr>
        <w:t xml:space="preserve"> of </w:t>
      </w:r>
      <w:r w:rsidR="000F41D5">
        <w:rPr>
          <w:lang w:val="en-GB"/>
        </w:rPr>
        <w:t xml:space="preserve">the </w:t>
      </w:r>
      <w:r w:rsidR="00375EDB">
        <w:rPr>
          <w:lang w:val="en-GB"/>
        </w:rPr>
        <w:t>G</w:t>
      </w:r>
      <w:r w:rsidR="000F41D5">
        <w:rPr>
          <w:lang w:val="en-GB"/>
        </w:rPr>
        <w:t xml:space="preserve">overnment </w:t>
      </w:r>
      <w:r w:rsidR="00375EDB">
        <w:rPr>
          <w:lang w:val="en-GB"/>
        </w:rPr>
        <w:t>o</w:t>
      </w:r>
      <w:r w:rsidR="000F41D5">
        <w:rPr>
          <w:lang w:val="en-GB"/>
        </w:rPr>
        <w:t xml:space="preserve">f </w:t>
      </w:r>
      <w:r w:rsidR="00375EDB">
        <w:rPr>
          <w:lang w:val="en-GB"/>
        </w:rPr>
        <w:t>E</w:t>
      </w:r>
      <w:r w:rsidR="000F41D5">
        <w:rPr>
          <w:lang w:val="en-GB"/>
        </w:rPr>
        <w:t>thiopia</w:t>
      </w:r>
      <w:r>
        <w:rPr>
          <w:lang w:val="en-GB"/>
        </w:rPr>
        <w:t xml:space="preserve">, </w:t>
      </w:r>
      <w:r w:rsidR="00375EDB">
        <w:rPr>
          <w:lang w:val="en-GB"/>
        </w:rPr>
        <w:t>resulting in a</w:t>
      </w:r>
      <w:r w:rsidR="000F41D5">
        <w:rPr>
          <w:lang w:val="en-GB"/>
        </w:rPr>
        <w:t>n</w:t>
      </w:r>
      <w:r w:rsidR="00375EDB">
        <w:rPr>
          <w:lang w:val="en-GB"/>
        </w:rPr>
        <w:t xml:space="preserve"> ongoing and consistent approach, and </w:t>
      </w:r>
      <w:r>
        <w:rPr>
          <w:lang w:val="en-GB"/>
        </w:rPr>
        <w:t>the broad</w:t>
      </w:r>
      <w:r w:rsidR="00375EDB">
        <w:rPr>
          <w:lang w:val="en-GB"/>
        </w:rPr>
        <w:t xml:space="preserve">-based donor support through effective </w:t>
      </w:r>
      <w:r w:rsidR="000F41D5">
        <w:rPr>
          <w:lang w:val="en-GB"/>
        </w:rPr>
        <w:t>joint d</w:t>
      </w:r>
      <w:r w:rsidR="00375EDB">
        <w:rPr>
          <w:lang w:val="en-GB"/>
        </w:rPr>
        <w:t xml:space="preserve">onor </w:t>
      </w:r>
      <w:r w:rsidR="000F41D5">
        <w:rPr>
          <w:lang w:val="en-GB"/>
        </w:rPr>
        <w:t>government cooperation</w:t>
      </w:r>
      <w:r w:rsidR="00375EDB">
        <w:rPr>
          <w:lang w:val="en-GB"/>
        </w:rPr>
        <w:t>.</w:t>
      </w:r>
      <w:r>
        <w:rPr>
          <w:lang w:val="en-GB"/>
        </w:rPr>
        <w:t xml:space="preserve"> The relatively favourable w</w:t>
      </w:r>
      <w:r w:rsidR="007221E4">
        <w:rPr>
          <w:lang w:val="en-GB"/>
        </w:rPr>
        <w:t>eather</w:t>
      </w:r>
      <w:r>
        <w:rPr>
          <w:lang w:val="en-GB"/>
        </w:rPr>
        <w:t xml:space="preserve"> in 2010 </w:t>
      </w:r>
      <w:r w:rsidR="007221E4">
        <w:rPr>
          <w:lang w:val="en-GB"/>
        </w:rPr>
        <w:t>also was a positive</w:t>
      </w:r>
      <w:r>
        <w:rPr>
          <w:lang w:val="en-GB"/>
        </w:rPr>
        <w:t>.</w:t>
      </w:r>
    </w:p>
    <w:p w:rsidR="00080B0D" w:rsidRPr="00687F70" w:rsidRDefault="00080B0D" w:rsidP="00080B0D">
      <w:pPr>
        <w:rPr>
          <w:b/>
          <w:lang w:val="en-GB"/>
        </w:rPr>
      </w:pPr>
    </w:p>
    <w:p w:rsidR="00080B0D" w:rsidRPr="00687F70" w:rsidRDefault="00080B0D" w:rsidP="00080B0D">
      <w:pPr>
        <w:rPr>
          <w:b/>
          <w:lang w:val="en-GB"/>
        </w:rPr>
      </w:pPr>
      <w:r w:rsidRPr="00687F70">
        <w:rPr>
          <w:b/>
          <w:lang w:val="en-GB"/>
        </w:rPr>
        <w:t>b.</w:t>
      </w:r>
      <w:proofErr w:type="gramStart"/>
      <w:r w:rsidRPr="00687F70">
        <w:rPr>
          <w:b/>
          <w:lang w:val="en-GB"/>
        </w:rPr>
        <w:t>  What</w:t>
      </w:r>
      <w:proofErr w:type="gramEnd"/>
      <w:r w:rsidRPr="00687F70">
        <w:rPr>
          <w:b/>
          <w:lang w:val="en-GB"/>
        </w:rPr>
        <w:t xml:space="preserve"> went less well and why?</w:t>
      </w:r>
    </w:p>
    <w:p w:rsidR="00080B0D" w:rsidRDefault="00080B0D" w:rsidP="00080B0D">
      <w:pPr>
        <w:rPr>
          <w:lang w:val="en-GB"/>
        </w:rPr>
      </w:pPr>
      <w:r>
        <w:rPr>
          <w:lang w:val="en-GB"/>
        </w:rPr>
        <w:t>In the PSNP the number (0</w:t>
      </w:r>
      <w:proofErr w:type="gramStart"/>
      <w:r w:rsidR="000F41D5">
        <w:rPr>
          <w:lang w:val="en-GB"/>
        </w:rPr>
        <w:t>,</w:t>
      </w:r>
      <w:r>
        <w:rPr>
          <w:lang w:val="en-GB"/>
        </w:rPr>
        <w:t>3</w:t>
      </w:r>
      <w:proofErr w:type="gramEnd"/>
      <w:r w:rsidR="000F41D5">
        <w:rPr>
          <w:lang w:val="en-GB"/>
        </w:rPr>
        <w:t xml:space="preserve"> </w:t>
      </w:r>
      <w:r>
        <w:rPr>
          <w:lang w:val="en-GB"/>
        </w:rPr>
        <w:t>m</w:t>
      </w:r>
      <w:r w:rsidR="000F41D5">
        <w:rPr>
          <w:lang w:val="en-GB"/>
        </w:rPr>
        <w:t>il</w:t>
      </w:r>
      <w:r>
        <w:rPr>
          <w:lang w:val="en-GB"/>
        </w:rPr>
        <w:t>l</w:t>
      </w:r>
      <w:r w:rsidR="000F41D5">
        <w:rPr>
          <w:lang w:val="en-GB"/>
        </w:rPr>
        <w:t>io</w:t>
      </w:r>
      <w:r>
        <w:rPr>
          <w:lang w:val="en-GB"/>
        </w:rPr>
        <w:t xml:space="preserve">n) of </w:t>
      </w:r>
      <w:r w:rsidR="00F26A2C">
        <w:rPr>
          <w:lang w:val="en-GB"/>
        </w:rPr>
        <w:t>‘</w:t>
      </w:r>
      <w:r>
        <w:rPr>
          <w:lang w:val="en-GB"/>
        </w:rPr>
        <w:t>graduations</w:t>
      </w:r>
      <w:r w:rsidR="00F26A2C">
        <w:rPr>
          <w:lang w:val="en-GB"/>
        </w:rPr>
        <w:t>’</w:t>
      </w:r>
      <w:r w:rsidR="00687F70">
        <w:rPr>
          <w:lang w:val="en-GB"/>
        </w:rPr>
        <w:t xml:space="preserve"> (</w:t>
      </w:r>
      <w:r>
        <w:rPr>
          <w:lang w:val="en-GB"/>
        </w:rPr>
        <w:t>the level when households are declared self-sufficient</w:t>
      </w:r>
      <w:r w:rsidR="00687F70">
        <w:rPr>
          <w:lang w:val="en-GB"/>
        </w:rPr>
        <w:t>)</w:t>
      </w:r>
      <w:r>
        <w:rPr>
          <w:lang w:val="en-GB"/>
        </w:rPr>
        <w:t xml:space="preserve"> remained below expectations, even with favourable climat</w:t>
      </w:r>
      <w:r w:rsidR="00375DF5">
        <w:rPr>
          <w:lang w:val="en-GB"/>
        </w:rPr>
        <w:t>ic</w:t>
      </w:r>
      <w:r>
        <w:rPr>
          <w:lang w:val="en-GB"/>
        </w:rPr>
        <w:t xml:space="preserve"> conditions. </w:t>
      </w:r>
      <w:r w:rsidR="00687F70">
        <w:rPr>
          <w:lang w:val="en-GB"/>
        </w:rPr>
        <w:t>This can p</w:t>
      </w:r>
      <w:r>
        <w:rPr>
          <w:lang w:val="en-GB"/>
        </w:rPr>
        <w:t xml:space="preserve">artly </w:t>
      </w:r>
      <w:r w:rsidR="000F41D5">
        <w:rPr>
          <w:lang w:val="en-GB"/>
        </w:rPr>
        <w:t xml:space="preserve">be </w:t>
      </w:r>
      <w:r>
        <w:rPr>
          <w:lang w:val="en-GB"/>
        </w:rPr>
        <w:t>explained by unrealistic prognoses and over</w:t>
      </w:r>
      <w:r w:rsidR="00375DF5">
        <w:rPr>
          <w:lang w:val="en-GB"/>
        </w:rPr>
        <w:t>-</w:t>
      </w:r>
      <w:r>
        <w:rPr>
          <w:lang w:val="en-GB"/>
        </w:rPr>
        <w:t xml:space="preserve">ambitious objectives. The financial support for the program also remained 20% below expectations. </w:t>
      </w:r>
      <w:r w:rsidR="00AE4D25">
        <w:rPr>
          <w:lang w:val="en-GB"/>
        </w:rPr>
        <w:t>The main r</w:t>
      </w:r>
      <w:r>
        <w:rPr>
          <w:lang w:val="en-GB"/>
        </w:rPr>
        <w:t xml:space="preserve">eason for this is </w:t>
      </w:r>
      <w:r w:rsidR="00687F70">
        <w:rPr>
          <w:lang w:val="en-GB"/>
        </w:rPr>
        <w:t xml:space="preserve">the </w:t>
      </w:r>
      <w:r w:rsidR="00F26A2C">
        <w:rPr>
          <w:lang w:val="en-GB"/>
        </w:rPr>
        <w:t>financial crisis and to a lesser</w:t>
      </w:r>
      <w:r>
        <w:rPr>
          <w:lang w:val="en-GB"/>
        </w:rPr>
        <w:t xml:space="preserve"> exten</w:t>
      </w:r>
      <w:r w:rsidR="00687F70">
        <w:rPr>
          <w:lang w:val="en-GB"/>
        </w:rPr>
        <w:t>t</w:t>
      </w:r>
      <w:r w:rsidR="00F26A2C">
        <w:rPr>
          <w:lang w:val="en-GB"/>
        </w:rPr>
        <w:t xml:space="preserve"> the political context, complicated by accusations of political abuse by </w:t>
      </w:r>
      <w:r w:rsidR="00AE4D25">
        <w:rPr>
          <w:lang w:val="en-GB"/>
        </w:rPr>
        <w:t xml:space="preserve">the </w:t>
      </w:r>
      <w:r w:rsidR="00F26A2C">
        <w:rPr>
          <w:lang w:val="en-GB"/>
        </w:rPr>
        <w:t>G</w:t>
      </w:r>
      <w:r w:rsidR="00AE4D25">
        <w:rPr>
          <w:lang w:val="en-GB"/>
        </w:rPr>
        <w:t xml:space="preserve">overnment </w:t>
      </w:r>
      <w:r w:rsidR="00F26A2C">
        <w:rPr>
          <w:lang w:val="en-GB"/>
        </w:rPr>
        <w:t>o</w:t>
      </w:r>
      <w:r w:rsidR="00AE4D25">
        <w:rPr>
          <w:lang w:val="en-GB"/>
        </w:rPr>
        <w:t xml:space="preserve">f </w:t>
      </w:r>
      <w:r w:rsidR="00F26A2C">
        <w:rPr>
          <w:lang w:val="en-GB"/>
        </w:rPr>
        <w:t>E</w:t>
      </w:r>
      <w:r w:rsidR="00AE4D25">
        <w:rPr>
          <w:lang w:val="en-GB"/>
        </w:rPr>
        <w:t>thiopia</w:t>
      </w:r>
      <w:r w:rsidR="00F26A2C">
        <w:rPr>
          <w:lang w:val="en-GB"/>
        </w:rPr>
        <w:t xml:space="preserve"> of Aid (ref. the Human Rights Watch report)</w:t>
      </w:r>
      <w:r w:rsidR="00AE4D25">
        <w:rPr>
          <w:lang w:val="en-GB"/>
        </w:rPr>
        <w:t xml:space="preserve">. </w:t>
      </w:r>
      <w:r w:rsidR="00F26A2C">
        <w:rPr>
          <w:lang w:val="en-GB"/>
        </w:rPr>
        <w:t>In the JRIS (</w:t>
      </w:r>
      <w:r w:rsidR="00AE4D25">
        <w:rPr>
          <w:lang w:val="en-GB"/>
        </w:rPr>
        <w:t>Joint Review of Implementation Support</w:t>
      </w:r>
      <w:r>
        <w:rPr>
          <w:lang w:val="en-GB"/>
        </w:rPr>
        <w:t xml:space="preserve">) the delay and low quality of </w:t>
      </w:r>
      <w:proofErr w:type="gramStart"/>
      <w:r>
        <w:rPr>
          <w:lang w:val="en-GB"/>
        </w:rPr>
        <w:t>reporting  were</w:t>
      </w:r>
      <w:proofErr w:type="gramEnd"/>
      <w:r>
        <w:rPr>
          <w:lang w:val="en-GB"/>
        </w:rPr>
        <w:t xml:space="preserve"> perceived as the main constraints in the implementation. There is a serious lack of (</w:t>
      </w:r>
      <w:r w:rsidR="007221E4">
        <w:rPr>
          <w:lang w:val="en-GB"/>
        </w:rPr>
        <w:t xml:space="preserve">administrative) capacity at </w:t>
      </w:r>
      <w:r>
        <w:rPr>
          <w:lang w:val="en-GB"/>
        </w:rPr>
        <w:t xml:space="preserve">regional as well </w:t>
      </w:r>
      <w:r w:rsidR="00DE6824">
        <w:rPr>
          <w:lang w:val="en-GB"/>
        </w:rPr>
        <w:t xml:space="preserve">as </w:t>
      </w:r>
      <w:r>
        <w:rPr>
          <w:lang w:val="en-GB"/>
        </w:rPr>
        <w:t>at the federal level.  </w:t>
      </w:r>
    </w:p>
    <w:p w:rsidR="00080B0D" w:rsidRDefault="00080B0D" w:rsidP="00080B0D">
      <w:pPr>
        <w:rPr>
          <w:lang w:val="en-GB"/>
        </w:rPr>
      </w:pPr>
    </w:p>
    <w:p w:rsidR="00080B0D" w:rsidRDefault="00080B0D" w:rsidP="00080B0D">
      <w:pPr>
        <w:rPr>
          <w:lang w:val="en-GB"/>
        </w:rPr>
      </w:pPr>
      <w:r>
        <w:rPr>
          <w:lang w:val="en-GB"/>
        </w:rPr>
        <w:t>The</w:t>
      </w:r>
      <w:r w:rsidR="008E3BE9">
        <w:rPr>
          <w:lang w:val="en-GB"/>
        </w:rPr>
        <w:t xml:space="preserve"> improvement </w:t>
      </w:r>
      <w:proofErr w:type="gramStart"/>
      <w:r w:rsidR="008E3BE9">
        <w:rPr>
          <w:lang w:val="en-GB"/>
        </w:rPr>
        <w:t xml:space="preserve">in </w:t>
      </w:r>
      <w:r>
        <w:rPr>
          <w:lang w:val="en-GB"/>
        </w:rPr>
        <w:t xml:space="preserve"> PSD</w:t>
      </w:r>
      <w:proofErr w:type="gramEnd"/>
      <w:r>
        <w:rPr>
          <w:lang w:val="en-GB"/>
        </w:rPr>
        <w:t xml:space="preserve"> environment </w:t>
      </w:r>
      <w:r w:rsidR="00F26A2C">
        <w:rPr>
          <w:lang w:val="en-GB"/>
        </w:rPr>
        <w:t>is</w:t>
      </w:r>
      <w:r w:rsidR="008E3BE9">
        <w:rPr>
          <w:lang w:val="en-GB"/>
        </w:rPr>
        <w:t xml:space="preserve"> rather slow</w:t>
      </w:r>
      <w:r w:rsidR="00F26A2C">
        <w:rPr>
          <w:lang w:val="en-GB"/>
        </w:rPr>
        <w:t>. T</w:t>
      </w:r>
      <w:r w:rsidR="008E3BE9">
        <w:rPr>
          <w:lang w:val="en-GB"/>
        </w:rPr>
        <w:t>he effort</w:t>
      </w:r>
      <w:r w:rsidR="00F26A2C">
        <w:rPr>
          <w:lang w:val="en-GB"/>
        </w:rPr>
        <w:t>s to increase the tax revenue form below 10%</w:t>
      </w:r>
      <w:r w:rsidR="008E3BE9">
        <w:rPr>
          <w:lang w:val="en-GB"/>
        </w:rPr>
        <w:t xml:space="preserve"> </w:t>
      </w:r>
      <w:r w:rsidR="00F26A2C">
        <w:rPr>
          <w:lang w:val="en-GB"/>
        </w:rPr>
        <w:t>to 14 % of GDP by 2015</w:t>
      </w:r>
      <w:r w:rsidR="008E3BE9">
        <w:rPr>
          <w:lang w:val="en-GB"/>
        </w:rPr>
        <w:t xml:space="preserve"> </w:t>
      </w:r>
      <w:r w:rsidR="00F26A2C">
        <w:rPr>
          <w:lang w:val="en-GB"/>
        </w:rPr>
        <w:t xml:space="preserve">are </w:t>
      </w:r>
      <w:r w:rsidR="008E3BE9">
        <w:rPr>
          <w:lang w:val="en-GB"/>
        </w:rPr>
        <w:t>not prudently implemented</w:t>
      </w:r>
      <w:r w:rsidR="00F26A2C">
        <w:rPr>
          <w:lang w:val="en-GB"/>
        </w:rPr>
        <w:t>,</w:t>
      </w:r>
      <w:r w:rsidR="008E3BE9">
        <w:rPr>
          <w:lang w:val="en-GB"/>
        </w:rPr>
        <w:t xml:space="preserve"> </w:t>
      </w:r>
      <w:r w:rsidR="00F26A2C">
        <w:rPr>
          <w:lang w:val="en-GB"/>
        </w:rPr>
        <w:t>causing a lot of practical prob</w:t>
      </w:r>
      <w:r w:rsidR="008E3BE9">
        <w:rPr>
          <w:lang w:val="en-GB"/>
        </w:rPr>
        <w:t>lems</w:t>
      </w:r>
      <w:r w:rsidR="00F26A2C">
        <w:rPr>
          <w:lang w:val="en-GB"/>
        </w:rPr>
        <w:t xml:space="preserve">, such as </w:t>
      </w:r>
      <w:r w:rsidR="00AE4D25">
        <w:rPr>
          <w:lang w:val="en-GB"/>
        </w:rPr>
        <w:t xml:space="preserve">very bureaucratic </w:t>
      </w:r>
      <w:r w:rsidR="008E3BE9">
        <w:rPr>
          <w:lang w:val="en-GB"/>
        </w:rPr>
        <w:t>procedures around import</w:t>
      </w:r>
      <w:r w:rsidR="00AE4D25">
        <w:rPr>
          <w:lang w:val="en-GB"/>
        </w:rPr>
        <w:t>s</w:t>
      </w:r>
      <w:r w:rsidR="00F26A2C">
        <w:rPr>
          <w:lang w:val="en-GB"/>
        </w:rPr>
        <w:t>.</w:t>
      </w:r>
      <w:r>
        <w:rPr>
          <w:lang w:val="en-GB"/>
        </w:rPr>
        <w:t xml:space="preserve"> Some issue</w:t>
      </w:r>
      <w:r w:rsidR="00F26A2C">
        <w:rPr>
          <w:lang w:val="en-GB"/>
        </w:rPr>
        <w:t>s have been</w:t>
      </w:r>
      <w:r>
        <w:rPr>
          <w:lang w:val="en-GB"/>
        </w:rPr>
        <w:t xml:space="preserve"> </w:t>
      </w:r>
      <w:r w:rsidR="00F26A2C">
        <w:rPr>
          <w:lang w:val="en-GB"/>
        </w:rPr>
        <w:t>re</w:t>
      </w:r>
      <w:r>
        <w:rPr>
          <w:lang w:val="en-GB"/>
        </w:rPr>
        <w:t xml:space="preserve">solved with the intervention of </w:t>
      </w:r>
      <w:proofErr w:type="gramStart"/>
      <w:r>
        <w:rPr>
          <w:lang w:val="en-GB"/>
        </w:rPr>
        <w:t>producers</w:t>
      </w:r>
      <w:proofErr w:type="gramEnd"/>
      <w:r>
        <w:rPr>
          <w:lang w:val="en-GB"/>
        </w:rPr>
        <w:t xml:space="preserve"> organisations while for a number of structural bottlenecks the </w:t>
      </w:r>
      <w:r w:rsidR="00AE4D25">
        <w:rPr>
          <w:lang w:val="en-GB"/>
        </w:rPr>
        <w:t>E</w:t>
      </w:r>
      <w:r>
        <w:rPr>
          <w:lang w:val="en-GB"/>
        </w:rPr>
        <w:t xml:space="preserve">mbassy facilitated solutions. </w:t>
      </w:r>
    </w:p>
    <w:p w:rsidR="00F26A2C" w:rsidRDefault="00F26A2C" w:rsidP="00080B0D">
      <w:pPr>
        <w:rPr>
          <w:lang w:val="en-GB"/>
        </w:rPr>
      </w:pPr>
    </w:p>
    <w:p w:rsidR="00080B0D" w:rsidRPr="00E97508" w:rsidRDefault="00E97508" w:rsidP="00E97508">
      <w:pPr>
        <w:rPr>
          <w:b/>
          <w:lang w:val="en-GB"/>
        </w:rPr>
      </w:pPr>
      <w:r>
        <w:rPr>
          <w:b/>
          <w:lang w:val="en-GB"/>
        </w:rPr>
        <w:t xml:space="preserve">c. </w:t>
      </w:r>
      <w:r w:rsidR="00080B0D" w:rsidRPr="00E97508">
        <w:rPr>
          <w:b/>
          <w:lang w:val="en-GB"/>
        </w:rPr>
        <w:t>What has been learned?</w:t>
      </w:r>
    </w:p>
    <w:p w:rsidR="00080B0D" w:rsidRDefault="00080B0D" w:rsidP="00080B0D">
      <w:pPr>
        <w:rPr>
          <w:lang w:val="en-GB"/>
        </w:rPr>
      </w:pPr>
      <w:r>
        <w:rPr>
          <w:lang w:val="en-GB"/>
        </w:rPr>
        <w:t>The ongoing program</w:t>
      </w:r>
      <w:r w:rsidR="00AE4D25">
        <w:rPr>
          <w:lang w:val="en-GB"/>
        </w:rPr>
        <w:t>me</w:t>
      </w:r>
      <w:r>
        <w:rPr>
          <w:lang w:val="en-GB"/>
        </w:rPr>
        <w:t>s are proving that considerable change and improve</w:t>
      </w:r>
      <w:r w:rsidR="00AE4D25">
        <w:rPr>
          <w:lang w:val="en-GB"/>
        </w:rPr>
        <w:t>me</w:t>
      </w:r>
      <w:r>
        <w:rPr>
          <w:lang w:val="en-GB"/>
        </w:rPr>
        <w:t>nts towards food</w:t>
      </w:r>
      <w:r w:rsidR="00AE4D25">
        <w:rPr>
          <w:lang w:val="en-GB"/>
        </w:rPr>
        <w:t xml:space="preserve"> </w:t>
      </w:r>
      <w:r>
        <w:rPr>
          <w:lang w:val="en-GB"/>
        </w:rPr>
        <w:t xml:space="preserve">security and </w:t>
      </w:r>
      <w:r w:rsidR="00AE4D25">
        <w:rPr>
          <w:lang w:val="en-GB"/>
        </w:rPr>
        <w:t xml:space="preserve">agricultural </w:t>
      </w:r>
      <w:r>
        <w:rPr>
          <w:lang w:val="en-GB"/>
        </w:rPr>
        <w:t xml:space="preserve">growth </w:t>
      </w:r>
      <w:r w:rsidR="00DD5F1D">
        <w:rPr>
          <w:lang w:val="en-GB"/>
        </w:rPr>
        <w:t>can be made within the present political and economic</w:t>
      </w:r>
      <w:r>
        <w:rPr>
          <w:lang w:val="en-GB"/>
        </w:rPr>
        <w:t xml:space="preserve"> context. Donors have become more convinced that Ethiopia is a serious and consistent partner in eradicating poverty and achieving sustainable growth</w:t>
      </w:r>
      <w:r w:rsidR="00DD5F1D">
        <w:rPr>
          <w:lang w:val="en-GB"/>
        </w:rPr>
        <w:t>.</w:t>
      </w:r>
      <w:r>
        <w:rPr>
          <w:lang w:val="en-GB"/>
        </w:rPr>
        <w:t xml:space="preserve"> (</w:t>
      </w:r>
      <w:r w:rsidR="00DD5F1D">
        <w:rPr>
          <w:lang w:val="en-GB"/>
        </w:rPr>
        <w:t xml:space="preserve">The GTP objective is to achieve </w:t>
      </w:r>
      <w:r>
        <w:rPr>
          <w:lang w:val="en-GB"/>
        </w:rPr>
        <w:t xml:space="preserve">middle income </w:t>
      </w:r>
      <w:r w:rsidR="00DD5F1D">
        <w:rPr>
          <w:lang w:val="en-GB"/>
        </w:rPr>
        <w:t>status by 2020.)</w:t>
      </w:r>
      <w:r>
        <w:rPr>
          <w:lang w:val="en-GB"/>
        </w:rPr>
        <w:t xml:space="preserve"> However</w:t>
      </w:r>
      <w:proofErr w:type="gramStart"/>
      <w:r w:rsidR="00E97508">
        <w:rPr>
          <w:lang w:val="en-GB"/>
        </w:rPr>
        <w:t xml:space="preserve">, </w:t>
      </w:r>
      <w:r>
        <w:rPr>
          <w:lang w:val="en-GB"/>
        </w:rPr>
        <w:t xml:space="preserve"> donors</w:t>
      </w:r>
      <w:proofErr w:type="gramEnd"/>
      <w:r>
        <w:rPr>
          <w:lang w:val="en-GB"/>
        </w:rPr>
        <w:t xml:space="preserve">, including EKN, </w:t>
      </w:r>
      <w:r w:rsidR="00DD5F1D">
        <w:rPr>
          <w:lang w:val="en-GB"/>
        </w:rPr>
        <w:t>have experienced frequently</w:t>
      </w:r>
      <w:r>
        <w:rPr>
          <w:lang w:val="en-GB"/>
        </w:rPr>
        <w:t xml:space="preserve"> that Ethiopia is not always an easy partner to work with. Some perceive the st</w:t>
      </w:r>
      <w:r w:rsidR="00AE4D25">
        <w:rPr>
          <w:lang w:val="en-GB"/>
        </w:rPr>
        <w:t>r</w:t>
      </w:r>
      <w:r>
        <w:rPr>
          <w:lang w:val="en-GB"/>
        </w:rPr>
        <w:t>ong ownersh</w:t>
      </w:r>
      <w:r w:rsidR="00DD5F1D">
        <w:rPr>
          <w:lang w:val="en-GB"/>
        </w:rPr>
        <w:t>ip as a blessing, others as a ‘missed opportunity</w:t>
      </w:r>
      <w:r>
        <w:rPr>
          <w:lang w:val="en-GB"/>
        </w:rPr>
        <w:t xml:space="preserve">’. The challenge remains </w:t>
      </w:r>
      <w:r w:rsidR="00E97508">
        <w:rPr>
          <w:lang w:val="en-GB"/>
        </w:rPr>
        <w:t xml:space="preserve">to </w:t>
      </w:r>
      <w:r>
        <w:rPr>
          <w:lang w:val="en-GB"/>
        </w:rPr>
        <w:t>leav</w:t>
      </w:r>
      <w:r w:rsidR="00E97508">
        <w:rPr>
          <w:lang w:val="en-GB"/>
        </w:rPr>
        <w:t xml:space="preserve">e </w:t>
      </w:r>
      <w:r>
        <w:rPr>
          <w:lang w:val="en-GB"/>
        </w:rPr>
        <w:t xml:space="preserve">the </w:t>
      </w:r>
      <w:r w:rsidR="00E97508">
        <w:rPr>
          <w:lang w:val="en-GB"/>
        </w:rPr>
        <w:t>(</w:t>
      </w:r>
      <w:r>
        <w:rPr>
          <w:lang w:val="en-GB"/>
        </w:rPr>
        <w:t>strong</w:t>
      </w:r>
      <w:r w:rsidR="00E97508">
        <w:rPr>
          <w:lang w:val="en-GB"/>
        </w:rPr>
        <w:t>)</w:t>
      </w:r>
      <w:r w:rsidR="00C00B6A">
        <w:rPr>
          <w:lang w:val="en-GB"/>
        </w:rPr>
        <w:t xml:space="preserve"> owner</w:t>
      </w:r>
      <w:r w:rsidR="00DD5F1D">
        <w:rPr>
          <w:lang w:val="en-GB"/>
        </w:rPr>
        <w:t>ship of</w:t>
      </w:r>
      <w:r>
        <w:rPr>
          <w:lang w:val="en-GB"/>
        </w:rPr>
        <w:t xml:space="preserve"> the government</w:t>
      </w:r>
      <w:r w:rsidR="00DD5F1D">
        <w:rPr>
          <w:lang w:val="en-GB"/>
        </w:rPr>
        <w:t xml:space="preserve"> intact,</w:t>
      </w:r>
      <w:r>
        <w:rPr>
          <w:lang w:val="en-GB"/>
        </w:rPr>
        <w:t xml:space="preserve"> </w:t>
      </w:r>
      <w:r w:rsidR="00E97508">
        <w:rPr>
          <w:lang w:val="en-GB"/>
        </w:rPr>
        <w:t>while at the same time</w:t>
      </w:r>
      <w:r>
        <w:rPr>
          <w:lang w:val="en-GB"/>
        </w:rPr>
        <w:t xml:space="preserve"> increas</w:t>
      </w:r>
      <w:r w:rsidR="00E97508">
        <w:rPr>
          <w:lang w:val="en-GB"/>
        </w:rPr>
        <w:t xml:space="preserve">e </w:t>
      </w:r>
      <w:r>
        <w:rPr>
          <w:lang w:val="en-GB"/>
        </w:rPr>
        <w:t>synergies and</w:t>
      </w:r>
      <w:r w:rsidR="00AE4D25">
        <w:rPr>
          <w:lang w:val="en-GB"/>
        </w:rPr>
        <w:t xml:space="preserve"> </w:t>
      </w:r>
      <w:r>
        <w:rPr>
          <w:lang w:val="en-GB"/>
        </w:rPr>
        <w:t>partnerships. </w:t>
      </w:r>
      <w:r w:rsidR="00AE4D25">
        <w:rPr>
          <w:lang w:val="en-GB"/>
        </w:rPr>
        <w:t>The described 3-pronged approach aims at balancing these two.</w:t>
      </w:r>
      <w:r>
        <w:rPr>
          <w:lang w:val="en-GB"/>
        </w:rPr>
        <w:t xml:space="preserve">  </w:t>
      </w:r>
    </w:p>
    <w:p w:rsidR="00080B0D" w:rsidRDefault="00080B0D" w:rsidP="00080B0D">
      <w:pPr>
        <w:rPr>
          <w:lang w:val="en-GB"/>
        </w:rPr>
      </w:pPr>
    </w:p>
    <w:p w:rsidR="00080B0D" w:rsidRDefault="00080B0D" w:rsidP="00080B0D">
      <w:pPr>
        <w:rPr>
          <w:lang w:val="en-GB"/>
        </w:rPr>
      </w:pPr>
    </w:p>
    <w:p w:rsidR="00080B0D" w:rsidRDefault="00080B0D" w:rsidP="00080B0D">
      <w:pPr>
        <w:rPr>
          <w:b/>
          <w:bCs/>
          <w:lang w:val="en-GB"/>
        </w:rPr>
      </w:pPr>
      <w:r>
        <w:rPr>
          <w:b/>
          <w:bCs/>
          <w:lang w:val="en-GB"/>
        </w:rPr>
        <w:t>3. RESOURCES SPENT (ODA and FTEs)</w:t>
      </w:r>
    </w:p>
    <w:tbl>
      <w:tblPr>
        <w:tblW w:w="9157" w:type="dxa"/>
        <w:tblInd w:w="55" w:type="dxa"/>
        <w:tblCellMar>
          <w:left w:w="0" w:type="dxa"/>
          <w:right w:w="0" w:type="dxa"/>
        </w:tblCellMar>
        <w:tblLook w:val="0000"/>
      </w:tblPr>
      <w:tblGrid>
        <w:gridCol w:w="5079"/>
        <w:gridCol w:w="4078"/>
      </w:tblGrid>
      <w:tr w:rsidR="00080B0D" w:rsidTr="00080B0D">
        <w:trPr>
          <w:trHeight w:val="255"/>
        </w:trPr>
        <w:tc>
          <w:tcPr>
            <w:tcW w:w="5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Dutch ODA disbursed during 2009-2010 as contribution to this strategic goal (approximately)</w:t>
            </w:r>
          </w:p>
        </w:tc>
        <w:tc>
          <w:tcPr>
            <w:tcW w:w="4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 € 29 mln</w:t>
            </w:r>
          </w:p>
        </w:tc>
      </w:tr>
      <w:tr w:rsidR="00080B0D" w:rsidTr="00080B0D">
        <w:trPr>
          <w:trHeight w:val="255"/>
        </w:trPr>
        <w:tc>
          <w:tcPr>
            <w:tcW w:w="5079" w:type="dxa"/>
            <w:tcBorders>
              <w:top w:val="nil"/>
              <w:left w:val="single" w:sz="8" w:space="0" w:color="auto"/>
              <w:bottom w:val="dashed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Average amount of Embassy FTEs allocated during 2009 and 2010 to this goal (for delegated aid)</w:t>
            </w:r>
          </w:p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7221E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3 fte</w:t>
            </w:r>
          </w:p>
        </w:tc>
      </w:tr>
      <w:tr w:rsidR="00080B0D" w:rsidTr="00080B0D">
        <w:trPr>
          <w:trHeight w:val="255"/>
        </w:trPr>
        <w:tc>
          <w:tcPr>
            <w:tcW w:w="5079" w:type="dxa"/>
            <w:tcBorders>
              <w:top w:val="nil"/>
              <w:left w:val="single" w:sz="8" w:space="0" w:color="auto"/>
              <w:bottom w:val="dashed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Amount of thematic dept FTEs allocated to this goal/ programme during 2009 and 2010 (for non-delegated aid)\</w:t>
            </w:r>
          </w:p>
        </w:tc>
        <w:tc>
          <w:tcPr>
            <w:tcW w:w="4078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 fte</w:t>
            </w:r>
          </w:p>
        </w:tc>
      </w:tr>
      <w:tr w:rsidR="00080B0D" w:rsidTr="00080B0D">
        <w:trPr>
          <w:trHeight w:val="255"/>
        </w:trPr>
        <w:tc>
          <w:tcPr>
            <w:tcW w:w="5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Piramide numbers of relevant Activities</w:t>
            </w:r>
          </w:p>
          <w:p w:rsidR="00080B0D" w:rsidRDefault="00080B0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18815 and 20775 (PSNP)</w:t>
            </w:r>
          </w:p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21042, 17201, 12409, </w:t>
            </w:r>
          </w:p>
        </w:tc>
      </w:tr>
    </w:tbl>
    <w:p w:rsidR="00080B0D" w:rsidRDefault="00080B0D" w:rsidP="00080B0D">
      <w:pPr>
        <w:rPr>
          <w:lang w:val="en-GB"/>
        </w:rPr>
      </w:pPr>
    </w:p>
    <w:p w:rsidR="00080B0D" w:rsidRDefault="00080B0D" w:rsidP="00080B0D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4. OVERALL TRAFFIC LIGHT SCORE</w:t>
      </w:r>
    </w:p>
    <w:p w:rsidR="00080B0D" w:rsidRDefault="00080B0D" w:rsidP="00080B0D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 overall achievement of results is:</w:t>
      </w:r>
    </w:p>
    <w:p w:rsidR="00080B0D" w:rsidRDefault="00080B0D" w:rsidP="00080B0D">
      <w:pPr>
        <w:ind w:left="354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 (Please tick </w:t>
      </w:r>
      <w:r>
        <w:rPr>
          <w:b/>
          <w:bCs/>
          <w:sz w:val="22"/>
          <w:szCs w:val="22"/>
          <w:lang w:val="en-GB"/>
        </w:rPr>
        <w:t>√</w:t>
      </w:r>
      <w:r>
        <w:rPr>
          <w:sz w:val="22"/>
          <w:szCs w:val="22"/>
          <w:lang w:val="en-GB"/>
        </w:rPr>
        <w:t>)</w:t>
      </w:r>
    </w:p>
    <w:tbl>
      <w:tblPr>
        <w:tblW w:w="5308" w:type="dxa"/>
        <w:tblInd w:w="55" w:type="dxa"/>
        <w:tblCellMar>
          <w:left w:w="0" w:type="dxa"/>
          <w:right w:w="0" w:type="dxa"/>
        </w:tblCellMar>
        <w:tblLook w:val="0000"/>
      </w:tblPr>
      <w:tblGrid>
        <w:gridCol w:w="960"/>
        <w:gridCol w:w="2512"/>
        <w:gridCol w:w="419"/>
        <w:gridCol w:w="1417"/>
      </w:tblGrid>
      <w:tr w:rsidR="00080B0D" w:rsidTr="00080B0D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2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  <w:lang w:val="en-GB"/>
              </w:rPr>
              <w:t>Off-track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 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B0D" w:rsidTr="00080B0D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  <w:r>
              <w:rPr>
                <w:sz w:val="22"/>
                <w:szCs w:val="22"/>
                <w:lang w:val="en-GB"/>
              </w:rPr>
              <w:t>In danger to be off track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 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080B0D" w:rsidTr="00080B0D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 O</w:t>
            </w:r>
            <w:r>
              <w:rPr>
                <w:sz w:val="22"/>
                <w:szCs w:val="22"/>
                <w:lang w:val="en-GB"/>
              </w:rPr>
              <w:t>n track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080B0D" w:rsidRDefault="00080B0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 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80B0D" w:rsidRDefault="00080B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</w:tbl>
    <w:p w:rsidR="00080B0D" w:rsidRDefault="00080B0D"/>
    <w:sectPr w:rsidR="00080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537AA0"/>
    <w:multiLevelType w:val="hybridMultilevel"/>
    <w:tmpl w:val="ED58EE98"/>
    <w:lvl w:ilvl="0" w:tplc="B896CB4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color w:val="000000"/>
        <w:sz w:val="24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80B0D"/>
    <w:rsid w:val="00047DDB"/>
    <w:rsid w:val="00080B0D"/>
    <w:rsid w:val="000B75F4"/>
    <w:rsid w:val="000F41D5"/>
    <w:rsid w:val="0010740B"/>
    <w:rsid w:val="00142953"/>
    <w:rsid w:val="00152BE2"/>
    <w:rsid w:val="001D0C37"/>
    <w:rsid w:val="00223D5E"/>
    <w:rsid w:val="002D1658"/>
    <w:rsid w:val="00375DF5"/>
    <w:rsid w:val="00375EDB"/>
    <w:rsid w:val="003E163C"/>
    <w:rsid w:val="00412CD5"/>
    <w:rsid w:val="004F10B0"/>
    <w:rsid w:val="00520210"/>
    <w:rsid w:val="00563DB1"/>
    <w:rsid w:val="00570D29"/>
    <w:rsid w:val="005F5D50"/>
    <w:rsid w:val="006164C4"/>
    <w:rsid w:val="00633F8F"/>
    <w:rsid w:val="00687F70"/>
    <w:rsid w:val="007221E4"/>
    <w:rsid w:val="00754FD0"/>
    <w:rsid w:val="008A6C5F"/>
    <w:rsid w:val="008D7B7F"/>
    <w:rsid w:val="008E3BE9"/>
    <w:rsid w:val="00A01175"/>
    <w:rsid w:val="00A478F0"/>
    <w:rsid w:val="00AB3C67"/>
    <w:rsid w:val="00AB3E70"/>
    <w:rsid w:val="00AE028A"/>
    <w:rsid w:val="00AE4D25"/>
    <w:rsid w:val="00AE7BC6"/>
    <w:rsid w:val="00B20ADB"/>
    <w:rsid w:val="00B25498"/>
    <w:rsid w:val="00B86971"/>
    <w:rsid w:val="00C00B6A"/>
    <w:rsid w:val="00C1504F"/>
    <w:rsid w:val="00C30D16"/>
    <w:rsid w:val="00C92476"/>
    <w:rsid w:val="00DD5F1D"/>
    <w:rsid w:val="00DE6824"/>
    <w:rsid w:val="00E7569E"/>
    <w:rsid w:val="00E97508"/>
    <w:rsid w:val="00F26A2C"/>
    <w:rsid w:val="00F41D4D"/>
    <w:rsid w:val="00F804F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nl-NL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D0C3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8A6C5F"/>
    <w:rPr>
      <w:sz w:val="16"/>
      <w:szCs w:val="16"/>
    </w:rPr>
  </w:style>
  <w:style w:type="paragraph" w:styleId="CommentText">
    <w:name w:val="annotation text"/>
    <w:basedOn w:val="Normal"/>
    <w:semiHidden/>
    <w:rsid w:val="008A6C5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A6C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1436</Words>
  <Characters>8190</Characters>
  <Application>Microsoft Word 12.0.0</Application>
  <DocSecurity>0</DocSecurity>
  <Lines>68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Information Collection  -  Results Report 2009-2010 (bilateral aid program)</vt:lpstr>
    </vt:vector>
  </TitlesOfParts>
  <Company>Min. van Buitenlandse Zaken</Company>
  <LinksUpToDate>false</LinksUpToDate>
  <CharactersWithSpaces>10057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Information Collection  -  Results Report 2009-2010 (bilateral aid program)</dc:title>
  <dc:subject/>
  <dc:creator>Hye Jin Zumkehr</dc:creator>
  <cp:keywords/>
  <cp:lastModifiedBy>Michiel Kuijper</cp:lastModifiedBy>
  <cp:revision>2</cp:revision>
  <dcterms:created xsi:type="dcterms:W3CDTF">2012-07-09T14:35:00Z</dcterms:created>
  <dcterms:modified xsi:type="dcterms:W3CDTF">2012-07-09T14:35:00Z</dcterms:modified>
</cp:coreProperties>
</file>