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416D6" w:rsidRPr="00EF43E1" w:rsidRDefault="007416D6" w:rsidP="007416D6">
      <w:pPr>
        <w:rPr>
          <w:b/>
          <w:lang w:val="en-GB"/>
        </w:rPr>
      </w:pPr>
      <w:r>
        <w:rPr>
          <w:b/>
          <w:lang w:val="en-GB"/>
        </w:rPr>
        <w:t>Format for Information Collection  -  Results Report 2009-2010 (gender)</w:t>
      </w:r>
    </w:p>
    <w:p w:rsidR="007416D6" w:rsidRPr="00821474" w:rsidRDefault="007416D6" w:rsidP="007416D6">
      <w:pPr>
        <w:outlineLvl w:val="0"/>
        <w:rPr>
          <w:b/>
          <w:lang w:val="en-GB"/>
        </w:rPr>
      </w:pPr>
    </w:p>
    <w:p w:rsidR="007416D6" w:rsidRPr="00821474" w:rsidRDefault="007416D6" w:rsidP="007416D6">
      <w:pPr>
        <w:outlineLvl w:val="0"/>
        <w:rPr>
          <w:lang w:val="en-GB"/>
        </w:rPr>
      </w:pPr>
      <w:r w:rsidRPr="00821474">
        <w:rPr>
          <w:b/>
          <w:bCs/>
          <w:lang w:val="en-GB"/>
        </w:rPr>
        <w:t>Embassy (for delegated aid)</w:t>
      </w:r>
      <w:r w:rsidRPr="00821474">
        <w:rPr>
          <w:lang w:val="en-GB"/>
        </w:rPr>
        <w:t>: Addis Ababa</w:t>
      </w:r>
    </w:p>
    <w:p w:rsidR="007416D6" w:rsidRPr="00821474" w:rsidRDefault="007416D6" w:rsidP="007416D6">
      <w:pPr>
        <w:outlineLvl w:val="0"/>
        <w:rPr>
          <w:lang w:val="en-GB"/>
        </w:rPr>
      </w:pPr>
      <w:r w:rsidRPr="00821474">
        <w:rPr>
          <w:b/>
          <w:bCs/>
          <w:lang w:val="en-GB"/>
        </w:rPr>
        <w:t>Country</w:t>
      </w:r>
      <w:r w:rsidRPr="00821474">
        <w:rPr>
          <w:lang w:val="en-GB"/>
        </w:rPr>
        <w:t>: Ethiopia</w:t>
      </w:r>
    </w:p>
    <w:p w:rsidR="007416D6" w:rsidRPr="00821474" w:rsidRDefault="007416D6" w:rsidP="007416D6">
      <w:pPr>
        <w:rPr>
          <w:lang w:val="en-GB"/>
        </w:rPr>
      </w:pPr>
      <w:r w:rsidRPr="00821474">
        <w:rPr>
          <w:b/>
          <w:bCs/>
          <w:lang w:val="en-GB"/>
        </w:rPr>
        <w:t>Strategic Goal</w:t>
      </w:r>
      <w:r w:rsidRPr="00821474">
        <w:rPr>
          <w:lang w:val="en-GB"/>
        </w:rPr>
        <w:t xml:space="preserve">: </w:t>
      </w:r>
      <w:r w:rsidRPr="00821474">
        <w:rPr>
          <w:color w:val="333333"/>
          <w:lang w:val="en-GB"/>
        </w:rPr>
        <w:t>Gender/violence against women</w:t>
      </w:r>
      <w:r w:rsidRPr="00821474">
        <w:rPr>
          <w:b/>
          <w:color w:val="333333"/>
          <w:lang w:val="en-GB"/>
        </w:rPr>
        <w:t xml:space="preserve"> </w:t>
      </w:r>
    </w:p>
    <w:p w:rsidR="00B93697" w:rsidRPr="00A425FD" w:rsidRDefault="007416D6" w:rsidP="001B70AB">
      <w:pPr>
        <w:outlineLvl w:val="0"/>
        <w:rPr>
          <w:lang w:val="en-GB"/>
        </w:rPr>
      </w:pPr>
      <w:r w:rsidRPr="00821474">
        <w:rPr>
          <w:b/>
          <w:bCs/>
          <w:lang w:val="en-GB"/>
        </w:rPr>
        <w:t>This form is completed by</w:t>
      </w:r>
      <w:r w:rsidRPr="00821474">
        <w:rPr>
          <w:lang w:val="en-GB"/>
        </w:rPr>
        <w:t>: Metsehate Ayenekulu</w:t>
      </w:r>
    </w:p>
    <w:p w:rsidR="00B93697" w:rsidRPr="00262E95" w:rsidRDefault="00B93697" w:rsidP="004B78CD">
      <w:pPr>
        <w:rPr>
          <w:lang w:val="en-GB"/>
        </w:rPr>
      </w:pPr>
    </w:p>
    <w:p w:rsidR="004B78CD" w:rsidRPr="00A425FD" w:rsidRDefault="00B93697" w:rsidP="00A425FD">
      <w:pPr>
        <w:outlineLvl w:val="0"/>
        <w:rPr>
          <w:b/>
          <w:bCs/>
          <w:lang w:val="en-GB"/>
        </w:rPr>
      </w:pPr>
      <w:r w:rsidRPr="00262E95">
        <w:rPr>
          <w:b/>
          <w:bCs/>
          <w:lang w:val="en-GB"/>
        </w:rPr>
        <w:t xml:space="preserve">1. </w:t>
      </w:r>
      <w:r w:rsidR="004B78CD" w:rsidRPr="00262E95">
        <w:rPr>
          <w:b/>
          <w:bCs/>
          <w:lang w:val="en-GB"/>
        </w:rPr>
        <w:t>CONTEXT</w:t>
      </w:r>
    </w:p>
    <w:p w:rsidR="006978EF" w:rsidRPr="00262E95" w:rsidRDefault="00B93697" w:rsidP="001B70AB">
      <w:pPr>
        <w:outlineLvl w:val="0"/>
        <w:rPr>
          <w:b/>
          <w:bCs/>
          <w:lang w:val="en-GB"/>
        </w:rPr>
      </w:pPr>
      <w:r w:rsidRPr="00262E95">
        <w:rPr>
          <w:b/>
          <w:bCs/>
          <w:lang w:val="en-GB"/>
        </w:rPr>
        <w:t>a</w:t>
      </w:r>
      <w:r w:rsidR="004B78CD" w:rsidRPr="00262E95">
        <w:rPr>
          <w:b/>
          <w:bCs/>
          <w:lang w:val="en-GB"/>
        </w:rPr>
        <w:t xml:space="preserve">. </w:t>
      </w:r>
      <w:r w:rsidR="003E1967" w:rsidRPr="00262E95">
        <w:rPr>
          <w:b/>
          <w:bCs/>
          <w:lang w:val="en-GB"/>
        </w:rPr>
        <w:t xml:space="preserve">Country </w:t>
      </w:r>
      <w:r w:rsidR="007810B7" w:rsidRPr="00262E95">
        <w:rPr>
          <w:b/>
          <w:bCs/>
          <w:lang w:val="en-GB"/>
        </w:rPr>
        <w:t xml:space="preserve">or regional </w:t>
      </w:r>
      <w:r w:rsidR="003E1967" w:rsidRPr="00262E95">
        <w:rPr>
          <w:b/>
          <w:bCs/>
          <w:lang w:val="en-GB"/>
        </w:rPr>
        <w:t>context</w:t>
      </w:r>
      <w:r w:rsidR="008370E7" w:rsidRPr="00262E95">
        <w:rPr>
          <w:b/>
          <w:bCs/>
          <w:lang w:val="en-GB"/>
        </w:rPr>
        <w:t xml:space="preserve"> </w:t>
      </w:r>
    </w:p>
    <w:p w:rsidR="00221CE6" w:rsidRPr="00262E95" w:rsidRDefault="002A5137" w:rsidP="008E28DB">
      <w:pPr>
        <w:jc w:val="both"/>
        <w:rPr>
          <w:lang w:val="en-GB"/>
        </w:rPr>
      </w:pPr>
      <w:r w:rsidRPr="00262E95">
        <w:rPr>
          <w:lang w:val="en-GB"/>
        </w:rPr>
        <w:t>Unalterable</w:t>
      </w:r>
      <w:r w:rsidR="00012844" w:rsidRPr="00262E95">
        <w:rPr>
          <w:lang w:val="en-GB"/>
        </w:rPr>
        <w:t xml:space="preserve"> commitment to bring gender equity and equality is a prerequisite to attain all the MDG targets.</w:t>
      </w:r>
      <w:r w:rsidR="00E85C43" w:rsidRPr="00262E95">
        <w:rPr>
          <w:lang w:val="en-GB"/>
        </w:rPr>
        <w:t xml:space="preserve"> The fourth</w:t>
      </w:r>
      <w:r w:rsidR="008A197A">
        <w:rPr>
          <w:lang w:val="en-GB"/>
        </w:rPr>
        <w:t xml:space="preserve"> </w:t>
      </w:r>
      <w:r w:rsidR="00E85C43" w:rsidRPr="00262E95">
        <w:rPr>
          <w:lang w:val="en-GB"/>
        </w:rPr>
        <w:t>generation</w:t>
      </w:r>
      <w:r w:rsidR="009F52BA" w:rsidRPr="00262E95">
        <w:rPr>
          <w:lang w:val="en-GB"/>
        </w:rPr>
        <w:t xml:space="preserve"> of the Ethiopian </w:t>
      </w:r>
      <w:r w:rsidR="008A197A">
        <w:rPr>
          <w:lang w:val="en-GB"/>
        </w:rPr>
        <w:t xml:space="preserve">PRSP, </w:t>
      </w:r>
      <w:r w:rsidR="0088415C" w:rsidRPr="00262E95">
        <w:rPr>
          <w:lang w:val="en-GB"/>
        </w:rPr>
        <w:t xml:space="preserve"> the </w:t>
      </w:r>
      <w:r w:rsidR="009F52BA" w:rsidRPr="00262E95">
        <w:rPr>
          <w:lang w:val="en-GB"/>
        </w:rPr>
        <w:t xml:space="preserve">‘Growth and Transformation Plan’ </w:t>
      </w:r>
      <w:r w:rsidR="008A197A">
        <w:rPr>
          <w:lang w:val="en-GB"/>
        </w:rPr>
        <w:t>(GTP)</w:t>
      </w:r>
      <w:r w:rsidR="009F52BA" w:rsidRPr="00262E95">
        <w:rPr>
          <w:lang w:val="en-GB"/>
        </w:rPr>
        <w:t xml:space="preserve"> has identified women as one of its pillar</w:t>
      </w:r>
      <w:r w:rsidRPr="00262E95">
        <w:rPr>
          <w:lang w:val="en-GB"/>
        </w:rPr>
        <w:t>s</w:t>
      </w:r>
      <w:r w:rsidR="009F52BA" w:rsidRPr="00262E95">
        <w:rPr>
          <w:lang w:val="en-GB"/>
        </w:rPr>
        <w:t xml:space="preserve"> together with youth and children.</w:t>
      </w:r>
      <w:r w:rsidR="00221CE6" w:rsidRPr="00262E95">
        <w:rPr>
          <w:lang w:val="en-GB"/>
        </w:rPr>
        <w:t xml:space="preserve"> </w:t>
      </w:r>
      <w:r w:rsidR="008A197A">
        <w:rPr>
          <w:lang w:val="en-GB"/>
        </w:rPr>
        <w:t>This is an</w:t>
      </w:r>
      <w:r w:rsidR="00221CE6" w:rsidRPr="00262E95">
        <w:rPr>
          <w:lang w:val="en-GB"/>
        </w:rPr>
        <w:t xml:space="preserve"> </w:t>
      </w:r>
      <w:r w:rsidR="008A197A">
        <w:rPr>
          <w:lang w:val="en-GB"/>
        </w:rPr>
        <w:t>indicator</w:t>
      </w:r>
      <w:r w:rsidR="00221CE6" w:rsidRPr="00262E95">
        <w:rPr>
          <w:lang w:val="en-GB"/>
        </w:rPr>
        <w:t xml:space="preserve"> of the government</w:t>
      </w:r>
      <w:r w:rsidR="00025372" w:rsidRPr="00262E95">
        <w:rPr>
          <w:lang w:val="en-GB"/>
        </w:rPr>
        <w:t>’</w:t>
      </w:r>
      <w:r w:rsidR="00221CE6" w:rsidRPr="00262E95">
        <w:rPr>
          <w:lang w:val="en-GB"/>
        </w:rPr>
        <w:t xml:space="preserve">s </w:t>
      </w:r>
      <w:r w:rsidRPr="00262E95">
        <w:rPr>
          <w:lang w:val="en-GB"/>
        </w:rPr>
        <w:t>continu</w:t>
      </w:r>
      <w:r w:rsidR="0088415C" w:rsidRPr="00262E95">
        <w:rPr>
          <w:lang w:val="en-GB"/>
        </w:rPr>
        <w:t>ous</w:t>
      </w:r>
      <w:r w:rsidR="00221CE6" w:rsidRPr="00262E95">
        <w:rPr>
          <w:lang w:val="en-GB"/>
        </w:rPr>
        <w:t xml:space="preserve"> commitment towards addressing gender inequality. </w:t>
      </w:r>
      <w:r w:rsidR="009F52BA" w:rsidRPr="00262E95">
        <w:rPr>
          <w:lang w:val="en-GB"/>
        </w:rPr>
        <w:t xml:space="preserve">  </w:t>
      </w:r>
      <w:r w:rsidR="00012844" w:rsidRPr="00262E95">
        <w:rPr>
          <w:lang w:val="en-GB"/>
        </w:rPr>
        <w:t xml:space="preserve"> </w:t>
      </w:r>
    </w:p>
    <w:p w:rsidR="00221CE6" w:rsidRPr="00262E95" w:rsidRDefault="00221CE6" w:rsidP="008E28DB">
      <w:pPr>
        <w:jc w:val="both"/>
        <w:rPr>
          <w:lang w:val="en-GB"/>
        </w:rPr>
      </w:pPr>
    </w:p>
    <w:p w:rsidR="00BF60B7" w:rsidRPr="00262E95" w:rsidRDefault="00221CE6" w:rsidP="008E28DB">
      <w:pPr>
        <w:jc w:val="both"/>
        <w:rPr>
          <w:lang w:val="en-US"/>
        </w:rPr>
      </w:pPr>
      <w:r w:rsidRPr="00262E95">
        <w:rPr>
          <w:lang w:val="en-GB"/>
        </w:rPr>
        <w:t xml:space="preserve">So far, </w:t>
      </w:r>
      <w:r w:rsidR="002A5137" w:rsidRPr="00262E95">
        <w:rPr>
          <w:lang w:val="en-GB"/>
        </w:rPr>
        <w:t>incontestable</w:t>
      </w:r>
      <w:r w:rsidRPr="00262E95">
        <w:rPr>
          <w:lang w:val="en-GB"/>
        </w:rPr>
        <w:t xml:space="preserve"> results and </w:t>
      </w:r>
      <w:r w:rsidR="006F3B96" w:rsidRPr="00262E95">
        <w:rPr>
          <w:lang w:val="en-US"/>
        </w:rPr>
        <w:t xml:space="preserve">progresses </w:t>
      </w:r>
      <w:r w:rsidR="00E059C5" w:rsidRPr="00262E95">
        <w:rPr>
          <w:lang w:val="en-US"/>
        </w:rPr>
        <w:t>are</w:t>
      </w:r>
      <w:r w:rsidR="006F3B96" w:rsidRPr="00262E95">
        <w:rPr>
          <w:lang w:val="en-US"/>
        </w:rPr>
        <w:t xml:space="preserve"> be</w:t>
      </w:r>
      <w:r w:rsidR="00E059C5" w:rsidRPr="00262E95">
        <w:rPr>
          <w:lang w:val="en-US"/>
        </w:rPr>
        <w:t>ing registered</w:t>
      </w:r>
      <w:r w:rsidRPr="00262E95">
        <w:rPr>
          <w:lang w:val="en-US"/>
        </w:rPr>
        <w:t>; however the</w:t>
      </w:r>
      <w:r w:rsidR="002A5137" w:rsidRPr="00262E95">
        <w:rPr>
          <w:lang w:val="en-US"/>
        </w:rPr>
        <w:t xml:space="preserve"> Ethiopian women, even today, are </w:t>
      </w:r>
      <w:r w:rsidR="006F3B96" w:rsidRPr="00262E95">
        <w:rPr>
          <w:lang w:val="en-US"/>
        </w:rPr>
        <w:t xml:space="preserve"> facing discrimination on a number of fronts, </w:t>
      </w:r>
      <w:r w:rsidR="008A197A">
        <w:rPr>
          <w:lang w:val="en-US"/>
        </w:rPr>
        <w:t>ranging from a higher</w:t>
      </w:r>
      <w:r w:rsidR="00BF60B7" w:rsidRPr="00262E95">
        <w:rPr>
          <w:lang w:val="en-US"/>
        </w:rPr>
        <w:t xml:space="preserve"> incidence of poverty to</w:t>
      </w:r>
      <w:r w:rsidR="008A197A">
        <w:rPr>
          <w:lang w:val="en-US"/>
        </w:rPr>
        <w:t xml:space="preserve"> a lack of</w:t>
      </w:r>
      <w:r w:rsidR="00BF60B7" w:rsidRPr="00262E95">
        <w:rPr>
          <w:lang w:val="en-US"/>
        </w:rPr>
        <w:t xml:space="preserve"> protection under the law, and from access to social services</w:t>
      </w:r>
      <w:r w:rsidR="007A6EC8" w:rsidRPr="00262E95">
        <w:rPr>
          <w:lang w:val="en-US"/>
        </w:rPr>
        <w:t xml:space="preserve"> to decision making power</w:t>
      </w:r>
      <w:r w:rsidR="0093774A" w:rsidRPr="00262E95">
        <w:rPr>
          <w:lang w:val="en-US"/>
        </w:rPr>
        <w:t xml:space="preserve"> (Development and change package of Ethiopian women: 2006)</w:t>
      </w:r>
      <w:r w:rsidR="0088415C" w:rsidRPr="00262E95">
        <w:rPr>
          <w:lang w:val="en-US"/>
        </w:rPr>
        <w:t>.</w:t>
      </w:r>
    </w:p>
    <w:p w:rsidR="0034392F" w:rsidRPr="00262E95" w:rsidRDefault="0034392F" w:rsidP="00553FE7">
      <w:pPr>
        <w:rPr>
          <w:lang w:val="en-US"/>
        </w:rPr>
      </w:pPr>
    </w:p>
    <w:p w:rsidR="0034392F" w:rsidRPr="00262E95" w:rsidRDefault="0034392F" w:rsidP="00553FE7">
      <w:pPr>
        <w:rPr>
          <w:b/>
          <w:lang w:val="en-GB"/>
        </w:rPr>
      </w:pPr>
      <w:r w:rsidRPr="00262E95">
        <w:rPr>
          <w:b/>
          <w:lang w:val="en-GB"/>
        </w:rPr>
        <w:t>b. Sector (thematic context)</w:t>
      </w:r>
    </w:p>
    <w:p w:rsidR="0034392F" w:rsidRPr="00262E95" w:rsidRDefault="00D62B82" w:rsidP="00A572E7">
      <w:pPr>
        <w:jc w:val="both"/>
        <w:rPr>
          <w:lang w:val="en-US"/>
        </w:rPr>
      </w:pPr>
      <w:r w:rsidRPr="00262E95">
        <w:rPr>
          <w:lang w:val="en-US"/>
        </w:rPr>
        <w:t xml:space="preserve">The ministry </w:t>
      </w:r>
      <w:r w:rsidR="008A197A">
        <w:rPr>
          <w:lang w:val="en-US"/>
        </w:rPr>
        <w:t>which</w:t>
      </w:r>
      <w:r w:rsidR="0088415C" w:rsidRPr="00262E95">
        <w:rPr>
          <w:lang w:val="en-US"/>
        </w:rPr>
        <w:t xml:space="preserve"> deals with</w:t>
      </w:r>
      <w:r w:rsidR="002A5137" w:rsidRPr="00262E95">
        <w:rPr>
          <w:lang w:val="en-US"/>
        </w:rPr>
        <w:t xml:space="preserve"> women issue</w:t>
      </w:r>
      <w:r w:rsidR="0088415C" w:rsidRPr="00262E95">
        <w:rPr>
          <w:lang w:val="en-US"/>
        </w:rPr>
        <w:t>s</w:t>
      </w:r>
      <w:r w:rsidR="002A5137" w:rsidRPr="00262E95">
        <w:rPr>
          <w:lang w:val="en-US"/>
        </w:rPr>
        <w:t xml:space="preserve"> is moving a</w:t>
      </w:r>
      <w:r w:rsidRPr="00262E95">
        <w:rPr>
          <w:lang w:val="en-US"/>
        </w:rPr>
        <w:t>head and</w:t>
      </w:r>
      <w:r w:rsidR="00131A5A" w:rsidRPr="00262E95">
        <w:rPr>
          <w:lang w:val="en-US"/>
        </w:rPr>
        <w:t xml:space="preserve"> taking steps </w:t>
      </w:r>
      <w:r w:rsidR="002A5137" w:rsidRPr="00262E95">
        <w:rPr>
          <w:lang w:val="en-US"/>
        </w:rPr>
        <w:t>to bring about</w:t>
      </w:r>
      <w:r w:rsidRPr="00262E95">
        <w:rPr>
          <w:lang w:val="en-US"/>
        </w:rPr>
        <w:t xml:space="preserve"> gender parity</w:t>
      </w:r>
      <w:r w:rsidR="008A197A">
        <w:rPr>
          <w:lang w:val="en-US"/>
        </w:rPr>
        <w:t xml:space="preserve"> and equity</w:t>
      </w:r>
      <w:r w:rsidRPr="00262E95">
        <w:rPr>
          <w:lang w:val="en-US"/>
        </w:rPr>
        <w:t xml:space="preserve">. </w:t>
      </w:r>
      <w:r w:rsidR="008A197A">
        <w:rPr>
          <w:lang w:val="en-US"/>
        </w:rPr>
        <w:t>However,</w:t>
      </w:r>
      <w:r w:rsidR="00131A5A" w:rsidRPr="00262E95">
        <w:rPr>
          <w:lang w:val="en-US"/>
        </w:rPr>
        <w:t xml:space="preserve"> </w:t>
      </w:r>
      <w:r w:rsidRPr="00262E95">
        <w:rPr>
          <w:lang w:val="en-US"/>
        </w:rPr>
        <w:t>its operational and technical capacity is</w:t>
      </w:r>
      <w:r w:rsidR="00CA201C" w:rsidRPr="00262E95">
        <w:rPr>
          <w:lang w:val="en-US"/>
        </w:rPr>
        <w:t xml:space="preserve"> </w:t>
      </w:r>
      <w:r w:rsidRPr="00262E95">
        <w:rPr>
          <w:lang w:val="en-US"/>
        </w:rPr>
        <w:t>far from the desired level. The very recent development of including youth and children</w:t>
      </w:r>
      <w:r w:rsidR="00EB0517">
        <w:rPr>
          <w:lang w:val="en-US"/>
        </w:rPr>
        <w:t>’s</w:t>
      </w:r>
      <w:r w:rsidRPr="00262E95">
        <w:rPr>
          <w:lang w:val="en-US"/>
        </w:rPr>
        <w:t xml:space="preserve"> issues </w:t>
      </w:r>
      <w:r w:rsidR="00EB0517">
        <w:rPr>
          <w:lang w:val="en-US"/>
        </w:rPr>
        <w:t>in</w:t>
      </w:r>
      <w:r w:rsidR="0088415C" w:rsidRPr="00262E95">
        <w:rPr>
          <w:lang w:val="en-US"/>
        </w:rPr>
        <w:t xml:space="preserve"> </w:t>
      </w:r>
      <w:r w:rsidRPr="00262E95">
        <w:rPr>
          <w:lang w:val="en-US"/>
        </w:rPr>
        <w:t xml:space="preserve">the Ministry’s mandate </w:t>
      </w:r>
      <w:r w:rsidR="00EB0517">
        <w:rPr>
          <w:lang w:val="en-US"/>
        </w:rPr>
        <w:t>(</w:t>
      </w:r>
      <w:r w:rsidR="00131A5A" w:rsidRPr="00262E95">
        <w:rPr>
          <w:lang w:val="en-US"/>
        </w:rPr>
        <w:t xml:space="preserve">2010) is feared </w:t>
      </w:r>
      <w:r w:rsidR="00EB0517">
        <w:rPr>
          <w:lang w:val="en-US"/>
        </w:rPr>
        <w:t>to have a</w:t>
      </w:r>
      <w:r w:rsidR="00131A5A" w:rsidRPr="00262E95">
        <w:rPr>
          <w:lang w:val="en-US"/>
        </w:rPr>
        <w:t xml:space="preserve"> potential loosening</w:t>
      </w:r>
      <w:r w:rsidR="0088415C" w:rsidRPr="00262E95">
        <w:rPr>
          <w:lang w:val="en-US"/>
        </w:rPr>
        <w:t xml:space="preserve"> (diminishing) </w:t>
      </w:r>
      <w:r w:rsidR="00131A5A" w:rsidRPr="00262E95">
        <w:rPr>
          <w:lang w:val="en-US"/>
        </w:rPr>
        <w:t xml:space="preserve">effect on the government’s commitment to address </w:t>
      </w:r>
      <w:r w:rsidR="0088415C" w:rsidRPr="00262E95">
        <w:rPr>
          <w:lang w:val="en-US"/>
        </w:rPr>
        <w:t xml:space="preserve">gender </w:t>
      </w:r>
      <w:r w:rsidR="00131A5A" w:rsidRPr="00262E95">
        <w:rPr>
          <w:lang w:val="en-US"/>
        </w:rPr>
        <w:t xml:space="preserve">specific discrimination and injustice.  </w:t>
      </w:r>
    </w:p>
    <w:p w:rsidR="003964C1" w:rsidRPr="00262E95" w:rsidRDefault="003964C1" w:rsidP="003964C1">
      <w:pPr>
        <w:rPr>
          <w:lang w:val="en-GB"/>
        </w:rPr>
      </w:pPr>
    </w:p>
    <w:p w:rsidR="006978EF" w:rsidRPr="00262E95" w:rsidRDefault="006978EF" w:rsidP="001B70AB">
      <w:pPr>
        <w:outlineLvl w:val="0"/>
        <w:rPr>
          <w:b/>
          <w:bCs/>
          <w:lang w:val="en-GB"/>
        </w:rPr>
      </w:pPr>
      <w:r w:rsidRPr="00262E95">
        <w:rPr>
          <w:b/>
          <w:bCs/>
          <w:lang w:val="en-GB"/>
        </w:rPr>
        <w:t>c. Description of the problem</w:t>
      </w:r>
    </w:p>
    <w:p w:rsidR="00136B51" w:rsidRPr="00262E95" w:rsidRDefault="00EB0517" w:rsidP="00A572E7">
      <w:pPr>
        <w:jc w:val="both"/>
        <w:rPr>
          <w:lang w:val="en-GB"/>
        </w:rPr>
      </w:pPr>
      <w:r>
        <w:rPr>
          <w:lang w:val="en-GB"/>
        </w:rPr>
        <w:t>In spite</w:t>
      </w:r>
      <w:r w:rsidR="002A5137" w:rsidRPr="00262E95">
        <w:rPr>
          <w:lang w:val="en-GB"/>
        </w:rPr>
        <w:t xml:space="preserve"> of all the investments, Ethiopian w</w:t>
      </w:r>
      <w:r w:rsidR="00E309BA" w:rsidRPr="00262E95">
        <w:rPr>
          <w:lang w:val="en-GB"/>
        </w:rPr>
        <w:t>omen</w:t>
      </w:r>
      <w:r>
        <w:rPr>
          <w:lang w:val="en-GB"/>
        </w:rPr>
        <w:t xml:space="preserve"> are still encountering a lot of</w:t>
      </w:r>
      <w:r w:rsidR="00E309BA" w:rsidRPr="00262E95">
        <w:rPr>
          <w:lang w:val="en-GB"/>
        </w:rPr>
        <w:t xml:space="preserve"> </w:t>
      </w:r>
      <w:r w:rsidR="00B501D6" w:rsidRPr="00262E95">
        <w:rPr>
          <w:lang w:val="en-GB"/>
        </w:rPr>
        <w:t xml:space="preserve">gender based </w:t>
      </w:r>
      <w:r w:rsidR="00E309BA" w:rsidRPr="00262E95">
        <w:rPr>
          <w:lang w:val="en-GB"/>
        </w:rPr>
        <w:t>violence in its various forms (economic, social, political and cultural)</w:t>
      </w:r>
      <w:r w:rsidR="00326969" w:rsidRPr="00262E95">
        <w:rPr>
          <w:lang w:val="en-GB"/>
        </w:rPr>
        <w:t>. For instance</w:t>
      </w:r>
      <w:r w:rsidR="00BF5CA9" w:rsidRPr="00262E95">
        <w:rPr>
          <w:lang w:val="en-US"/>
        </w:rPr>
        <w:t xml:space="preserve"> FGM/C</w:t>
      </w:r>
      <w:r w:rsidR="00326969" w:rsidRPr="00262E95">
        <w:rPr>
          <w:lang w:val="en-US"/>
        </w:rPr>
        <w:t xml:space="preserve"> is practiced</w:t>
      </w:r>
      <w:r w:rsidR="00BF5CA9" w:rsidRPr="00262E95">
        <w:rPr>
          <w:lang w:val="en-US"/>
        </w:rPr>
        <w:t xml:space="preserve"> with a national prevalence</w:t>
      </w:r>
      <w:r w:rsidR="00326969" w:rsidRPr="00262E95">
        <w:rPr>
          <w:lang w:val="en-US"/>
        </w:rPr>
        <w:t xml:space="preserve"> of</w:t>
      </w:r>
      <w:r w:rsidR="00BF5CA9" w:rsidRPr="00262E95">
        <w:rPr>
          <w:lang w:val="en-US"/>
        </w:rPr>
        <w:t xml:space="preserve"> 74% including infibulations (prevalence of 83.8% and 63.2% in</w:t>
      </w:r>
      <w:r>
        <w:rPr>
          <w:lang w:val="en-US"/>
        </w:rPr>
        <w:t xml:space="preserve"> Somali and Afar, respectively.)</w:t>
      </w:r>
      <w:r w:rsidR="00BF5CA9" w:rsidRPr="00262E95">
        <w:rPr>
          <w:lang w:val="en-US"/>
        </w:rPr>
        <w:t xml:space="preserve"> </w:t>
      </w:r>
      <w:r>
        <w:rPr>
          <w:lang w:val="en-US"/>
        </w:rPr>
        <w:t>W</w:t>
      </w:r>
      <w:r w:rsidR="00326969" w:rsidRPr="00262E95">
        <w:rPr>
          <w:lang w:val="en-US"/>
        </w:rPr>
        <w:t xml:space="preserve">omen are </w:t>
      </w:r>
      <w:r w:rsidR="00BF5CA9" w:rsidRPr="00262E95">
        <w:rPr>
          <w:lang w:val="en-US"/>
        </w:rPr>
        <w:t>underrepresented in the formal sector (only 35.9%</w:t>
      </w:r>
      <w:r>
        <w:rPr>
          <w:lang w:val="en-US"/>
        </w:rPr>
        <w:t>.</w:t>
      </w:r>
      <w:r w:rsidR="00BF5CA9" w:rsidRPr="00262E95">
        <w:rPr>
          <w:lang w:val="en-US"/>
        </w:rPr>
        <w:t>)</w:t>
      </w:r>
      <w:r>
        <w:rPr>
          <w:lang w:val="en-US"/>
        </w:rPr>
        <w:t xml:space="preserve">  </w:t>
      </w:r>
      <w:r w:rsidR="00326969" w:rsidRPr="00262E95">
        <w:rPr>
          <w:lang w:val="en-US"/>
        </w:rPr>
        <w:t>85% of them justify their husbands beating them</w:t>
      </w:r>
      <w:r w:rsidR="0088415C" w:rsidRPr="00262E95">
        <w:rPr>
          <w:lang w:val="en-US"/>
        </w:rPr>
        <w:t xml:space="preserve"> </w:t>
      </w:r>
      <w:r w:rsidR="00326969" w:rsidRPr="00262E95">
        <w:rPr>
          <w:lang w:val="en-GB"/>
        </w:rPr>
        <w:t>(DHS:2005)</w:t>
      </w:r>
      <w:r w:rsidR="0088415C" w:rsidRPr="00262E95">
        <w:rPr>
          <w:lang w:val="en-GB"/>
        </w:rPr>
        <w:t>.</w:t>
      </w:r>
      <w:r w:rsidR="00E309BA" w:rsidRPr="00262E95">
        <w:rPr>
          <w:lang w:val="en-GB"/>
        </w:rPr>
        <w:t xml:space="preserve"> </w:t>
      </w:r>
    </w:p>
    <w:p w:rsidR="00136B51" w:rsidRPr="00262E95" w:rsidRDefault="00136B51" w:rsidP="00A572E7">
      <w:pPr>
        <w:jc w:val="both"/>
        <w:rPr>
          <w:lang w:val="en-GB"/>
        </w:rPr>
      </w:pPr>
    </w:p>
    <w:p w:rsidR="00D66FE3" w:rsidRDefault="00F86E60" w:rsidP="00D66FE3">
      <w:pPr>
        <w:jc w:val="both"/>
        <w:rPr>
          <w:lang w:val="en-US"/>
        </w:rPr>
      </w:pPr>
      <w:r w:rsidRPr="00262E95">
        <w:rPr>
          <w:lang w:val="en-GB"/>
        </w:rPr>
        <w:t xml:space="preserve">It is </w:t>
      </w:r>
      <w:r w:rsidR="00136B51" w:rsidRPr="00262E95">
        <w:rPr>
          <w:lang w:val="en-US"/>
        </w:rPr>
        <w:t>additionally recognized that there is an inextricable linkage between gender based violence and HIV/AIDS</w:t>
      </w:r>
      <w:r w:rsidR="0088415C" w:rsidRPr="00262E95">
        <w:rPr>
          <w:lang w:val="en-US"/>
        </w:rPr>
        <w:t>,</w:t>
      </w:r>
      <w:r w:rsidR="00136B51" w:rsidRPr="00262E95">
        <w:rPr>
          <w:lang w:val="en-US"/>
        </w:rPr>
        <w:t xml:space="preserve"> leading to </w:t>
      </w:r>
      <w:r w:rsidR="0088415C" w:rsidRPr="00262E95">
        <w:rPr>
          <w:lang w:val="en-US"/>
        </w:rPr>
        <w:t xml:space="preserve">the </w:t>
      </w:r>
      <w:r w:rsidR="00136B51" w:rsidRPr="00262E95">
        <w:rPr>
          <w:lang w:val="en-US"/>
        </w:rPr>
        <w:t>feminization of HIV/AIDS. Stemming</w:t>
      </w:r>
      <w:r w:rsidR="00EB0517">
        <w:rPr>
          <w:lang w:val="en-US"/>
        </w:rPr>
        <w:t xml:space="preserve"> from the underlying </w:t>
      </w:r>
      <w:r w:rsidR="00136B51" w:rsidRPr="00262E95">
        <w:rPr>
          <w:lang w:val="en-US"/>
        </w:rPr>
        <w:t>gender inequality, women’s subjugation to early marriage, and limited access to information, poverty and weak negotiation capacity all lead to increasing women’s (particularly adolescent girls’) vulnerability to HIV and AIDS.</w:t>
      </w:r>
    </w:p>
    <w:p w:rsidR="002A0D00" w:rsidRDefault="00905E24" w:rsidP="00A425FD">
      <w:pPr>
        <w:autoSpaceDE w:val="0"/>
        <w:autoSpaceDN w:val="0"/>
        <w:adjustRightInd w:val="0"/>
        <w:jc w:val="both"/>
        <w:rPr>
          <w:b/>
          <w:bCs/>
          <w:lang w:val="en-GB"/>
        </w:rPr>
      </w:pPr>
      <w:r>
        <w:rPr>
          <w:lang w:val="en-US"/>
        </w:rPr>
        <w:t xml:space="preserve">About 70% of Ethiopian </w:t>
      </w:r>
      <w:r w:rsidR="001742C0">
        <w:rPr>
          <w:lang w:val="en-US"/>
        </w:rPr>
        <w:t>women accept that wife beating is a norm, in some regions of the country more than 45% of girls are getting married be</w:t>
      </w:r>
      <w:r w:rsidR="00EB0517">
        <w:rPr>
          <w:lang w:val="en-US"/>
        </w:rPr>
        <w:t>fore</w:t>
      </w:r>
      <w:r w:rsidR="001742C0">
        <w:rPr>
          <w:lang w:val="en-US"/>
        </w:rPr>
        <w:t xml:space="preserve"> the age of 18</w:t>
      </w:r>
      <w:r w:rsidR="002A0D00">
        <w:rPr>
          <w:lang w:val="en-US"/>
        </w:rPr>
        <w:t xml:space="preserve"> (WHO:2002; </w:t>
      </w:r>
      <w:hyperlink r:id="rId7" w:history="1">
        <w:r w:rsidR="001742C0" w:rsidRPr="00642EAA">
          <w:rPr>
            <w:rStyle w:val="Hyperlink"/>
            <w:lang w:val="en-US"/>
          </w:rPr>
          <w:t>http://www.egldam-fgm-net/include/EM_</w:t>
        </w:r>
      </w:hyperlink>
      <w:r w:rsidR="00A94233">
        <w:rPr>
          <w:lang w:val="en-US"/>
        </w:rPr>
        <w:t xml:space="preserve">.) </w:t>
      </w:r>
      <w:r w:rsidR="00EB0517">
        <w:rPr>
          <w:lang w:val="en-US"/>
        </w:rPr>
        <w:t>Only 15</w:t>
      </w:r>
      <w:r w:rsidR="00C90282">
        <w:rPr>
          <w:lang w:val="en-US"/>
        </w:rPr>
        <w:t xml:space="preserve">% </w:t>
      </w:r>
      <w:r w:rsidR="00EB0517">
        <w:rPr>
          <w:lang w:val="en-US"/>
        </w:rPr>
        <w:t xml:space="preserve">of </w:t>
      </w:r>
      <w:r w:rsidR="00C90282">
        <w:rPr>
          <w:lang w:val="en-US"/>
        </w:rPr>
        <w:t>marri</w:t>
      </w:r>
      <w:r w:rsidR="001C04EC">
        <w:rPr>
          <w:lang w:val="en-US"/>
        </w:rPr>
        <w:t xml:space="preserve">ed women </w:t>
      </w:r>
      <w:r w:rsidR="00EB0517">
        <w:rPr>
          <w:lang w:val="en-US"/>
        </w:rPr>
        <w:t>can make independent decisions</w:t>
      </w:r>
      <w:r w:rsidR="001C04EC">
        <w:rPr>
          <w:lang w:val="en-US"/>
        </w:rPr>
        <w:t xml:space="preserve"> on their</w:t>
      </w:r>
      <w:r w:rsidR="00C90282">
        <w:rPr>
          <w:lang w:val="en-US"/>
        </w:rPr>
        <w:t xml:space="preserve"> own health and 1/3 of them reported </w:t>
      </w:r>
      <w:r w:rsidR="00EB0517">
        <w:rPr>
          <w:lang w:val="en-US"/>
        </w:rPr>
        <w:t>that their husbands decide with</w:t>
      </w:r>
      <w:r w:rsidR="00C90282">
        <w:rPr>
          <w:lang w:val="en-US"/>
        </w:rPr>
        <w:t>out consulting them. (DHS:2005)</w:t>
      </w:r>
    </w:p>
    <w:p w:rsidR="002A0D00" w:rsidRPr="00262E95" w:rsidRDefault="002A0D00" w:rsidP="001B70AB">
      <w:pPr>
        <w:outlineLvl w:val="0"/>
        <w:rPr>
          <w:b/>
          <w:bCs/>
          <w:lang w:val="en-GB"/>
        </w:rPr>
      </w:pPr>
    </w:p>
    <w:p w:rsidR="00CC5A82" w:rsidRPr="00262E95" w:rsidRDefault="006978EF" w:rsidP="001B70AB">
      <w:pPr>
        <w:outlineLvl w:val="0"/>
        <w:rPr>
          <w:b/>
          <w:bCs/>
          <w:lang w:val="en-GB"/>
        </w:rPr>
      </w:pPr>
      <w:r w:rsidRPr="00262E95">
        <w:rPr>
          <w:b/>
          <w:bCs/>
          <w:lang w:val="en-GB"/>
        </w:rPr>
        <w:t>d. I</w:t>
      </w:r>
      <w:r w:rsidR="008370E7" w:rsidRPr="00262E95">
        <w:rPr>
          <w:b/>
          <w:bCs/>
          <w:lang w:val="en-GB"/>
        </w:rPr>
        <w:t>nterve</w:t>
      </w:r>
      <w:r w:rsidRPr="00262E95">
        <w:rPr>
          <w:b/>
          <w:bCs/>
          <w:lang w:val="en-GB"/>
        </w:rPr>
        <w:t>ntion logic</w:t>
      </w:r>
    </w:p>
    <w:p w:rsidR="00F86E60" w:rsidRPr="00262E95" w:rsidRDefault="00F86E60" w:rsidP="00CC5A82">
      <w:pPr>
        <w:outlineLvl w:val="0"/>
        <w:rPr>
          <w:lang w:val="en-US"/>
        </w:rPr>
      </w:pPr>
      <w:r w:rsidRPr="00262E95">
        <w:rPr>
          <w:lang w:val="en-US"/>
        </w:rPr>
        <w:t xml:space="preserve">In the Development </w:t>
      </w:r>
      <w:r w:rsidR="0088415C" w:rsidRPr="00262E95">
        <w:rPr>
          <w:lang w:val="en-US"/>
        </w:rPr>
        <w:t>C</w:t>
      </w:r>
      <w:r w:rsidRPr="00262E95">
        <w:rPr>
          <w:lang w:val="en-US"/>
        </w:rPr>
        <w:t>ooperation</w:t>
      </w:r>
      <w:r w:rsidR="0088415C" w:rsidRPr="00262E95">
        <w:rPr>
          <w:lang w:val="en-US"/>
        </w:rPr>
        <w:t xml:space="preserve"> policy</w:t>
      </w:r>
      <w:r w:rsidRPr="00262E95">
        <w:rPr>
          <w:lang w:val="en-US"/>
        </w:rPr>
        <w:t xml:space="preserve"> of the Netherlands</w:t>
      </w:r>
      <w:r w:rsidR="00B501D6" w:rsidRPr="00262E95">
        <w:rPr>
          <w:lang w:val="en-US"/>
        </w:rPr>
        <w:t>,</w:t>
      </w:r>
      <w:r w:rsidRPr="00262E95">
        <w:rPr>
          <w:lang w:val="en-US"/>
        </w:rPr>
        <w:t xml:space="preserve"> the</w:t>
      </w:r>
      <w:r w:rsidRPr="00262E95">
        <w:rPr>
          <w:color w:val="333333"/>
          <w:lang w:val="en-GB"/>
        </w:rPr>
        <w:t xml:space="preserve"> </w:t>
      </w:r>
      <w:r w:rsidR="00724501">
        <w:rPr>
          <w:color w:val="333333"/>
          <w:lang w:val="en-GB"/>
        </w:rPr>
        <w:t xml:space="preserve">respect of </w:t>
      </w:r>
      <w:r w:rsidRPr="00262E95">
        <w:rPr>
          <w:color w:val="333333"/>
          <w:lang w:val="en-GB"/>
        </w:rPr>
        <w:t xml:space="preserve">rights of women and the fight against violence against women is a priority; </w:t>
      </w:r>
      <w:r w:rsidRPr="00262E95">
        <w:rPr>
          <w:lang w:val="en-US"/>
        </w:rPr>
        <w:t>active participation</w:t>
      </w:r>
      <w:r w:rsidR="00B501D6" w:rsidRPr="00262E95">
        <w:rPr>
          <w:lang w:val="en-US"/>
        </w:rPr>
        <w:t xml:space="preserve"> of women and girls</w:t>
      </w:r>
      <w:r w:rsidRPr="00262E95">
        <w:rPr>
          <w:lang w:val="en-US"/>
        </w:rPr>
        <w:t xml:space="preserve"> to decide on their needs and problems at all stages </w:t>
      </w:r>
      <w:r w:rsidR="00FD46B1">
        <w:rPr>
          <w:lang w:val="en-US"/>
        </w:rPr>
        <w:t>and in all realms of life is another.</w:t>
      </w:r>
    </w:p>
    <w:p w:rsidR="00B501D6" w:rsidRPr="00262E95" w:rsidRDefault="00B501D6" w:rsidP="00F86E60">
      <w:pPr>
        <w:jc w:val="both"/>
        <w:rPr>
          <w:lang w:val="en-US"/>
        </w:rPr>
      </w:pPr>
    </w:p>
    <w:p w:rsidR="00724501" w:rsidRDefault="00724501" w:rsidP="0023057E">
      <w:pPr>
        <w:jc w:val="both"/>
        <w:rPr>
          <w:lang w:val="en-US"/>
        </w:rPr>
      </w:pPr>
      <w:r>
        <w:rPr>
          <w:lang w:val="en-US"/>
        </w:rPr>
        <w:t xml:space="preserve">In order to achieve results two forms of intervention have been identified: 1) gender specific activities, directly addressing the above issues and 2) mainstreaming gender issues in the existing development program of the Embassy. </w:t>
      </w:r>
    </w:p>
    <w:p w:rsidR="0023057E" w:rsidRDefault="00724501" w:rsidP="0023057E">
      <w:pPr>
        <w:jc w:val="both"/>
        <w:rPr>
          <w:lang w:val="en-GB"/>
        </w:rPr>
      </w:pPr>
      <w:r>
        <w:rPr>
          <w:lang w:val="en-US"/>
        </w:rPr>
        <w:t xml:space="preserve">Ad 1: </w:t>
      </w:r>
      <w:r w:rsidR="005E0507" w:rsidRPr="00262E95">
        <w:rPr>
          <w:lang w:val="en-GB"/>
        </w:rPr>
        <w:t xml:space="preserve">Strengthening the capacity of government and CSO institutions responsible for </w:t>
      </w:r>
      <w:r w:rsidR="00FD46B1">
        <w:rPr>
          <w:lang w:val="en-GB"/>
        </w:rPr>
        <w:t xml:space="preserve">the </w:t>
      </w:r>
      <w:r w:rsidR="005E0507" w:rsidRPr="00262E95">
        <w:rPr>
          <w:lang w:val="en-GB"/>
        </w:rPr>
        <w:t xml:space="preserve">protection and fighting for the </w:t>
      </w:r>
      <w:r w:rsidR="00FD46B1">
        <w:rPr>
          <w:lang w:val="en-GB"/>
        </w:rPr>
        <w:t>rights of women is one of our</w:t>
      </w:r>
      <w:r w:rsidR="005E0507" w:rsidRPr="00262E95">
        <w:rPr>
          <w:lang w:val="en-GB"/>
        </w:rPr>
        <w:t xml:space="preserve"> strategic result area</w:t>
      </w:r>
      <w:r w:rsidR="00FD46B1">
        <w:rPr>
          <w:lang w:val="en-GB"/>
        </w:rPr>
        <w:t>s</w:t>
      </w:r>
      <w:r w:rsidR="005E0507" w:rsidRPr="00262E95">
        <w:rPr>
          <w:lang w:val="en-GB"/>
        </w:rPr>
        <w:t xml:space="preserve">. </w:t>
      </w:r>
      <w:r w:rsidR="0023057E">
        <w:rPr>
          <w:lang w:val="en-GB"/>
        </w:rPr>
        <w:t>The Embassy has been supporting programs on violence against women, women in peace building and conflict resolution, gender in leadership and decision making and women</w:t>
      </w:r>
      <w:r w:rsidR="00FD46B1">
        <w:rPr>
          <w:lang w:val="en-GB"/>
        </w:rPr>
        <w:t>’s</w:t>
      </w:r>
      <w:r w:rsidR="0023057E">
        <w:rPr>
          <w:lang w:val="en-GB"/>
        </w:rPr>
        <w:t xml:space="preserve"> </w:t>
      </w:r>
      <w:r w:rsidR="00FD46B1">
        <w:rPr>
          <w:lang w:val="en-GB"/>
        </w:rPr>
        <w:t>economic empowerment. As a consequence, it has been a pioneer contributor to</w:t>
      </w:r>
      <w:r w:rsidR="0023057E">
        <w:rPr>
          <w:lang w:val="en-GB"/>
        </w:rPr>
        <w:t xml:space="preserve"> the gender pooled fund</w:t>
      </w:r>
      <w:r w:rsidR="00FD46B1">
        <w:rPr>
          <w:lang w:val="en-GB"/>
        </w:rPr>
        <w:t>,</w:t>
      </w:r>
      <w:r w:rsidR="0023057E">
        <w:rPr>
          <w:lang w:val="en-GB"/>
        </w:rPr>
        <w:t xml:space="preserve"> designed to strengthen the capacity of the Ministry of women, youth and children Affairs with a particular emphasis on strategic studies, capacity building, institutional strengthening and </w:t>
      </w:r>
      <w:r w:rsidR="00FD46B1">
        <w:rPr>
          <w:lang w:val="en-GB"/>
        </w:rPr>
        <w:t xml:space="preserve">creating a </w:t>
      </w:r>
      <w:r w:rsidR="0023057E">
        <w:rPr>
          <w:lang w:val="en-GB"/>
        </w:rPr>
        <w:t xml:space="preserve">participatory dialogue forum. </w:t>
      </w:r>
      <w:r w:rsidR="00FD46B1">
        <w:rPr>
          <w:lang w:val="en-GB"/>
        </w:rPr>
        <w:t xml:space="preserve">These </w:t>
      </w:r>
      <w:r w:rsidR="0023057E" w:rsidRPr="00690493">
        <w:rPr>
          <w:lang w:val="en-GB"/>
        </w:rPr>
        <w:t>approaches</w:t>
      </w:r>
      <w:r w:rsidR="00FD46B1">
        <w:rPr>
          <w:lang w:val="en-GB"/>
        </w:rPr>
        <w:t xml:space="preserve"> have to be as comp</w:t>
      </w:r>
      <w:r w:rsidR="0023057E" w:rsidRPr="00690493">
        <w:rPr>
          <w:lang w:val="en-GB"/>
        </w:rPr>
        <w:t>rehensive</w:t>
      </w:r>
      <w:r w:rsidR="0023057E">
        <w:rPr>
          <w:lang w:val="en-GB"/>
        </w:rPr>
        <w:t xml:space="preserve"> and evidence based</w:t>
      </w:r>
      <w:r w:rsidR="0023057E" w:rsidRPr="00690493">
        <w:rPr>
          <w:lang w:val="en-GB"/>
        </w:rPr>
        <w:t xml:space="preserve"> as possible</w:t>
      </w:r>
      <w:r w:rsidR="0023057E">
        <w:rPr>
          <w:lang w:val="en-GB"/>
        </w:rPr>
        <w:t xml:space="preserve">. </w:t>
      </w:r>
    </w:p>
    <w:p w:rsidR="00724501" w:rsidRPr="00DD37C1" w:rsidRDefault="00724501" w:rsidP="0023057E">
      <w:pPr>
        <w:jc w:val="both"/>
        <w:rPr>
          <w:sz w:val="22"/>
          <w:szCs w:val="22"/>
          <w:lang w:val="en-GB"/>
        </w:rPr>
      </w:pPr>
      <w:r>
        <w:rPr>
          <w:lang w:val="en-GB"/>
        </w:rPr>
        <w:t>Ad 2: Results are less visible, but in the Education sector and Health and HIV.AIDS-related activities of the Embassy, the inclusion of gender issues in programmes (extra focus on girls’education and specific attention to the needs of women and girls in Health and HIV/AIDS activities are examples.</w:t>
      </w:r>
    </w:p>
    <w:p w:rsidR="007D5FE8" w:rsidRPr="00262E95" w:rsidRDefault="007D5FE8" w:rsidP="009927E0">
      <w:pPr>
        <w:rPr>
          <w:lang w:val="en-GB"/>
        </w:rPr>
      </w:pPr>
    </w:p>
    <w:p w:rsidR="007D5FE8" w:rsidRPr="00262E95" w:rsidRDefault="007D5FE8" w:rsidP="009927E0">
      <w:pPr>
        <w:rPr>
          <w:lang w:val="en-GB"/>
        </w:rPr>
      </w:pPr>
    </w:p>
    <w:p w:rsidR="004B78CD" w:rsidRPr="005347CB" w:rsidRDefault="008370E7" w:rsidP="005347CB">
      <w:pPr>
        <w:outlineLvl w:val="0"/>
        <w:rPr>
          <w:b/>
          <w:bCs/>
          <w:lang w:val="en-GB"/>
        </w:rPr>
      </w:pPr>
      <w:r w:rsidRPr="00262E95">
        <w:rPr>
          <w:b/>
          <w:bCs/>
          <w:lang w:val="en-GB"/>
        </w:rPr>
        <w:t xml:space="preserve">2. </w:t>
      </w:r>
      <w:r w:rsidR="004B78CD" w:rsidRPr="00262E95">
        <w:rPr>
          <w:b/>
          <w:bCs/>
          <w:lang w:val="en-GB"/>
        </w:rPr>
        <w:t>RESULTS</w:t>
      </w:r>
      <w:r w:rsidR="00F40E39" w:rsidRPr="00262E95">
        <w:rPr>
          <w:b/>
          <w:bCs/>
          <w:lang w:val="en-GB"/>
        </w:rPr>
        <w:t xml:space="preserve"> ANDS LESSONS LEARNED</w:t>
      </w:r>
    </w:p>
    <w:p w:rsidR="00DD5C33" w:rsidRPr="00262E95" w:rsidRDefault="00DD5C33" w:rsidP="001B70AB">
      <w:pPr>
        <w:numPr>
          <w:ilvl w:val="0"/>
          <w:numId w:val="1"/>
        </w:numPr>
        <w:outlineLvl w:val="0"/>
        <w:rPr>
          <w:b/>
          <w:bCs/>
          <w:lang w:val="en-GB"/>
        </w:rPr>
      </w:pPr>
      <w:r w:rsidRPr="00262E95">
        <w:rPr>
          <w:b/>
          <w:bCs/>
          <w:lang w:val="en-GB"/>
        </w:rPr>
        <w:t>What was achieved and why</w:t>
      </w:r>
      <w:r w:rsidR="008370E7" w:rsidRPr="00262E95">
        <w:rPr>
          <w:b/>
          <w:bCs/>
          <w:lang w:val="en-GB"/>
        </w:rPr>
        <w:t>? What made it happen?</w:t>
      </w:r>
    </w:p>
    <w:p w:rsidR="007D5FE8" w:rsidRDefault="006E0D85" w:rsidP="00A572E7">
      <w:pPr>
        <w:jc w:val="both"/>
        <w:rPr>
          <w:lang w:val="en-GB"/>
        </w:rPr>
      </w:pPr>
      <w:r w:rsidRPr="00262E95">
        <w:rPr>
          <w:lang w:val="en-GB"/>
        </w:rPr>
        <w:t>The gender and women related programs financed by t</w:t>
      </w:r>
      <w:r w:rsidR="005347CB">
        <w:rPr>
          <w:lang w:val="en-GB"/>
        </w:rPr>
        <w:t>he Embassy have registered</w:t>
      </w:r>
      <w:r w:rsidRPr="00262E95">
        <w:rPr>
          <w:lang w:val="en-GB"/>
        </w:rPr>
        <w:t xml:space="preserve"> </w:t>
      </w:r>
      <w:r w:rsidR="00025372" w:rsidRPr="00262E95">
        <w:rPr>
          <w:lang w:val="en-GB"/>
        </w:rPr>
        <w:t>hopeful</w:t>
      </w:r>
      <w:r w:rsidRPr="00262E95">
        <w:rPr>
          <w:lang w:val="en-GB"/>
        </w:rPr>
        <w:t xml:space="preserve"> results.</w:t>
      </w:r>
      <w:r w:rsidR="00773D2A">
        <w:rPr>
          <w:lang w:val="en-GB"/>
        </w:rPr>
        <w:t xml:space="preserve"> The</w:t>
      </w:r>
      <w:r w:rsidR="005347CB">
        <w:rPr>
          <w:lang w:val="en-GB"/>
        </w:rPr>
        <w:t>se</w:t>
      </w:r>
      <w:r w:rsidR="00773D2A">
        <w:rPr>
          <w:lang w:val="en-GB"/>
        </w:rPr>
        <w:t xml:space="preserve"> program</w:t>
      </w:r>
      <w:r w:rsidR="005347CB">
        <w:rPr>
          <w:lang w:val="en-GB"/>
        </w:rPr>
        <w:t>s strengthen the</w:t>
      </w:r>
      <w:r w:rsidR="00773D2A">
        <w:rPr>
          <w:lang w:val="en-GB"/>
        </w:rPr>
        <w:t xml:space="preserve"> enabling environment to reduce VAW in partnership with local leaders, law enforcement structures and media, through support to the national Gender Based Violenc</w:t>
      </w:r>
      <w:r w:rsidR="005347CB">
        <w:rPr>
          <w:lang w:val="en-GB"/>
        </w:rPr>
        <w:t>e Campaign Group Ethiopia and</w:t>
      </w:r>
      <w:r w:rsidR="00773D2A">
        <w:rPr>
          <w:lang w:val="en-GB"/>
        </w:rPr>
        <w:t xml:space="preserve"> strengthen</w:t>
      </w:r>
      <w:r w:rsidR="005347CB">
        <w:rPr>
          <w:lang w:val="en-GB"/>
        </w:rPr>
        <w:t>ing</w:t>
      </w:r>
      <w:r w:rsidR="00773D2A">
        <w:rPr>
          <w:lang w:val="en-GB"/>
        </w:rPr>
        <w:t xml:space="preserve"> institutional and community based p</w:t>
      </w:r>
      <w:r w:rsidR="005347CB">
        <w:rPr>
          <w:lang w:val="en-GB"/>
        </w:rPr>
        <w:t>rograms in support of care and s</w:t>
      </w:r>
      <w:r w:rsidR="00773D2A">
        <w:rPr>
          <w:lang w:val="en-GB"/>
        </w:rPr>
        <w:t>ocial support</w:t>
      </w:r>
      <w:r w:rsidR="005347CB">
        <w:rPr>
          <w:lang w:val="en-GB"/>
        </w:rPr>
        <w:t xml:space="preserve"> to victims of violence with a</w:t>
      </w:r>
      <w:r w:rsidR="00773D2A">
        <w:rPr>
          <w:lang w:val="en-GB"/>
        </w:rPr>
        <w:t xml:space="preserve"> particular focus on adolescent girls and women in rural Ethiopia</w:t>
      </w:r>
      <w:r w:rsidR="005347CB">
        <w:rPr>
          <w:lang w:val="en-GB"/>
        </w:rPr>
        <w:t xml:space="preserve">. </w:t>
      </w:r>
      <w:r w:rsidRPr="00262E95">
        <w:rPr>
          <w:lang w:val="en-GB"/>
        </w:rPr>
        <w:t>Th</w:t>
      </w:r>
      <w:r w:rsidR="0023057E">
        <w:rPr>
          <w:lang w:val="en-GB"/>
        </w:rPr>
        <w:t>is</w:t>
      </w:r>
      <w:r w:rsidRPr="00262E95">
        <w:rPr>
          <w:lang w:val="en-GB"/>
        </w:rPr>
        <w:t xml:space="preserve"> integrated approach </w:t>
      </w:r>
      <w:r w:rsidR="005347CB">
        <w:rPr>
          <w:lang w:val="en-GB"/>
        </w:rPr>
        <w:t>of awareness raising, institutional strenthening and direct support has created</w:t>
      </w:r>
      <w:r w:rsidR="00650D1F" w:rsidRPr="00262E95">
        <w:rPr>
          <w:lang w:val="en-GB"/>
        </w:rPr>
        <w:t xml:space="preserve"> greater impact. More than</w:t>
      </w:r>
      <w:r w:rsidRPr="00262E95">
        <w:rPr>
          <w:lang w:val="en-GB"/>
        </w:rPr>
        <w:t xml:space="preserve"> 500,000</w:t>
      </w:r>
      <w:r w:rsidR="00BE707C" w:rsidRPr="00262E95">
        <w:rPr>
          <w:lang w:val="en-GB"/>
        </w:rPr>
        <w:t xml:space="preserve"> people</w:t>
      </w:r>
      <w:r w:rsidR="005347CB">
        <w:rPr>
          <w:lang w:val="en-GB"/>
        </w:rPr>
        <w:t xml:space="preserve"> have been</w:t>
      </w:r>
      <w:r w:rsidRPr="00262E95">
        <w:rPr>
          <w:lang w:val="en-GB"/>
        </w:rPr>
        <w:t xml:space="preserve"> reached through awareness raising and advocacy activities. Government is on its way to endorse national working guidelines and communit</w:t>
      </w:r>
      <w:r w:rsidR="00947B72" w:rsidRPr="00262E95">
        <w:rPr>
          <w:lang w:val="en-GB"/>
        </w:rPr>
        <w:t>ies</w:t>
      </w:r>
      <w:r w:rsidRPr="00262E95">
        <w:rPr>
          <w:lang w:val="en-GB"/>
        </w:rPr>
        <w:t xml:space="preserve"> </w:t>
      </w:r>
      <w:r w:rsidR="00947B72" w:rsidRPr="00262E95">
        <w:rPr>
          <w:lang w:val="en-GB"/>
        </w:rPr>
        <w:t>are</w:t>
      </w:r>
      <w:r w:rsidRPr="00262E95">
        <w:rPr>
          <w:lang w:val="en-GB"/>
        </w:rPr>
        <w:t xml:space="preserve"> amending </w:t>
      </w:r>
      <w:r w:rsidR="00947B72" w:rsidRPr="00262E95">
        <w:rPr>
          <w:lang w:val="en-GB"/>
        </w:rPr>
        <w:t xml:space="preserve">their </w:t>
      </w:r>
      <w:r w:rsidRPr="00262E95">
        <w:rPr>
          <w:lang w:val="en-GB"/>
        </w:rPr>
        <w:t xml:space="preserve">customary laws and establishing local structures to make its environment </w:t>
      </w:r>
      <w:r w:rsidR="00025372" w:rsidRPr="00262E95">
        <w:rPr>
          <w:lang w:val="en-GB"/>
        </w:rPr>
        <w:t>free from violence</w:t>
      </w:r>
      <w:r w:rsidR="005347CB">
        <w:rPr>
          <w:lang w:val="en-GB"/>
        </w:rPr>
        <w:t xml:space="preserve">. </w:t>
      </w:r>
      <w:r w:rsidR="00F2709F">
        <w:rPr>
          <w:lang w:val="en-GB"/>
        </w:rPr>
        <w:t>More than a thousand w</w:t>
      </w:r>
      <w:r w:rsidR="0023057E" w:rsidRPr="00690493">
        <w:rPr>
          <w:lang w:val="en-GB"/>
        </w:rPr>
        <w:t xml:space="preserve">omen and girls got </w:t>
      </w:r>
      <w:r w:rsidR="00F2709F">
        <w:rPr>
          <w:lang w:val="en-GB"/>
        </w:rPr>
        <w:t>various services and support</w:t>
      </w:r>
      <w:r w:rsidR="0023057E">
        <w:rPr>
          <w:lang w:val="en-GB"/>
        </w:rPr>
        <w:t xml:space="preserve"> including medical treatment, protection service,  psycho-social counselling and free legal aid</w:t>
      </w:r>
      <w:r w:rsidR="0023057E" w:rsidRPr="00690493">
        <w:rPr>
          <w:lang w:val="en-GB"/>
        </w:rPr>
        <w:t xml:space="preserve">. </w:t>
      </w:r>
    </w:p>
    <w:p w:rsidR="0023057E" w:rsidRPr="00262E95" w:rsidRDefault="0023057E" w:rsidP="00A572E7">
      <w:pPr>
        <w:jc w:val="both"/>
        <w:rPr>
          <w:lang w:val="en-GB"/>
        </w:rPr>
      </w:pPr>
    </w:p>
    <w:p w:rsidR="00C932B1" w:rsidRDefault="000F2AED" w:rsidP="00A572E7">
      <w:pPr>
        <w:jc w:val="both"/>
        <w:rPr>
          <w:lang w:val="en-GB"/>
        </w:rPr>
      </w:pPr>
      <w:r w:rsidRPr="00262E95">
        <w:rPr>
          <w:lang w:val="en-GB"/>
        </w:rPr>
        <w:t>The</w:t>
      </w:r>
      <w:r w:rsidR="007D5FE8" w:rsidRPr="00262E95">
        <w:rPr>
          <w:lang w:val="en-GB"/>
        </w:rPr>
        <w:t xml:space="preserve"> </w:t>
      </w:r>
      <w:r w:rsidR="00D83925" w:rsidRPr="00262E95">
        <w:rPr>
          <w:i/>
          <w:lang w:val="en-GB"/>
        </w:rPr>
        <w:t xml:space="preserve">women in </w:t>
      </w:r>
      <w:r w:rsidR="00947B72" w:rsidRPr="00262E95">
        <w:rPr>
          <w:i/>
          <w:lang w:val="en-GB"/>
        </w:rPr>
        <w:t xml:space="preserve">the </w:t>
      </w:r>
      <w:r w:rsidR="007D5FE8" w:rsidRPr="00262E95">
        <w:rPr>
          <w:i/>
          <w:lang w:val="en-GB"/>
        </w:rPr>
        <w:t>peace building and conflict resolution</w:t>
      </w:r>
      <w:r w:rsidR="007D5FE8" w:rsidRPr="00262E95">
        <w:rPr>
          <w:lang w:val="en-GB"/>
        </w:rPr>
        <w:t xml:space="preserve"> project</w:t>
      </w:r>
      <w:r w:rsidR="00E02D64" w:rsidRPr="00262E95">
        <w:rPr>
          <w:lang w:val="en-GB"/>
        </w:rPr>
        <w:t xml:space="preserve"> (designed to contribute to the realization of UNSC 1325)</w:t>
      </w:r>
      <w:r w:rsidR="007D5FE8" w:rsidRPr="00262E95">
        <w:rPr>
          <w:lang w:val="en-GB"/>
        </w:rPr>
        <w:t xml:space="preserve">, lately re-named to </w:t>
      </w:r>
      <w:r w:rsidR="007D5FE8" w:rsidRPr="00262E95">
        <w:rPr>
          <w:i/>
          <w:lang w:val="en-GB"/>
        </w:rPr>
        <w:t>women in disaster</w:t>
      </w:r>
      <w:r w:rsidR="00DF0049" w:rsidRPr="00262E95">
        <w:rPr>
          <w:i/>
          <w:lang w:val="en-GB"/>
        </w:rPr>
        <w:t xml:space="preserve"> and</w:t>
      </w:r>
      <w:r w:rsidR="007D5FE8" w:rsidRPr="00262E95">
        <w:rPr>
          <w:i/>
          <w:lang w:val="en-GB"/>
        </w:rPr>
        <w:t xml:space="preserve"> risk reduction</w:t>
      </w:r>
      <w:r w:rsidRPr="00262E95">
        <w:rPr>
          <w:lang w:val="en-GB"/>
        </w:rPr>
        <w:t xml:space="preserve"> </w:t>
      </w:r>
      <w:r w:rsidR="00F2709F">
        <w:rPr>
          <w:lang w:val="en-GB"/>
        </w:rPr>
        <w:t>has resulted in the p</w:t>
      </w:r>
      <w:r w:rsidR="007922E4" w:rsidRPr="00262E95">
        <w:rPr>
          <w:lang w:val="en-GB"/>
        </w:rPr>
        <w:t xml:space="preserve">ublication of </w:t>
      </w:r>
      <w:r w:rsidR="00947B72" w:rsidRPr="00262E95">
        <w:rPr>
          <w:lang w:val="en-GB"/>
        </w:rPr>
        <w:t xml:space="preserve">a so-called </w:t>
      </w:r>
      <w:r w:rsidR="007922E4" w:rsidRPr="00262E95">
        <w:rPr>
          <w:lang w:val="en-GB"/>
        </w:rPr>
        <w:t>peace book, formation</w:t>
      </w:r>
      <w:r w:rsidR="00F2709F">
        <w:rPr>
          <w:lang w:val="en-GB"/>
        </w:rPr>
        <w:t xml:space="preserve"> of</w:t>
      </w:r>
      <w:r w:rsidR="007922E4" w:rsidRPr="00262E95">
        <w:rPr>
          <w:lang w:val="en-GB"/>
        </w:rPr>
        <w:t xml:space="preserve"> community peace clubs, conducting capacity </w:t>
      </w:r>
      <w:r w:rsidR="007C190A" w:rsidRPr="00262E95">
        <w:rPr>
          <w:lang w:val="en-GB"/>
        </w:rPr>
        <w:t>building</w:t>
      </w:r>
      <w:r w:rsidR="007922E4" w:rsidRPr="00262E95">
        <w:rPr>
          <w:lang w:val="en-GB"/>
        </w:rPr>
        <w:t xml:space="preserve"> </w:t>
      </w:r>
      <w:r w:rsidR="007C190A" w:rsidRPr="00262E95">
        <w:rPr>
          <w:lang w:val="en-GB"/>
        </w:rPr>
        <w:t>conferences</w:t>
      </w:r>
      <w:r w:rsidR="007922E4" w:rsidRPr="00262E95">
        <w:rPr>
          <w:lang w:val="en-GB"/>
        </w:rPr>
        <w:t xml:space="preserve"> and workshop</w:t>
      </w:r>
      <w:r w:rsidR="00DC1E00" w:rsidRPr="00262E95">
        <w:rPr>
          <w:lang w:val="en-GB"/>
        </w:rPr>
        <w:t>s</w:t>
      </w:r>
      <w:r w:rsidR="007922E4" w:rsidRPr="00262E95">
        <w:rPr>
          <w:lang w:val="en-GB"/>
        </w:rPr>
        <w:t xml:space="preserve"> for women and using media to promote the role of women in peace building and conflict resolution are </w:t>
      </w:r>
      <w:r w:rsidR="007C190A" w:rsidRPr="00262E95">
        <w:rPr>
          <w:lang w:val="en-GB"/>
        </w:rPr>
        <w:t xml:space="preserve">few of the achievements. </w:t>
      </w:r>
      <w:r w:rsidR="00F2709F">
        <w:rPr>
          <w:lang w:val="en-GB"/>
        </w:rPr>
        <w:t>These outcomes have impacted in the form of less vio;lence in IDP- and refugee camps and a greater role of women in the implementation of Disaster Risk Management activities (for instance in the Productive Safety Net program.)</w:t>
      </w:r>
    </w:p>
    <w:p w:rsidR="0073691F" w:rsidRPr="00262E95" w:rsidRDefault="0073691F" w:rsidP="00A572E7">
      <w:pPr>
        <w:jc w:val="both"/>
        <w:rPr>
          <w:lang w:val="en-GB"/>
        </w:rPr>
      </w:pPr>
    </w:p>
    <w:p w:rsidR="00DF0049" w:rsidRDefault="00650D1F" w:rsidP="00A572E7">
      <w:pPr>
        <w:jc w:val="both"/>
        <w:rPr>
          <w:color w:val="333333"/>
          <w:lang w:val="en-GB"/>
        </w:rPr>
      </w:pPr>
      <w:r w:rsidRPr="00262E95">
        <w:rPr>
          <w:lang w:val="en-GB"/>
        </w:rPr>
        <w:t>The</w:t>
      </w:r>
      <w:r w:rsidR="00F2709F">
        <w:rPr>
          <w:lang w:val="en-GB"/>
        </w:rPr>
        <w:t xml:space="preserve"> co-funcing of</w:t>
      </w:r>
      <w:r w:rsidR="000F2AED" w:rsidRPr="00262E95">
        <w:rPr>
          <w:lang w:val="en-GB"/>
        </w:rPr>
        <w:t xml:space="preserve"> the gender pool</w:t>
      </w:r>
      <w:r w:rsidR="00DC1E00" w:rsidRPr="00262E95">
        <w:rPr>
          <w:lang w:val="en-GB"/>
        </w:rPr>
        <w:t>ed</w:t>
      </w:r>
      <w:r w:rsidR="00297D0F">
        <w:rPr>
          <w:lang w:val="en-GB"/>
        </w:rPr>
        <w:t xml:space="preserve"> fund and the </w:t>
      </w:r>
      <w:r w:rsidR="000F2AED" w:rsidRPr="00262E95">
        <w:rPr>
          <w:lang w:val="en-GB"/>
        </w:rPr>
        <w:t>DGGE</w:t>
      </w:r>
      <w:r w:rsidR="00DC1E00" w:rsidRPr="00262E95">
        <w:rPr>
          <w:lang w:val="en-GB"/>
        </w:rPr>
        <w:t xml:space="preserve"> (</w:t>
      </w:r>
      <w:r w:rsidR="000F5420">
        <w:rPr>
          <w:lang w:val="en-GB"/>
        </w:rPr>
        <w:t>Donor Group on Gender Equality</w:t>
      </w:r>
      <w:r w:rsidR="00DC1E00" w:rsidRPr="00262E95">
        <w:rPr>
          <w:lang w:val="en-GB"/>
        </w:rPr>
        <w:t>)</w:t>
      </w:r>
      <w:r w:rsidR="000F2AED" w:rsidRPr="00262E95">
        <w:rPr>
          <w:lang w:val="en-GB"/>
        </w:rPr>
        <w:t xml:space="preserve"> and sec</w:t>
      </w:r>
      <w:r w:rsidR="00297D0F">
        <w:rPr>
          <w:lang w:val="en-GB"/>
        </w:rPr>
        <w:t>tor working group engagements are</w:t>
      </w:r>
      <w:r w:rsidR="000F2AED" w:rsidRPr="00262E95">
        <w:rPr>
          <w:lang w:val="en-GB"/>
        </w:rPr>
        <w:t xml:space="preserve"> </w:t>
      </w:r>
      <w:r w:rsidR="00040370" w:rsidRPr="00262E95">
        <w:rPr>
          <w:lang w:val="en-GB"/>
        </w:rPr>
        <w:t>continuing</w:t>
      </w:r>
      <w:r w:rsidR="000F2AED" w:rsidRPr="00262E95">
        <w:rPr>
          <w:lang w:val="en-GB"/>
        </w:rPr>
        <w:t>. There is an ongoing debate with</w:t>
      </w:r>
      <w:r w:rsidR="00474B17" w:rsidRPr="00262E95">
        <w:rPr>
          <w:lang w:val="en-GB"/>
        </w:rPr>
        <w:t>in</w:t>
      </w:r>
      <w:r w:rsidR="000F2AED" w:rsidRPr="00262E95">
        <w:rPr>
          <w:lang w:val="en-GB"/>
        </w:rPr>
        <w:t xml:space="preserve"> the DGGE </w:t>
      </w:r>
      <w:r w:rsidR="00DC1E00" w:rsidRPr="00262E95">
        <w:rPr>
          <w:lang w:val="en-GB"/>
        </w:rPr>
        <w:t xml:space="preserve">on </w:t>
      </w:r>
      <w:r w:rsidR="000F2AED" w:rsidRPr="00262E95">
        <w:rPr>
          <w:lang w:val="en-GB"/>
        </w:rPr>
        <w:t xml:space="preserve">whether the gender pool fund should </w:t>
      </w:r>
      <w:r w:rsidR="00474B17" w:rsidRPr="00262E95">
        <w:rPr>
          <w:lang w:val="en-GB"/>
        </w:rPr>
        <w:t>incorporate</w:t>
      </w:r>
      <w:r w:rsidR="000F2AED" w:rsidRPr="00262E95">
        <w:rPr>
          <w:lang w:val="en-GB"/>
        </w:rPr>
        <w:t xml:space="preserve"> youth and children issue</w:t>
      </w:r>
      <w:r w:rsidR="00DC1E00" w:rsidRPr="00262E95">
        <w:rPr>
          <w:lang w:val="en-GB"/>
        </w:rPr>
        <w:t>s</w:t>
      </w:r>
      <w:r w:rsidR="000F2AED" w:rsidRPr="00262E95">
        <w:rPr>
          <w:lang w:val="en-GB"/>
        </w:rPr>
        <w:t xml:space="preserve"> or concentrate only on women and gender issue</w:t>
      </w:r>
      <w:r w:rsidR="00DC1E00" w:rsidRPr="00262E95">
        <w:rPr>
          <w:lang w:val="en-GB"/>
        </w:rPr>
        <w:t>s</w:t>
      </w:r>
      <w:r w:rsidR="000F2AED" w:rsidRPr="00262E95">
        <w:rPr>
          <w:lang w:val="en-GB"/>
        </w:rPr>
        <w:t xml:space="preserve"> as it </w:t>
      </w:r>
      <w:r w:rsidR="00DC1E00" w:rsidRPr="00262E95">
        <w:rPr>
          <w:lang w:val="en-GB"/>
        </w:rPr>
        <w:t>is doing now</w:t>
      </w:r>
      <w:r w:rsidR="000F2AED" w:rsidRPr="00262E95">
        <w:rPr>
          <w:lang w:val="en-GB"/>
        </w:rPr>
        <w:t xml:space="preserve">. </w:t>
      </w:r>
      <w:r w:rsidR="00297D0F">
        <w:rPr>
          <w:lang w:val="en-GB"/>
        </w:rPr>
        <w:t>The embassy</w:t>
      </w:r>
      <w:r w:rsidR="00690493" w:rsidRPr="00262E95">
        <w:rPr>
          <w:lang w:val="en-GB"/>
        </w:rPr>
        <w:t xml:space="preserve"> </w:t>
      </w:r>
      <w:r w:rsidR="00DC1E00" w:rsidRPr="00262E95">
        <w:rPr>
          <w:lang w:val="en-GB"/>
        </w:rPr>
        <w:t xml:space="preserve">is of the position </w:t>
      </w:r>
      <w:r w:rsidR="00690493" w:rsidRPr="00262E95">
        <w:rPr>
          <w:lang w:val="en-GB"/>
        </w:rPr>
        <w:t>that the gender pool</w:t>
      </w:r>
      <w:r w:rsidR="00DC1E00" w:rsidRPr="00262E95">
        <w:rPr>
          <w:lang w:val="en-GB"/>
        </w:rPr>
        <w:t>ed</w:t>
      </w:r>
      <w:r w:rsidR="00690493" w:rsidRPr="00262E95">
        <w:rPr>
          <w:lang w:val="en-GB"/>
        </w:rPr>
        <w:t xml:space="preserve"> fund </w:t>
      </w:r>
      <w:r w:rsidR="00DC1E00" w:rsidRPr="00262E95">
        <w:rPr>
          <w:lang w:val="en-GB"/>
        </w:rPr>
        <w:t xml:space="preserve">is </w:t>
      </w:r>
      <w:r w:rsidR="00690493" w:rsidRPr="00262E95">
        <w:rPr>
          <w:lang w:val="en-GB"/>
        </w:rPr>
        <w:t xml:space="preserve">meant for pushing gender </w:t>
      </w:r>
      <w:r w:rsidR="00690493" w:rsidRPr="00262E95">
        <w:rPr>
          <w:color w:val="333333"/>
          <w:lang w:val="en-GB"/>
        </w:rPr>
        <w:t xml:space="preserve">higher on the political agenda and </w:t>
      </w:r>
      <w:r w:rsidR="00DC1E00" w:rsidRPr="00262E95">
        <w:rPr>
          <w:color w:val="333333"/>
          <w:lang w:val="en-GB"/>
        </w:rPr>
        <w:t xml:space="preserve">that it should maintain this focus. </w:t>
      </w:r>
    </w:p>
    <w:p w:rsidR="00C932B1" w:rsidRPr="00262E95" w:rsidRDefault="00C932B1" w:rsidP="00A572E7">
      <w:pPr>
        <w:jc w:val="both"/>
        <w:rPr>
          <w:lang w:val="en-GB"/>
        </w:rPr>
      </w:pPr>
    </w:p>
    <w:p w:rsidR="004B78CD" w:rsidRPr="00262E95" w:rsidRDefault="004B78CD" w:rsidP="004B78CD">
      <w:pPr>
        <w:rPr>
          <w:lang w:val="en-GB"/>
        </w:rPr>
      </w:pPr>
    </w:p>
    <w:p w:rsidR="009D2D47" w:rsidRPr="00262E95" w:rsidRDefault="006D58F3" w:rsidP="00CC5A82">
      <w:pPr>
        <w:numPr>
          <w:ilvl w:val="0"/>
          <w:numId w:val="1"/>
        </w:numPr>
        <w:outlineLvl w:val="0"/>
        <w:rPr>
          <w:lang w:val="en-GB"/>
        </w:rPr>
      </w:pPr>
      <w:r w:rsidRPr="00262E95">
        <w:rPr>
          <w:b/>
          <w:bCs/>
          <w:lang w:val="en-GB"/>
        </w:rPr>
        <w:t>What went less well and why</w:t>
      </w:r>
      <w:r w:rsidR="007810B7" w:rsidRPr="00262E95">
        <w:rPr>
          <w:b/>
          <w:bCs/>
          <w:lang w:val="en-GB"/>
        </w:rPr>
        <w:t>?</w:t>
      </w:r>
    </w:p>
    <w:p w:rsidR="00532106" w:rsidRDefault="009D2D47" w:rsidP="00E26B5F">
      <w:pPr>
        <w:jc w:val="both"/>
        <w:rPr>
          <w:lang w:val="en-GB"/>
        </w:rPr>
      </w:pPr>
      <w:r w:rsidRPr="0078252D">
        <w:rPr>
          <w:lang w:val="en-GB"/>
        </w:rPr>
        <w:t>The Ministry had a plan to implement the O</w:t>
      </w:r>
      <w:r w:rsidR="00297D0F">
        <w:rPr>
          <w:lang w:val="en-GB"/>
        </w:rPr>
        <w:t>ne Plan, One Budget, One Report principle (known as CORE)</w:t>
      </w:r>
      <w:r w:rsidRPr="0078252D">
        <w:rPr>
          <w:lang w:val="en-GB"/>
        </w:rPr>
        <w:t xml:space="preserve"> at the federal level after it was piloted at</w:t>
      </w:r>
      <w:r w:rsidR="00297D0F">
        <w:rPr>
          <w:lang w:val="en-GB"/>
        </w:rPr>
        <w:t xml:space="preserve"> the district level. The implementation was held up</w:t>
      </w:r>
      <w:r w:rsidRPr="0078252D">
        <w:rPr>
          <w:lang w:val="en-GB"/>
        </w:rPr>
        <w:t xml:space="preserve"> </w:t>
      </w:r>
      <w:r w:rsidR="00297D0F">
        <w:rPr>
          <w:lang w:val="en-GB"/>
        </w:rPr>
        <w:t>because the ministry has been</w:t>
      </w:r>
      <w:r>
        <w:rPr>
          <w:lang w:val="en-GB"/>
        </w:rPr>
        <w:t xml:space="preserve"> restructured. As a consequence of its new mandate, the ministry is </w:t>
      </w:r>
      <w:r w:rsidR="00297D0F">
        <w:rPr>
          <w:lang w:val="en-GB"/>
        </w:rPr>
        <w:t xml:space="preserve">now </w:t>
      </w:r>
      <w:r>
        <w:rPr>
          <w:lang w:val="en-GB"/>
        </w:rPr>
        <w:t>also dealing with youth and children issues</w:t>
      </w:r>
      <w:r w:rsidR="00297D0F">
        <w:rPr>
          <w:lang w:val="en-GB"/>
        </w:rPr>
        <w:t>.</w:t>
      </w:r>
    </w:p>
    <w:p w:rsidR="001002B0" w:rsidRPr="00262E95" w:rsidRDefault="00532106" w:rsidP="00E26B5F">
      <w:pPr>
        <w:jc w:val="both"/>
        <w:rPr>
          <w:lang w:val="en-GB"/>
        </w:rPr>
      </w:pPr>
      <w:r w:rsidRPr="00262E95">
        <w:rPr>
          <w:lang w:val="en-GB"/>
        </w:rPr>
        <w:t xml:space="preserve">Under the VAW program, CSOs and NGOs working on </w:t>
      </w:r>
      <w:r w:rsidR="00297D0F">
        <w:rPr>
          <w:lang w:val="en-GB"/>
        </w:rPr>
        <w:t xml:space="preserve">the </w:t>
      </w:r>
      <w:r w:rsidRPr="00262E95">
        <w:rPr>
          <w:lang w:val="en-GB"/>
        </w:rPr>
        <w:t>provision of</w:t>
      </w:r>
      <w:r w:rsidR="00D83925" w:rsidRPr="00262E95">
        <w:rPr>
          <w:lang w:val="en-GB"/>
        </w:rPr>
        <w:t xml:space="preserve"> free</w:t>
      </w:r>
      <w:r w:rsidRPr="00262E95">
        <w:rPr>
          <w:lang w:val="en-GB"/>
        </w:rPr>
        <w:t xml:space="preserve"> legal aid for VAW </w:t>
      </w:r>
      <w:r w:rsidR="001B441A" w:rsidRPr="00262E95">
        <w:rPr>
          <w:lang w:val="en-GB"/>
        </w:rPr>
        <w:t>survivors</w:t>
      </w:r>
      <w:r w:rsidR="00297D0F">
        <w:rPr>
          <w:lang w:val="en-GB"/>
        </w:rPr>
        <w:t xml:space="preserve"> stopped working</w:t>
      </w:r>
      <w:r w:rsidR="001D0096" w:rsidRPr="00262E95">
        <w:rPr>
          <w:lang w:val="en-GB"/>
        </w:rPr>
        <w:t xml:space="preserve"> as a consequence of the CSO law. Under the new law Ethiopian Resident NGOs are not allowed to work on advocacy and human rights regarding gender. </w:t>
      </w:r>
      <w:r w:rsidRPr="00262E95">
        <w:rPr>
          <w:lang w:val="en-GB"/>
        </w:rPr>
        <w:t xml:space="preserve"> </w:t>
      </w:r>
      <w:r w:rsidR="00297D0F">
        <w:rPr>
          <w:lang w:val="en-GB"/>
        </w:rPr>
        <w:t>A</w:t>
      </w:r>
      <w:r w:rsidR="00C932B1">
        <w:rPr>
          <w:lang w:val="en-GB"/>
        </w:rPr>
        <w:t>ll the implementing partners of the VAW program are civil society organizations,</w:t>
      </w:r>
      <w:r w:rsidR="00297D0F">
        <w:rPr>
          <w:lang w:val="en-GB"/>
        </w:rPr>
        <w:t xml:space="preserve"> so</w:t>
      </w:r>
      <w:r w:rsidR="00C932B1">
        <w:rPr>
          <w:lang w:val="en-GB"/>
        </w:rPr>
        <w:t xml:space="preserve"> their performance is impacted and their free legal aid support</w:t>
      </w:r>
      <w:r w:rsidR="00297D0F">
        <w:rPr>
          <w:lang w:val="en-GB"/>
        </w:rPr>
        <w:t xml:space="preserve"> has</w:t>
      </w:r>
      <w:r w:rsidR="00C932B1">
        <w:rPr>
          <w:lang w:val="en-GB"/>
        </w:rPr>
        <w:t xml:space="preserve"> stopped. </w:t>
      </w:r>
      <w:r w:rsidR="001D0096" w:rsidRPr="00262E95">
        <w:rPr>
          <w:lang w:val="en-GB"/>
        </w:rPr>
        <w:t>As a result a</w:t>
      </w:r>
      <w:r w:rsidR="00AD590C" w:rsidRPr="00262E95">
        <w:rPr>
          <w:lang w:val="en-GB"/>
        </w:rPr>
        <w:t xml:space="preserve">n alternative way of strengthening community based organizations must be worked out. </w:t>
      </w:r>
      <w:r w:rsidR="00766EBE" w:rsidRPr="00262E95">
        <w:rPr>
          <w:lang w:val="en-GB"/>
        </w:rPr>
        <w:t>Strengthening women friendly community based structures is one of the VAW</w:t>
      </w:r>
      <w:r w:rsidR="001D0096" w:rsidRPr="00262E95">
        <w:rPr>
          <w:lang w:val="en-GB"/>
        </w:rPr>
        <w:t>’s</w:t>
      </w:r>
      <w:r w:rsidR="00766EBE" w:rsidRPr="00262E95">
        <w:rPr>
          <w:lang w:val="en-GB"/>
        </w:rPr>
        <w:t xml:space="preserve"> program component</w:t>
      </w:r>
      <w:r w:rsidR="00297D0F">
        <w:rPr>
          <w:lang w:val="en-GB"/>
        </w:rPr>
        <w:t>s</w:t>
      </w:r>
      <w:r w:rsidR="00A425FD">
        <w:rPr>
          <w:lang w:val="en-GB"/>
        </w:rPr>
        <w:t>. A</w:t>
      </w:r>
      <w:r w:rsidR="00766EBE" w:rsidRPr="00262E95">
        <w:rPr>
          <w:lang w:val="en-GB"/>
        </w:rPr>
        <w:t xml:space="preserve"> mechanism needs to be designed so that these C</w:t>
      </w:r>
      <w:r w:rsidR="001D0096" w:rsidRPr="00262E95">
        <w:rPr>
          <w:lang w:val="en-GB"/>
        </w:rPr>
        <w:t>S</w:t>
      </w:r>
      <w:r w:rsidR="00766EBE" w:rsidRPr="00262E95">
        <w:rPr>
          <w:lang w:val="en-GB"/>
        </w:rPr>
        <w:t>Os can provide legal aid.</w:t>
      </w:r>
    </w:p>
    <w:p w:rsidR="00AA7B6A" w:rsidRPr="00262E95" w:rsidRDefault="00AA7B6A" w:rsidP="001B441A">
      <w:pPr>
        <w:rPr>
          <w:lang w:val="en-GB"/>
        </w:rPr>
      </w:pPr>
    </w:p>
    <w:p w:rsidR="006D58F3" w:rsidRPr="00262E95" w:rsidRDefault="006D58F3" w:rsidP="001B70AB">
      <w:pPr>
        <w:numPr>
          <w:ilvl w:val="0"/>
          <w:numId w:val="1"/>
        </w:numPr>
        <w:outlineLvl w:val="0"/>
        <w:rPr>
          <w:b/>
          <w:bCs/>
          <w:lang w:val="en-GB"/>
        </w:rPr>
      </w:pPr>
      <w:r w:rsidRPr="00262E95">
        <w:rPr>
          <w:b/>
          <w:bCs/>
          <w:lang w:val="en-GB"/>
        </w:rPr>
        <w:t>What has been learned</w:t>
      </w:r>
      <w:r w:rsidR="007935A1" w:rsidRPr="00262E95">
        <w:rPr>
          <w:b/>
          <w:bCs/>
          <w:lang w:val="en-GB"/>
        </w:rPr>
        <w:t>?</w:t>
      </w:r>
    </w:p>
    <w:p w:rsidR="001C04EC" w:rsidRPr="0019272C" w:rsidRDefault="00A425FD" w:rsidP="001C04EC">
      <w:pPr>
        <w:jc w:val="both"/>
        <w:outlineLvl w:val="0"/>
        <w:rPr>
          <w:lang w:val="en-US"/>
        </w:rPr>
      </w:pPr>
      <w:r>
        <w:rPr>
          <w:lang w:val="en-GB"/>
        </w:rPr>
        <w:t>The deployment by the Embassy</w:t>
      </w:r>
      <w:r w:rsidR="001C04EC">
        <w:rPr>
          <w:lang w:val="en-GB"/>
        </w:rPr>
        <w:t xml:space="preserve"> of </w:t>
      </w:r>
      <w:r>
        <w:rPr>
          <w:lang w:val="en-GB"/>
        </w:rPr>
        <w:t>both mainstreaming and</w:t>
      </w:r>
      <w:r w:rsidR="001C04EC" w:rsidRPr="008835CF">
        <w:rPr>
          <w:lang w:val="en-GB"/>
        </w:rPr>
        <w:t xml:space="preserve"> stand</w:t>
      </w:r>
      <w:r w:rsidR="001C04EC">
        <w:rPr>
          <w:lang w:val="en-GB"/>
        </w:rPr>
        <w:t xml:space="preserve"> </w:t>
      </w:r>
      <w:r w:rsidR="001C04EC" w:rsidRPr="008835CF">
        <w:rPr>
          <w:lang w:val="en-GB"/>
        </w:rPr>
        <w:t>alone program implementation help</w:t>
      </w:r>
      <w:r w:rsidR="001C04EC">
        <w:rPr>
          <w:lang w:val="en-GB"/>
        </w:rPr>
        <w:t>ed</w:t>
      </w:r>
      <w:r w:rsidR="001C04EC" w:rsidRPr="008835CF">
        <w:rPr>
          <w:lang w:val="en-GB"/>
        </w:rPr>
        <w:t xml:space="preserve"> to address the problem of gender disparity com</w:t>
      </w:r>
      <w:r>
        <w:rPr>
          <w:lang w:val="en-GB"/>
        </w:rPr>
        <w:t>prehensively and to be evidence-</w:t>
      </w:r>
      <w:r w:rsidR="001C04EC" w:rsidRPr="008835CF">
        <w:rPr>
          <w:lang w:val="en-GB"/>
        </w:rPr>
        <w:t xml:space="preserve">based during policy debate and dialogue. </w:t>
      </w:r>
      <w:r>
        <w:rPr>
          <w:lang w:val="en-GB"/>
        </w:rPr>
        <w:t>A lesson is</w:t>
      </w:r>
      <w:r w:rsidR="001C04EC" w:rsidRPr="0019272C">
        <w:rPr>
          <w:lang w:val="en-GB"/>
        </w:rPr>
        <w:t xml:space="preserve"> that the mainstreaming initiative needs careful design</w:t>
      </w:r>
      <w:r>
        <w:rPr>
          <w:lang w:val="en-GB"/>
        </w:rPr>
        <w:t xml:space="preserve">. It </w:t>
      </w:r>
      <w:r w:rsidR="001C04EC" w:rsidRPr="0019272C">
        <w:rPr>
          <w:lang w:val="en-US"/>
        </w:rPr>
        <w:t xml:space="preserve">has lent itself to misunderstanding and misuse resulting in </w:t>
      </w:r>
      <w:r>
        <w:rPr>
          <w:lang w:val="en-US"/>
        </w:rPr>
        <w:t xml:space="preserve">the </w:t>
      </w:r>
      <w:r w:rsidR="001C04EC" w:rsidRPr="0019272C">
        <w:rPr>
          <w:lang w:val="en-US"/>
        </w:rPr>
        <w:t>dilution of the effort for gender equality and equity.</w:t>
      </w:r>
    </w:p>
    <w:p w:rsidR="008835CF" w:rsidRPr="00262E95" w:rsidRDefault="008835CF" w:rsidP="008835CF">
      <w:pPr>
        <w:jc w:val="both"/>
        <w:rPr>
          <w:lang w:val="en-GB"/>
        </w:rPr>
      </w:pPr>
    </w:p>
    <w:p w:rsidR="00AA7B6A" w:rsidRPr="00262E95" w:rsidRDefault="00AD4BFC" w:rsidP="008835CF">
      <w:pPr>
        <w:jc w:val="both"/>
        <w:rPr>
          <w:lang w:val="en-GB"/>
        </w:rPr>
      </w:pPr>
      <w:r w:rsidRPr="00262E95">
        <w:rPr>
          <w:lang w:val="en-GB"/>
        </w:rPr>
        <w:t xml:space="preserve">There is also a need </w:t>
      </w:r>
      <w:r w:rsidR="00A425FD">
        <w:rPr>
          <w:lang w:val="en-GB"/>
        </w:rPr>
        <w:t>for the Embassy</w:t>
      </w:r>
      <w:r w:rsidR="006B6CA4" w:rsidRPr="00262E95">
        <w:rPr>
          <w:lang w:val="en-GB"/>
        </w:rPr>
        <w:t xml:space="preserve"> </w:t>
      </w:r>
      <w:r w:rsidR="00A425FD">
        <w:rPr>
          <w:lang w:val="en-GB"/>
        </w:rPr>
        <w:t>to critically monitor</w:t>
      </w:r>
      <w:r w:rsidRPr="00262E95">
        <w:rPr>
          <w:lang w:val="en-GB"/>
        </w:rPr>
        <w:t xml:space="preserve"> the impact of the in-country and out o</w:t>
      </w:r>
      <w:r w:rsidR="00A425FD">
        <w:rPr>
          <w:lang w:val="en-GB"/>
        </w:rPr>
        <w:t xml:space="preserve">f country policy changes on </w:t>
      </w:r>
      <w:r w:rsidRPr="00262E95">
        <w:rPr>
          <w:lang w:val="en-GB"/>
        </w:rPr>
        <w:t xml:space="preserve">gender programming and policy dialogue. </w:t>
      </w:r>
      <w:r w:rsidR="008835CF" w:rsidRPr="00262E95">
        <w:rPr>
          <w:lang w:val="en-GB"/>
        </w:rPr>
        <w:t xml:space="preserve">The CSO law, the restructuring within the Ministry </w:t>
      </w:r>
      <w:r w:rsidR="00A425FD">
        <w:rPr>
          <w:lang w:val="en-GB"/>
        </w:rPr>
        <w:t xml:space="preserve">of Women Affairs </w:t>
      </w:r>
      <w:r w:rsidR="008835CF" w:rsidRPr="00262E95">
        <w:rPr>
          <w:lang w:val="en-GB"/>
        </w:rPr>
        <w:t>and</w:t>
      </w:r>
      <w:r w:rsidR="006B6CA4" w:rsidRPr="00262E95">
        <w:rPr>
          <w:lang w:val="en-GB"/>
        </w:rPr>
        <w:t xml:space="preserve"> the </w:t>
      </w:r>
      <w:r w:rsidR="008835CF" w:rsidRPr="00262E95">
        <w:rPr>
          <w:lang w:val="en-GB"/>
        </w:rPr>
        <w:t xml:space="preserve"> high interest of the government to bring growth and transformation within </w:t>
      </w:r>
      <w:r w:rsidR="006B6CA4" w:rsidRPr="00262E95">
        <w:rPr>
          <w:lang w:val="en-GB"/>
        </w:rPr>
        <w:t xml:space="preserve">a </w:t>
      </w:r>
      <w:r w:rsidR="008835CF" w:rsidRPr="00262E95">
        <w:rPr>
          <w:lang w:val="en-GB"/>
        </w:rPr>
        <w:t xml:space="preserve">short period of time are the current </w:t>
      </w:r>
      <w:r w:rsidR="006B6CA4" w:rsidRPr="00262E95">
        <w:rPr>
          <w:lang w:val="en-GB"/>
        </w:rPr>
        <w:t xml:space="preserve">main developments </w:t>
      </w:r>
      <w:r w:rsidR="008835CF" w:rsidRPr="00262E95">
        <w:rPr>
          <w:lang w:val="en-GB"/>
        </w:rPr>
        <w:t xml:space="preserve">in Ethiopia. Both the positive as well as the negative consequences of these </w:t>
      </w:r>
      <w:r w:rsidR="006B6CA4" w:rsidRPr="00262E95">
        <w:rPr>
          <w:lang w:val="en-GB"/>
        </w:rPr>
        <w:t>developments</w:t>
      </w:r>
      <w:r w:rsidR="008835CF" w:rsidRPr="00262E95">
        <w:rPr>
          <w:lang w:val="en-GB"/>
        </w:rPr>
        <w:t xml:space="preserve"> </w:t>
      </w:r>
      <w:r w:rsidR="00D83925" w:rsidRPr="00262E95">
        <w:rPr>
          <w:lang w:val="en-GB"/>
        </w:rPr>
        <w:t>on</w:t>
      </w:r>
      <w:r w:rsidR="008835CF" w:rsidRPr="00262E95">
        <w:rPr>
          <w:lang w:val="en-GB"/>
        </w:rPr>
        <w:t xml:space="preserve"> the women movement of the country needs to be properly</w:t>
      </w:r>
      <w:r w:rsidR="0078252D" w:rsidRPr="00262E95">
        <w:rPr>
          <w:lang w:val="en-GB"/>
        </w:rPr>
        <w:t xml:space="preserve"> tracked. </w:t>
      </w:r>
    </w:p>
    <w:p w:rsidR="008835CF" w:rsidRPr="00262E95" w:rsidRDefault="008835CF" w:rsidP="004B78CD">
      <w:pPr>
        <w:rPr>
          <w:lang w:val="en-GB"/>
        </w:rPr>
      </w:pPr>
    </w:p>
    <w:p w:rsidR="004D3AC0" w:rsidRPr="00262E95" w:rsidRDefault="004D3AC0" w:rsidP="004B78CD">
      <w:pPr>
        <w:rPr>
          <w:lang w:val="en-GB"/>
        </w:rPr>
      </w:pPr>
      <w:r w:rsidRPr="00262E95">
        <w:rPr>
          <w:lang w:val="en-GB"/>
        </w:rPr>
        <w:t xml:space="preserve">The magnitude of violence against women still calls for </w:t>
      </w:r>
      <w:r w:rsidR="00D61658" w:rsidRPr="00262E95">
        <w:rPr>
          <w:lang w:val="en-GB"/>
        </w:rPr>
        <w:t xml:space="preserve">an </w:t>
      </w:r>
      <w:r w:rsidRPr="00262E95">
        <w:rPr>
          <w:lang w:val="en-GB"/>
        </w:rPr>
        <w:t xml:space="preserve">extensive effort of all actors; the gains </w:t>
      </w:r>
      <w:r w:rsidR="006B6CA4" w:rsidRPr="00262E95">
        <w:rPr>
          <w:lang w:val="en-GB"/>
        </w:rPr>
        <w:t xml:space="preserve">that have been made should </w:t>
      </w:r>
      <w:r w:rsidRPr="00262E95">
        <w:rPr>
          <w:lang w:val="en-GB"/>
        </w:rPr>
        <w:t xml:space="preserve"> be sustainable and </w:t>
      </w:r>
      <w:r w:rsidR="00040370" w:rsidRPr="00262E95">
        <w:rPr>
          <w:lang w:val="en-GB"/>
        </w:rPr>
        <w:t xml:space="preserve">the remaining </w:t>
      </w:r>
      <w:r w:rsidRPr="00262E95">
        <w:rPr>
          <w:lang w:val="en-GB"/>
        </w:rPr>
        <w:t>areas of concern should be addressed</w:t>
      </w:r>
      <w:r w:rsidR="007656C1">
        <w:rPr>
          <w:lang w:val="en-GB"/>
        </w:rPr>
        <w:t xml:space="preserve"> </w:t>
      </w:r>
      <w:r w:rsidR="006B6CA4" w:rsidRPr="00262E95">
        <w:rPr>
          <w:lang w:val="en-GB"/>
        </w:rPr>
        <w:t>thoroughly</w:t>
      </w:r>
      <w:r w:rsidRPr="00262E95">
        <w:rPr>
          <w:lang w:val="en-GB"/>
        </w:rPr>
        <w:t xml:space="preserve">. </w:t>
      </w:r>
    </w:p>
    <w:p w:rsidR="00AA7B6A" w:rsidRPr="00B13E77" w:rsidRDefault="00AA7B6A" w:rsidP="004B78CD">
      <w:pPr>
        <w:rPr>
          <w:b/>
          <w:bCs/>
          <w:sz w:val="22"/>
          <w:szCs w:val="22"/>
          <w:lang w:val="en-GB"/>
        </w:rPr>
      </w:pPr>
    </w:p>
    <w:p w:rsidR="00C96A76" w:rsidRDefault="002A7C40" w:rsidP="001B70AB">
      <w:pPr>
        <w:outlineLvl w:val="0"/>
        <w:rPr>
          <w:b/>
          <w:bCs/>
          <w:sz w:val="22"/>
          <w:szCs w:val="22"/>
          <w:lang w:val="en-GB"/>
        </w:rPr>
      </w:pPr>
      <w:r w:rsidRPr="00B13E77">
        <w:rPr>
          <w:b/>
          <w:bCs/>
          <w:sz w:val="22"/>
          <w:szCs w:val="22"/>
          <w:lang w:val="en-GB"/>
        </w:rPr>
        <w:t xml:space="preserve">3. </w:t>
      </w:r>
      <w:r w:rsidR="00C96A76" w:rsidRPr="00B13E77">
        <w:rPr>
          <w:b/>
          <w:bCs/>
          <w:sz w:val="22"/>
          <w:szCs w:val="22"/>
          <w:lang w:val="en-GB"/>
        </w:rPr>
        <w:t>RESOURCES SPENT (OD</w:t>
      </w:r>
      <w:r w:rsidR="00DE30F0" w:rsidRPr="00B13E77">
        <w:rPr>
          <w:b/>
          <w:bCs/>
          <w:sz w:val="22"/>
          <w:szCs w:val="22"/>
          <w:lang w:val="en-GB"/>
        </w:rPr>
        <w:t>A and</w:t>
      </w:r>
      <w:r w:rsidR="00C96A76" w:rsidRPr="00B13E77">
        <w:rPr>
          <w:b/>
          <w:bCs/>
          <w:sz w:val="22"/>
          <w:szCs w:val="22"/>
          <w:lang w:val="en-GB"/>
        </w:rPr>
        <w:t xml:space="preserve"> FTEs) </w:t>
      </w:r>
    </w:p>
    <w:p w:rsidR="0078252D" w:rsidRPr="00B13E77" w:rsidRDefault="0078252D" w:rsidP="001B70AB">
      <w:pPr>
        <w:outlineLvl w:val="0"/>
        <w:rPr>
          <w:b/>
          <w:bCs/>
          <w:sz w:val="22"/>
          <w:szCs w:val="22"/>
          <w:lang w:val="en-GB"/>
        </w:rPr>
      </w:pP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5079"/>
        <w:gridCol w:w="4078"/>
      </w:tblGrid>
      <w:tr w:rsidR="0078252D" w:rsidRPr="00C2674C" w:rsidTr="002676C7">
        <w:trPr>
          <w:trHeight w:val="255"/>
        </w:trPr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52D" w:rsidRPr="00C2674C" w:rsidRDefault="0078252D" w:rsidP="002676C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Dutch ODA disbursed during 2009-2010 as contribution to this strategic goal (approximately)</w:t>
            </w:r>
          </w:p>
        </w:tc>
        <w:tc>
          <w:tcPr>
            <w:tcW w:w="4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52D" w:rsidRPr="00C2674C" w:rsidRDefault="0078252D" w:rsidP="002676C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2674C"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€</w:t>
            </w:r>
            <w:r w:rsidR="007656C1">
              <w:rPr>
                <w:rFonts w:ascii="Arial" w:hAnsi="Arial" w:cs="Arial"/>
                <w:sz w:val="20"/>
                <w:szCs w:val="20"/>
                <w:lang w:val="en-GB"/>
              </w:rPr>
              <w:t>…2,052,772.26</w:t>
            </w:r>
          </w:p>
        </w:tc>
      </w:tr>
      <w:tr w:rsidR="0078252D" w:rsidRPr="00F30639" w:rsidTr="002676C7">
        <w:trPr>
          <w:trHeight w:val="255"/>
        </w:trPr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noWrap/>
            <w:vAlign w:val="bottom"/>
          </w:tcPr>
          <w:p w:rsidR="0078252D" w:rsidRPr="00CD11C1" w:rsidRDefault="0078252D" w:rsidP="002676C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Average a</w:t>
            </w:r>
            <w:r w:rsidRPr="00CD11C1">
              <w:rPr>
                <w:sz w:val="22"/>
                <w:szCs w:val="22"/>
                <w:lang w:val="en-GB"/>
              </w:rPr>
              <w:t xml:space="preserve">mount of Embassy FTEs allocated </w:t>
            </w:r>
            <w:r>
              <w:rPr>
                <w:sz w:val="22"/>
                <w:szCs w:val="22"/>
                <w:lang w:val="en-GB"/>
              </w:rPr>
              <w:t xml:space="preserve">during 2009 and 2010 </w:t>
            </w:r>
            <w:r w:rsidRPr="00CD11C1">
              <w:rPr>
                <w:sz w:val="22"/>
                <w:szCs w:val="22"/>
                <w:lang w:val="en-GB"/>
              </w:rPr>
              <w:t>to this goal (for delegated aid)</w:t>
            </w:r>
          </w:p>
          <w:p w:rsidR="0078252D" w:rsidRPr="00F30639" w:rsidRDefault="0078252D" w:rsidP="002676C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078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noWrap/>
            <w:vAlign w:val="bottom"/>
          </w:tcPr>
          <w:p w:rsidR="0078252D" w:rsidRPr="00F30639" w:rsidRDefault="0078252D" w:rsidP="002676C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30639"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  <w:r w:rsidR="00F34AD7">
              <w:rPr>
                <w:rFonts w:ascii="Arial" w:hAnsi="Arial" w:cs="Arial"/>
                <w:sz w:val="20"/>
                <w:szCs w:val="20"/>
                <w:lang w:val="en-GB"/>
              </w:rPr>
              <w:t>1 FTE</w:t>
            </w:r>
          </w:p>
        </w:tc>
      </w:tr>
      <w:tr w:rsidR="0078252D" w:rsidRPr="00F30639" w:rsidTr="002676C7">
        <w:trPr>
          <w:trHeight w:val="255"/>
        </w:trPr>
        <w:tc>
          <w:tcPr>
            <w:tcW w:w="50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noWrap/>
            <w:vAlign w:val="bottom"/>
          </w:tcPr>
          <w:p w:rsidR="0078252D" w:rsidRDefault="0078252D" w:rsidP="002676C7">
            <w:pPr>
              <w:rPr>
                <w:sz w:val="22"/>
                <w:szCs w:val="22"/>
                <w:lang w:val="en-GB"/>
              </w:rPr>
            </w:pPr>
            <w:r w:rsidRPr="00CD11C1">
              <w:rPr>
                <w:sz w:val="22"/>
                <w:szCs w:val="22"/>
                <w:lang w:val="en-GB"/>
              </w:rPr>
              <w:t>Amount of thematic dept FTEs allocated to th</w:t>
            </w:r>
            <w:r>
              <w:rPr>
                <w:sz w:val="22"/>
                <w:szCs w:val="22"/>
                <w:lang w:val="en-GB"/>
              </w:rPr>
              <w:t>is</w:t>
            </w:r>
            <w:r w:rsidRPr="00CD11C1">
              <w:rPr>
                <w:sz w:val="22"/>
                <w:szCs w:val="22"/>
                <w:lang w:val="en-GB"/>
              </w:rPr>
              <w:t xml:space="preserve"> goal</w:t>
            </w:r>
            <w:r>
              <w:rPr>
                <w:sz w:val="22"/>
                <w:szCs w:val="22"/>
                <w:lang w:val="en-GB"/>
              </w:rPr>
              <w:t>/ programme</w:t>
            </w:r>
            <w:r w:rsidRPr="00CD11C1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 xml:space="preserve">during 2009 and 2010 </w:t>
            </w:r>
            <w:r w:rsidRPr="00CD11C1">
              <w:rPr>
                <w:sz w:val="22"/>
                <w:szCs w:val="22"/>
                <w:lang w:val="en-GB"/>
              </w:rPr>
              <w:t>(for non-delegated aid)</w:t>
            </w:r>
            <w:r>
              <w:rPr>
                <w:sz w:val="22"/>
                <w:szCs w:val="22"/>
                <w:lang w:val="en-GB"/>
              </w:rPr>
              <w:t>\</w:t>
            </w:r>
          </w:p>
        </w:tc>
        <w:tc>
          <w:tcPr>
            <w:tcW w:w="4078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noWrap/>
            <w:vAlign w:val="bottom"/>
          </w:tcPr>
          <w:p w:rsidR="0078252D" w:rsidRPr="00F30639" w:rsidRDefault="00F34AD7" w:rsidP="002676C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n.a.</w:t>
            </w:r>
          </w:p>
        </w:tc>
      </w:tr>
      <w:tr w:rsidR="0078252D" w:rsidRPr="00F30639" w:rsidTr="002676C7">
        <w:trPr>
          <w:trHeight w:val="255"/>
        </w:trPr>
        <w:tc>
          <w:tcPr>
            <w:tcW w:w="507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252D" w:rsidRDefault="0078252D" w:rsidP="002676C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Piramide numbers of relevant Activities</w:t>
            </w:r>
          </w:p>
          <w:p w:rsidR="0078252D" w:rsidRPr="00CD11C1" w:rsidRDefault="0078252D" w:rsidP="002676C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078" w:type="dxa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56C1" w:rsidDel="00281D16" w:rsidRDefault="007656C1" w:rsidP="007656C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81D16">
              <w:rPr>
                <w:rFonts w:ascii="Arial" w:hAnsi="Arial" w:cs="Arial"/>
                <w:sz w:val="20"/>
                <w:szCs w:val="20"/>
                <w:lang w:val="en-GB"/>
              </w:rPr>
              <w:t>21572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Pr="00281D16">
              <w:rPr>
                <w:rFonts w:ascii="Arial" w:hAnsi="Arial" w:cs="Arial"/>
                <w:sz w:val="20"/>
                <w:szCs w:val="20"/>
                <w:lang w:val="en-GB"/>
              </w:rPr>
              <w:t>17977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Pr="00281D16">
              <w:rPr>
                <w:rFonts w:ascii="Arial" w:hAnsi="Arial" w:cs="Arial"/>
                <w:sz w:val="20"/>
                <w:szCs w:val="20"/>
                <w:lang w:val="en-GB"/>
              </w:rPr>
              <w:t>21035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  <w:p w:rsidR="0078252D" w:rsidRPr="00F30639" w:rsidRDefault="007656C1" w:rsidP="002676C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21574</w:t>
            </w:r>
          </w:p>
        </w:tc>
      </w:tr>
    </w:tbl>
    <w:p w:rsidR="0073691F" w:rsidRDefault="0073691F" w:rsidP="001B70AB">
      <w:pPr>
        <w:outlineLvl w:val="0"/>
        <w:rPr>
          <w:b/>
          <w:bCs/>
          <w:sz w:val="22"/>
          <w:szCs w:val="22"/>
          <w:lang w:val="en-GB"/>
        </w:rPr>
      </w:pPr>
    </w:p>
    <w:p w:rsidR="00C96A76" w:rsidRPr="00B13E77" w:rsidRDefault="00B13E77" w:rsidP="001B70AB">
      <w:pPr>
        <w:outlineLvl w:val="0"/>
        <w:rPr>
          <w:b/>
          <w:bCs/>
          <w:sz w:val="22"/>
          <w:szCs w:val="22"/>
          <w:lang w:val="en-GB"/>
        </w:rPr>
      </w:pPr>
      <w:r w:rsidRPr="00B13E77">
        <w:rPr>
          <w:b/>
          <w:bCs/>
          <w:sz w:val="22"/>
          <w:szCs w:val="22"/>
          <w:lang w:val="en-GB"/>
        </w:rPr>
        <w:t xml:space="preserve">4. </w:t>
      </w:r>
      <w:r w:rsidR="00C96A76" w:rsidRPr="00B13E77">
        <w:rPr>
          <w:b/>
          <w:bCs/>
          <w:sz w:val="22"/>
          <w:szCs w:val="22"/>
          <w:lang w:val="en-GB"/>
        </w:rPr>
        <w:t>OVERALL TRAFFIC LIGHT SCORE</w:t>
      </w:r>
    </w:p>
    <w:p w:rsidR="00370FFF" w:rsidRDefault="00B13E77" w:rsidP="008A62F1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overall achievement of results is:</w:t>
      </w:r>
    </w:p>
    <w:p w:rsidR="000F4147" w:rsidRPr="00DD37C1" w:rsidRDefault="000F4147" w:rsidP="000F4147">
      <w:pPr>
        <w:ind w:left="35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(Please tick </w:t>
      </w:r>
      <w:r w:rsidRPr="009270A1">
        <w:rPr>
          <w:b/>
          <w:bCs/>
          <w:sz w:val="22"/>
          <w:szCs w:val="22"/>
          <w:lang w:val="en-GB"/>
        </w:rPr>
        <w:t>√</w:t>
      </w:r>
      <w:r>
        <w:rPr>
          <w:sz w:val="22"/>
          <w:szCs w:val="22"/>
          <w:lang w:val="en-GB"/>
        </w:rPr>
        <w:t>)</w:t>
      </w:r>
    </w:p>
    <w:tbl>
      <w:tblPr>
        <w:tblW w:w="5308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960"/>
        <w:gridCol w:w="2512"/>
        <w:gridCol w:w="419"/>
        <w:gridCol w:w="1417"/>
      </w:tblGrid>
      <w:tr w:rsidR="000F4147" w:rsidTr="00710D7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0F4147" w:rsidRPr="006A282C" w:rsidRDefault="000F4147" w:rsidP="00710D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A282C"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4147" w:rsidRDefault="000F4147" w:rsidP="00710D77">
            <w:pPr>
              <w:rPr>
                <w:rFonts w:ascii="Arial" w:hAnsi="Arial" w:cs="Arial"/>
                <w:sz w:val="20"/>
                <w:szCs w:val="20"/>
              </w:rPr>
            </w:pPr>
            <w:r w:rsidRPr="00F30639">
              <w:rPr>
                <w:sz w:val="22"/>
                <w:szCs w:val="22"/>
                <w:lang w:val="en-GB"/>
              </w:rPr>
              <w:t>Off-track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4147" w:rsidRPr="007D6B51" w:rsidRDefault="000F4147" w:rsidP="00710D77">
            <w:pPr>
              <w:rPr>
                <w:sz w:val="22"/>
                <w:szCs w:val="22"/>
                <w:lang w:val="en-GB"/>
              </w:rPr>
            </w:pPr>
            <w:r w:rsidRPr="007D6B51">
              <w:rPr>
                <w:sz w:val="22"/>
                <w:szCs w:val="22"/>
                <w:lang w:val="en-GB"/>
              </w:rPr>
              <w:t> 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147" w:rsidRDefault="000F4147" w:rsidP="00710D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4147" w:rsidRPr="0021622E" w:rsidTr="00710D7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bottom"/>
          </w:tcPr>
          <w:p w:rsidR="000F4147" w:rsidRDefault="000F4147" w:rsidP="00710D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4147" w:rsidRPr="00F30639" w:rsidRDefault="000F4147" w:rsidP="00710D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30639"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  <w:r>
              <w:rPr>
                <w:sz w:val="22"/>
                <w:szCs w:val="22"/>
                <w:lang w:val="en-GB"/>
              </w:rPr>
              <w:t>I</w:t>
            </w:r>
            <w:r w:rsidRPr="00DD37C1">
              <w:rPr>
                <w:sz w:val="22"/>
                <w:szCs w:val="22"/>
                <w:lang w:val="en-GB"/>
              </w:rPr>
              <w:t>n danger to be off track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4147" w:rsidRPr="007D6B51" w:rsidRDefault="000F4147" w:rsidP="00710D77">
            <w:pPr>
              <w:rPr>
                <w:sz w:val="22"/>
                <w:szCs w:val="22"/>
                <w:lang w:val="en-GB"/>
              </w:rPr>
            </w:pPr>
            <w:r w:rsidRPr="007D6B51">
              <w:rPr>
                <w:sz w:val="22"/>
                <w:szCs w:val="22"/>
                <w:lang w:val="en-GB"/>
              </w:rPr>
              <w:t> 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4147" w:rsidRPr="00F30639" w:rsidRDefault="000F4147" w:rsidP="00710D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F4147" w:rsidTr="00710D7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bottom"/>
          </w:tcPr>
          <w:p w:rsidR="000F4147" w:rsidRPr="00F30639" w:rsidRDefault="000F4147" w:rsidP="00710D7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30639"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4147" w:rsidRDefault="000F4147" w:rsidP="00710D77">
            <w:pPr>
              <w:rPr>
                <w:rFonts w:ascii="Arial" w:hAnsi="Arial" w:cs="Arial"/>
                <w:sz w:val="20"/>
                <w:szCs w:val="20"/>
              </w:rPr>
            </w:pPr>
            <w:r w:rsidRPr="00F30639">
              <w:rPr>
                <w:rFonts w:ascii="Arial" w:hAnsi="Arial" w:cs="Arial"/>
                <w:sz w:val="20"/>
                <w:szCs w:val="20"/>
                <w:lang w:val="en-GB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O</w:t>
            </w:r>
            <w:r w:rsidRPr="00DD37C1">
              <w:rPr>
                <w:sz w:val="22"/>
                <w:szCs w:val="22"/>
                <w:lang w:val="en-GB"/>
              </w:rPr>
              <w:t>n track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F4147" w:rsidRPr="007D6B51" w:rsidRDefault="000F4147" w:rsidP="00710D77">
            <w:pPr>
              <w:rPr>
                <w:sz w:val="22"/>
                <w:szCs w:val="22"/>
                <w:lang w:val="en-GB"/>
              </w:rPr>
            </w:pPr>
            <w:r w:rsidRPr="007D6B51">
              <w:rPr>
                <w:sz w:val="22"/>
                <w:szCs w:val="22"/>
                <w:lang w:val="en-GB"/>
              </w:rPr>
              <w:t> 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4147" w:rsidRPr="000F4147" w:rsidRDefault="000F4147" w:rsidP="00710D77">
            <w:pPr>
              <w:rPr>
                <w:rFonts w:ascii="Arial" w:hAnsi="Arial" w:cs="Arial"/>
              </w:rPr>
            </w:pPr>
            <w:r w:rsidRPr="000F4147"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0F4147">
              <w:rPr>
                <w:b/>
                <w:bCs/>
                <w:lang w:val="en-GB"/>
              </w:rPr>
              <w:t>√</w:t>
            </w:r>
          </w:p>
        </w:tc>
      </w:tr>
    </w:tbl>
    <w:p w:rsidR="00B13E77" w:rsidRDefault="00B13E77" w:rsidP="0073691F">
      <w:pPr>
        <w:rPr>
          <w:lang w:val="en-GB"/>
        </w:rPr>
      </w:pPr>
    </w:p>
    <w:sectPr w:rsidR="00B13E77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016DA" w:rsidRDefault="00D016DA">
      <w:r>
        <w:separator/>
      </w:r>
    </w:p>
  </w:endnote>
  <w:endnote w:type="continuationSeparator" w:id="1">
    <w:p w:rsidR="00D016DA" w:rsidRDefault="00D01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notTrueType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62E95" w:rsidRDefault="00262E95" w:rsidP="00075D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62E95" w:rsidRDefault="00262E95" w:rsidP="00BC07C4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62E95" w:rsidRDefault="00262E95" w:rsidP="00075D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3DB8">
      <w:rPr>
        <w:rStyle w:val="PageNumber"/>
        <w:noProof/>
      </w:rPr>
      <w:t>3</w:t>
    </w:r>
    <w:r>
      <w:rPr>
        <w:rStyle w:val="PageNumber"/>
      </w:rPr>
      <w:fldChar w:fldCharType="end"/>
    </w:r>
  </w:p>
  <w:p w:rsidR="00262E95" w:rsidRDefault="00262E95" w:rsidP="00BC07C4">
    <w:pPr>
      <w:pStyle w:val="Footer"/>
      <w:ind w:right="360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016DA" w:rsidRDefault="00D016DA">
      <w:r>
        <w:separator/>
      </w:r>
    </w:p>
  </w:footnote>
  <w:footnote w:type="continuationSeparator" w:id="1">
    <w:p w:rsidR="00D016DA" w:rsidRDefault="00D016DA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16E6379"/>
    <w:multiLevelType w:val="multilevel"/>
    <w:tmpl w:val="4FF61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E6B336B"/>
    <w:multiLevelType w:val="hybridMultilevel"/>
    <w:tmpl w:val="881E8ED0"/>
    <w:lvl w:ilvl="0" w:tplc="5A9A1F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EF2AB6"/>
    <w:multiLevelType w:val="hybridMultilevel"/>
    <w:tmpl w:val="CBF8A174"/>
    <w:lvl w:ilvl="0" w:tplc="0413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32BB"/>
    <w:rsid w:val="00012844"/>
    <w:rsid w:val="00020814"/>
    <w:rsid w:val="00025372"/>
    <w:rsid w:val="00040370"/>
    <w:rsid w:val="000511D9"/>
    <w:rsid w:val="00075DC6"/>
    <w:rsid w:val="000A20A6"/>
    <w:rsid w:val="000C79DF"/>
    <w:rsid w:val="000D7198"/>
    <w:rsid w:val="000F2AED"/>
    <w:rsid w:val="000F4147"/>
    <w:rsid w:val="000F5420"/>
    <w:rsid w:val="000F6D45"/>
    <w:rsid w:val="001002B0"/>
    <w:rsid w:val="001239B9"/>
    <w:rsid w:val="001313E7"/>
    <w:rsid w:val="00131A5A"/>
    <w:rsid w:val="00136B51"/>
    <w:rsid w:val="001510C4"/>
    <w:rsid w:val="00165175"/>
    <w:rsid w:val="001742C0"/>
    <w:rsid w:val="001829B1"/>
    <w:rsid w:val="0019623C"/>
    <w:rsid w:val="001A46A4"/>
    <w:rsid w:val="001B441A"/>
    <w:rsid w:val="001B70AB"/>
    <w:rsid w:val="001C04EC"/>
    <w:rsid w:val="001D007C"/>
    <w:rsid w:val="001D0096"/>
    <w:rsid w:val="001D7251"/>
    <w:rsid w:val="001E29DB"/>
    <w:rsid w:val="001F4DC6"/>
    <w:rsid w:val="00205052"/>
    <w:rsid w:val="00206BFA"/>
    <w:rsid w:val="00221CE6"/>
    <w:rsid w:val="0023057E"/>
    <w:rsid w:val="00233952"/>
    <w:rsid w:val="002401D8"/>
    <w:rsid w:val="00262E95"/>
    <w:rsid w:val="002676C7"/>
    <w:rsid w:val="00297D0F"/>
    <w:rsid w:val="002A0D00"/>
    <w:rsid w:val="002A5137"/>
    <w:rsid w:val="002A5D01"/>
    <w:rsid w:val="002A7C40"/>
    <w:rsid w:val="00323430"/>
    <w:rsid w:val="00326969"/>
    <w:rsid w:val="00336F57"/>
    <w:rsid w:val="0034392F"/>
    <w:rsid w:val="003470F8"/>
    <w:rsid w:val="003506EB"/>
    <w:rsid w:val="00370FFF"/>
    <w:rsid w:val="003964C1"/>
    <w:rsid w:val="003A7FA1"/>
    <w:rsid w:val="003C0CD0"/>
    <w:rsid w:val="003D4E63"/>
    <w:rsid w:val="003E0CD1"/>
    <w:rsid w:val="003E1967"/>
    <w:rsid w:val="003F1F3E"/>
    <w:rsid w:val="004143A8"/>
    <w:rsid w:val="00434926"/>
    <w:rsid w:val="00440AE3"/>
    <w:rsid w:val="004518B5"/>
    <w:rsid w:val="00461C58"/>
    <w:rsid w:val="00471F1D"/>
    <w:rsid w:val="00474B17"/>
    <w:rsid w:val="0047788D"/>
    <w:rsid w:val="004B78CD"/>
    <w:rsid w:val="004D3AC0"/>
    <w:rsid w:val="00500BBE"/>
    <w:rsid w:val="00501AE8"/>
    <w:rsid w:val="00512D21"/>
    <w:rsid w:val="00532106"/>
    <w:rsid w:val="005347CB"/>
    <w:rsid w:val="00540D1E"/>
    <w:rsid w:val="00553FE7"/>
    <w:rsid w:val="00556F44"/>
    <w:rsid w:val="0058088B"/>
    <w:rsid w:val="00585465"/>
    <w:rsid w:val="005B5C20"/>
    <w:rsid w:val="005C3FCE"/>
    <w:rsid w:val="005D486E"/>
    <w:rsid w:val="005E0507"/>
    <w:rsid w:val="005E3AAE"/>
    <w:rsid w:val="005F0AE9"/>
    <w:rsid w:val="00621B21"/>
    <w:rsid w:val="0062410C"/>
    <w:rsid w:val="006439A9"/>
    <w:rsid w:val="00645476"/>
    <w:rsid w:val="00650D1F"/>
    <w:rsid w:val="00660345"/>
    <w:rsid w:val="00690493"/>
    <w:rsid w:val="006978EF"/>
    <w:rsid w:val="006A282C"/>
    <w:rsid w:val="006A6807"/>
    <w:rsid w:val="006B6CA4"/>
    <w:rsid w:val="006D1023"/>
    <w:rsid w:val="006D58F3"/>
    <w:rsid w:val="006E0D85"/>
    <w:rsid w:val="006F3B96"/>
    <w:rsid w:val="0070791C"/>
    <w:rsid w:val="00710D77"/>
    <w:rsid w:val="00716E11"/>
    <w:rsid w:val="00724501"/>
    <w:rsid w:val="0073691F"/>
    <w:rsid w:val="007416D6"/>
    <w:rsid w:val="00752CB5"/>
    <w:rsid w:val="00757DA9"/>
    <w:rsid w:val="0076130C"/>
    <w:rsid w:val="007656C1"/>
    <w:rsid w:val="007658BF"/>
    <w:rsid w:val="00766EBE"/>
    <w:rsid w:val="00773067"/>
    <w:rsid w:val="00773D2A"/>
    <w:rsid w:val="007810B7"/>
    <w:rsid w:val="0078252D"/>
    <w:rsid w:val="007922E4"/>
    <w:rsid w:val="007935A1"/>
    <w:rsid w:val="007A4DE4"/>
    <w:rsid w:val="007A6EC8"/>
    <w:rsid w:val="007B2360"/>
    <w:rsid w:val="007C190A"/>
    <w:rsid w:val="007C5285"/>
    <w:rsid w:val="007D5FE8"/>
    <w:rsid w:val="007F70B3"/>
    <w:rsid w:val="00805B12"/>
    <w:rsid w:val="00815562"/>
    <w:rsid w:val="00820143"/>
    <w:rsid w:val="008303E5"/>
    <w:rsid w:val="008370E7"/>
    <w:rsid w:val="00845E1B"/>
    <w:rsid w:val="00880FB2"/>
    <w:rsid w:val="008835CF"/>
    <w:rsid w:val="0088415C"/>
    <w:rsid w:val="008A197A"/>
    <w:rsid w:val="008A62F1"/>
    <w:rsid w:val="008C62F0"/>
    <w:rsid w:val="008E28DB"/>
    <w:rsid w:val="00905E24"/>
    <w:rsid w:val="0093774A"/>
    <w:rsid w:val="00942B98"/>
    <w:rsid w:val="009459F4"/>
    <w:rsid w:val="00947116"/>
    <w:rsid w:val="00947B72"/>
    <w:rsid w:val="00964645"/>
    <w:rsid w:val="009741F6"/>
    <w:rsid w:val="00976503"/>
    <w:rsid w:val="009927E0"/>
    <w:rsid w:val="00996C7B"/>
    <w:rsid w:val="009A11F7"/>
    <w:rsid w:val="009D2D47"/>
    <w:rsid w:val="009E3DB8"/>
    <w:rsid w:val="009F52BA"/>
    <w:rsid w:val="00A06718"/>
    <w:rsid w:val="00A15C93"/>
    <w:rsid w:val="00A425FD"/>
    <w:rsid w:val="00A50B63"/>
    <w:rsid w:val="00A519BB"/>
    <w:rsid w:val="00A52E46"/>
    <w:rsid w:val="00A570B6"/>
    <w:rsid w:val="00A572E7"/>
    <w:rsid w:val="00A738AF"/>
    <w:rsid w:val="00A94233"/>
    <w:rsid w:val="00AA613A"/>
    <w:rsid w:val="00AA7B6A"/>
    <w:rsid w:val="00AC0F50"/>
    <w:rsid w:val="00AD4BFC"/>
    <w:rsid w:val="00AD590C"/>
    <w:rsid w:val="00B10002"/>
    <w:rsid w:val="00B13E77"/>
    <w:rsid w:val="00B217B9"/>
    <w:rsid w:val="00B304BA"/>
    <w:rsid w:val="00B45812"/>
    <w:rsid w:val="00B47BFB"/>
    <w:rsid w:val="00B50157"/>
    <w:rsid w:val="00B501D6"/>
    <w:rsid w:val="00B74874"/>
    <w:rsid w:val="00B93697"/>
    <w:rsid w:val="00BC07C4"/>
    <w:rsid w:val="00BD5186"/>
    <w:rsid w:val="00BE707C"/>
    <w:rsid w:val="00BF5CA9"/>
    <w:rsid w:val="00BF60B7"/>
    <w:rsid w:val="00C16031"/>
    <w:rsid w:val="00C45217"/>
    <w:rsid w:val="00C90282"/>
    <w:rsid w:val="00C932B1"/>
    <w:rsid w:val="00C93EDE"/>
    <w:rsid w:val="00C96A76"/>
    <w:rsid w:val="00CA201C"/>
    <w:rsid w:val="00CB7687"/>
    <w:rsid w:val="00CC49EC"/>
    <w:rsid w:val="00CC5A82"/>
    <w:rsid w:val="00CF1248"/>
    <w:rsid w:val="00D016DA"/>
    <w:rsid w:val="00D15087"/>
    <w:rsid w:val="00D61658"/>
    <w:rsid w:val="00D62B82"/>
    <w:rsid w:val="00D66FE3"/>
    <w:rsid w:val="00D70E5D"/>
    <w:rsid w:val="00D75B84"/>
    <w:rsid w:val="00D83925"/>
    <w:rsid w:val="00D83B18"/>
    <w:rsid w:val="00D83F22"/>
    <w:rsid w:val="00D94767"/>
    <w:rsid w:val="00DB245C"/>
    <w:rsid w:val="00DC1E00"/>
    <w:rsid w:val="00DD37C1"/>
    <w:rsid w:val="00DD5C33"/>
    <w:rsid w:val="00DE30F0"/>
    <w:rsid w:val="00DE5C8F"/>
    <w:rsid w:val="00DF0049"/>
    <w:rsid w:val="00DF4BFF"/>
    <w:rsid w:val="00E02D64"/>
    <w:rsid w:val="00E059C5"/>
    <w:rsid w:val="00E26B5F"/>
    <w:rsid w:val="00E309BA"/>
    <w:rsid w:val="00E459E5"/>
    <w:rsid w:val="00E85C43"/>
    <w:rsid w:val="00E97A99"/>
    <w:rsid w:val="00EB0517"/>
    <w:rsid w:val="00F045AD"/>
    <w:rsid w:val="00F13285"/>
    <w:rsid w:val="00F2709F"/>
    <w:rsid w:val="00F27CE0"/>
    <w:rsid w:val="00F30639"/>
    <w:rsid w:val="00F34AD7"/>
    <w:rsid w:val="00F40E39"/>
    <w:rsid w:val="00F55E90"/>
    <w:rsid w:val="00F632BB"/>
    <w:rsid w:val="00F65E1F"/>
    <w:rsid w:val="00F67737"/>
    <w:rsid w:val="00F72244"/>
    <w:rsid w:val="00F86E60"/>
    <w:rsid w:val="00FC7176"/>
    <w:rsid w:val="00FD46B1"/>
    <w:rsid w:val="00FE3FDB"/>
    <w:rsid w:val="00FE5515"/>
    <w:rsid w:val="00FF3E0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l-NL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4B78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964C1"/>
    <w:rPr>
      <w:color w:val="0000FF"/>
      <w:u w:val="single"/>
    </w:rPr>
  </w:style>
  <w:style w:type="table" w:styleId="TableGrid">
    <w:name w:val="Table Grid"/>
    <w:basedOn w:val="TableNormal"/>
    <w:rsid w:val="002A7C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BC07C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C07C4"/>
  </w:style>
  <w:style w:type="paragraph" w:styleId="DocumentMap">
    <w:name w:val="Document Map"/>
    <w:basedOn w:val="Normal"/>
    <w:semiHidden/>
    <w:rsid w:val="001B70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88415C"/>
    <w:rPr>
      <w:sz w:val="16"/>
      <w:szCs w:val="16"/>
    </w:rPr>
  </w:style>
  <w:style w:type="paragraph" w:styleId="CommentText">
    <w:name w:val="annotation text"/>
    <w:basedOn w:val="Normal"/>
    <w:semiHidden/>
    <w:rsid w:val="008841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841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4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egldam-fgm-net/include/EM_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1383</Words>
  <Characters>7887</Characters>
  <Application>Microsoft Word 12.0.0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MASP progress report outline/ MJSP voortgangsfiche</vt:lpstr>
    </vt:vector>
  </TitlesOfParts>
  <Company>Min. van Buitenlandse Zaken</Company>
  <LinksUpToDate>false</LinksUpToDate>
  <CharactersWithSpaces>9685</CharactersWithSpaces>
  <SharedDoc>false</SharedDoc>
  <HLinks>
    <vt:vector size="6" baseType="variant">
      <vt:variant>
        <vt:i4>4849744</vt:i4>
      </vt:variant>
      <vt:variant>
        <vt:i4>0</vt:i4>
      </vt:variant>
      <vt:variant>
        <vt:i4>0</vt:i4>
      </vt:variant>
      <vt:variant>
        <vt:i4>5</vt:i4>
      </vt:variant>
      <vt:variant>
        <vt:lpwstr>http://www.egldam-fgm-net/include/EM_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MASP progress report outline/ MJSP voortgangsfiche</dc:title>
  <dc:subject/>
  <dc:creator>Rob Swinkels</dc:creator>
  <cp:keywords/>
  <dc:description/>
  <cp:lastModifiedBy>Michiel Kuijper</cp:lastModifiedBy>
  <cp:revision>2</cp:revision>
  <cp:lastPrinted>2011-01-24T13:09:00Z</cp:lastPrinted>
  <dcterms:created xsi:type="dcterms:W3CDTF">2012-07-09T14:35:00Z</dcterms:created>
  <dcterms:modified xsi:type="dcterms:W3CDTF">2012-07-09T14:35:00Z</dcterms:modified>
</cp:coreProperties>
</file>