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1622E" w:rsidRPr="00EF43E1" w:rsidRDefault="007D2CD6" w:rsidP="003C098E">
      <w:pPr>
        <w:rPr>
          <w:b/>
          <w:lang w:val="en-GB"/>
        </w:rPr>
      </w:pPr>
      <w:r>
        <w:rPr>
          <w:b/>
          <w:lang w:val="en-GB"/>
        </w:rPr>
        <w:t xml:space="preserve">Format for </w:t>
      </w:r>
      <w:r w:rsidR="0021622E">
        <w:rPr>
          <w:b/>
          <w:lang w:val="en-GB"/>
        </w:rPr>
        <w:t xml:space="preserve">Information Collection </w:t>
      </w:r>
      <w:r>
        <w:rPr>
          <w:b/>
          <w:lang w:val="en-GB"/>
        </w:rPr>
        <w:t xml:space="preserve"> -</w:t>
      </w:r>
      <w:r w:rsidR="005B50DF">
        <w:rPr>
          <w:b/>
          <w:lang w:val="en-GB"/>
        </w:rPr>
        <w:t xml:space="preserve"> </w:t>
      </w:r>
      <w:r w:rsidR="0021622E">
        <w:rPr>
          <w:b/>
          <w:lang w:val="en-GB"/>
        </w:rPr>
        <w:t xml:space="preserve"> Results Report 2009-2010 (bilateral aid program)</w:t>
      </w:r>
      <w:r w:rsidR="003C098E">
        <w:rPr>
          <w:b/>
          <w:lang w:val="en-GB"/>
        </w:rPr>
        <w:t xml:space="preserve">  EDUCATION.</w:t>
      </w:r>
    </w:p>
    <w:p w:rsidR="007D2CD6" w:rsidRDefault="003C098E" w:rsidP="00CD11C1">
      <w:pPr>
        <w:rPr>
          <w:lang w:val="en-GB"/>
        </w:rPr>
      </w:pPr>
      <w:r>
        <w:rPr>
          <w:lang w:val="en-GB"/>
        </w:rPr>
        <w:t>Amended version March 17, 2011</w:t>
      </w:r>
    </w:p>
    <w:p w:rsidR="003C098E" w:rsidRDefault="003C098E" w:rsidP="00CD11C1">
      <w:pPr>
        <w:rPr>
          <w:lang w:val="en-GB"/>
        </w:rPr>
      </w:pPr>
    </w:p>
    <w:p w:rsidR="00CD11C1" w:rsidRDefault="00CD11C1" w:rsidP="00CD11C1">
      <w:pPr>
        <w:rPr>
          <w:lang w:val="en-GB"/>
        </w:rPr>
      </w:pPr>
      <w:r w:rsidRPr="00512307">
        <w:rPr>
          <w:b/>
          <w:lang w:val="en-GB"/>
        </w:rPr>
        <w:t>Embassy (for delegated aid</w:t>
      </w:r>
      <w:r>
        <w:rPr>
          <w:lang w:val="en-GB"/>
        </w:rPr>
        <w:t>):</w:t>
      </w:r>
      <w:r w:rsidR="00E64A01">
        <w:rPr>
          <w:lang w:val="en-GB"/>
        </w:rPr>
        <w:t xml:space="preserve"> Kigali</w:t>
      </w:r>
    </w:p>
    <w:p w:rsidR="00A5633B" w:rsidRDefault="00CD11C1" w:rsidP="00CD11C1">
      <w:pPr>
        <w:rPr>
          <w:lang w:val="en-GB"/>
        </w:rPr>
      </w:pPr>
      <w:r w:rsidRPr="00512307">
        <w:rPr>
          <w:b/>
          <w:lang w:val="en-GB"/>
        </w:rPr>
        <w:t>T</w:t>
      </w:r>
      <w:r w:rsidR="00A5633B" w:rsidRPr="00512307">
        <w:rPr>
          <w:b/>
          <w:lang w:val="en-GB"/>
        </w:rPr>
        <w:t>hematic Department</w:t>
      </w:r>
      <w:r w:rsidRPr="00512307">
        <w:rPr>
          <w:b/>
          <w:lang w:val="en-GB"/>
        </w:rPr>
        <w:t xml:space="preserve"> (for non-delegated aid)</w:t>
      </w:r>
      <w:r w:rsidR="00512307">
        <w:rPr>
          <w:lang w:val="en-GB"/>
        </w:rPr>
        <w:t>: -</w:t>
      </w:r>
    </w:p>
    <w:p w:rsidR="0021622E" w:rsidRDefault="0021622E" w:rsidP="0021622E">
      <w:pPr>
        <w:rPr>
          <w:lang w:val="en-GB"/>
        </w:rPr>
      </w:pPr>
      <w:r w:rsidRPr="00512307">
        <w:rPr>
          <w:b/>
          <w:lang w:val="en-GB"/>
        </w:rPr>
        <w:t>Country</w:t>
      </w:r>
      <w:r>
        <w:rPr>
          <w:lang w:val="en-GB"/>
        </w:rPr>
        <w:t>:</w:t>
      </w:r>
      <w:r w:rsidR="00512307">
        <w:rPr>
          <w:lang w:val="en-GB"/>
        </w:rPr>
        <w:t xml:space="preserve"> Rwanda</w:t>
      </w:r>
    </w:p>
    <w:p w:rsidR="00C2674C" w:rsidRDefault="00C2674C" w:rsidP="00C2674C">
      <w:pPr>
        <w:rPr>
          <w:lang w:val="en-GB"/>
        </w:rPr>
      </w:pPr>
      <w:r w:rsidRPr="00512307">
        <w:rPr>
          <w:b/>
          <w:lang w:val="en-GB"/>
        </w:rPr>
        <w:t>Strategic Goal</w:t>
      </w:r>
      <w:r w:rsidR="00512307">
        <w:rPr>
          <w:lang w:val="en-GB"/>
        </w:rPr>
        <w:t>: Pro-poor sustained economic growth</w:t>
      </w:r>
    </w:p>
    <w:p w:rsidR="00C2674C" w:rsidRDefault="00C2674C" w:rsidP="00C2674C">
      <w:pPr>
        <w:rPr>
          <w:lang w:val="en-GB"/>
        </w:rPr>
      </w:pPr>
      <w:r w:rsidRPr="00512307">
        <w:rPr>
          <w:b/>
          <w:lang w:val="en-GB"/>
        </w:rPr>
        <w:t>Sub-goal/ programme selected for this form (where relevant)</w:t>
      </w:r>
      <w:r w:rsidR="00512307">
        <w:rPr>
          <w:lang w:val="en-GB"/>
        </w:rPr>
        <w:t>: Education and Technical and Vocational Education Training</w:t>
      </w:r>
    </w:p>
    <w:p w:rsidR="0021622E" w:rsidRDefault="00C2674C" w:rsidP="000F1E7D">
      <w:pPr>
        <w:rPr>
          <w:lang w:val="en-GB"/>
        </w:rPr>
      </w:pPr>
      <w:r w:rsidRPr="00512307">
        <w:rPr>
          <w:b/>
          <w:lang w:val="en-GB"/>
        </w:rPr>
        <w:t>This form is c</w:t>
      </w:r>
      <w:r w:rsidR="0021622E" w:rsidRPr="00512307">
        <w:rPr>
          <w:b/>
          <w:lang w:val="en-GB"/>
        </w:rPr>
        <w:t>ompleted by</w:t>
      </w:r>
      <w:r w:rsidR="0021622E">
        <w:rPr>
          <w:lang w:val="en-GB"/>
        </w:rPr>
        <w:t>:</w:t>
      </w:r>
      <w:r w:rsidR="00512307">
        <w:rPr>
          <w:lang w:val="en-GB"/>
        </w:rPr>
        <w:t xml:space="preserve"> Deo Musabyimana</w:t>
      </w:r>
    </w:p>
    <w:p w:rsidR="007D6B51" w:rsidRDefault="007D6B51" w:rsidP="0021622E">
      <w:pPr>
        <w:rPr>
          <w:lang w:val="en-GB"/>
        </w:rPr>
      </w:pPr>
    </w:p>
    <w:p w:rsidR="00C2674C" w:rsidRDefault="00C2674C" w:rsidP="0021622E">
      <w:pPr>
        <w:rPr>
          <w:lang w:val="en-GB"/>
        </w:rPr>
      </w:pPr>
    </w:p>
    <w:p w:rsidR="0021622E" w:rsidRDefault="0021622E" w:rsidP="00C2674C">
      <w:pPr>
        <w:rPr>
          <w:b/>
          <w:bCs/>
          <w:lang w:val="en-GB"/>
        </w:rPr>
      </w:pPr>
      <w:r w:rsidRPr="00855CDD">
        <w:rPr>
          <w:b/>
          <w:bCs/>
          <w:lang w:val="en-GB"/>
        </w:rPr>
        <w:t xml:space="preserve">1. CONTEXT </w:t>
      </w:r>
    </w:p>
    <w:p w:rsidR="00952CAB" w:rsidRPr="00855CDD" w:rsidRDefault="00952CAB" w:rsidP="00C2674C">
      <w:pPr>
        <w:rPr>
          <w:b/>
          <w:bCs/>
          <w:lang w:val="en-GB"/>
        </w:rPr>
      </w:pPr>
    </w:p>
    <w:p w:rsidR="0021622E" w:rsidRPr="00952CAB" w:rsidRDefault="0021622E" w:rsidP="00F80C33">
      <w:pPr>
        <w:rPr>
          <w:i/>
          <w:lang w:val="en-GB"/>
        </w:rPr>
      </w:pPr>
      <w:r w:rsidRPr="00952CAB">
        <w:rPr>
          <w:i/>
          <w:lang w:val="en-GB"/>
        </w:rPr>
        <w:t xml:space="preserve">a. Country </w:t>
      </w:r>
      <w:r w:rsidR="00F80C33" w:rsidRPr="00952CAB">
        <w:rPr>
          <w:i/>
          <w:lang w:val="en-GB"/>
        </w:rPr>
        <w:t xml:space="preserve">or regional </w:t>
      </w:r>
      <w:r w:rsidRPr="00952CAB">
        <w:rPr>
          <w:i/>
          <w:lang w:val="en-GB"/>
        </w:rPr>
        <w:t>context</w:t>
      </w:r>
    </w:p>
    <w:p w:rsidR="008A1115" w:rsidRDefault="008A1115" w:rsidP="00F80C33">
      <w:pPr>
        <w:rPr>
          <w:lang w:val="en-GB"/>
        </w:rPr>
      </w:pPr>
    </w:p>
    <w:p w:rsidR="006F5168" w:rsidRPr="00706659" w:rsidRDefault="00792886" w:rsidP="006F5168">
      <w:pPr>
        <w:rPr>
          <w:lang w:val="en-US"/>
        </w:rPr>
      </w:pPr>
      <w:r>
        <w:rPr>
          <w:lang w:val="en-GB"/>
        </w:rPr>
        <w:t xml:space="preserve">In the </w:t>
      </w:r>
      <w:r w:rsidRPr="00706659">
        <w:rPr>
          <w:lang w:val="en-US"/>
        </w:rPr>
        <w:t>E</w:t>
      </w:r>
      <w:r>
        <w:rPr>
          <w:lang w:val="en-US"/>
        </w:rPr>
        <w:t xml:space="preserve">conomic </w:t>
      </w:r>
      <w:r w:rsidRPr="00706659">
        <w:rPr>
          <w:lang w:val="en-US"/>
        </w:rPr>
        <w:t>D</w:t>
      </w:r>
      <w:r>
        <w:rPr>
          <w:lang w:val="en-US"/>
        </w:rPr>
        <w:t xml:space="preserve">evelopment and </w:t>
      </w:r>
      <w:r w:rsidRPr="00706659">
        <w:rPr>
          <w:lang w:val="en-US"/>
        </w:rPr>
        <w:t>P</w:t>
      </w:r>
      <w:r>
        <w:rPr>
          <w:lang w:val="en-US"/>
        </w:rPr>
        <w:t xml:space="preserve">overty </w:t>
      </w:r>
      <w:r w:rsidRPr="00706659">
        <w:rPr>
          <w:lang w:val="en-US"/>
        </w:rPr>
        <w:t>R</w:t>
      </w:r>
      <w:r>
        <w:rPr>
          <w:lang w:val="en-US"/>
        </w:rPr>
        <w:t xml:space="preserve">eduction </w:t>
      </w:r>
      <w:r w:rsidRPr="00706659">
        <w:rPr>
          <w:lang w:val="en-US"/>
        </w:rPr>
        <w:t>S</w:t>
      </w:r>
      <w:r>
        <w:rPr>
          <w:lang w:val="en-US"/>
        </w:rPr>
        <w:t>trategy</w:t>
      </w:r>
      <w:r w:rsidR="00702D7A">
        <w:rPr>
          <w:lang w:val="en-US"/>
        </w:rPr>
        <w:t xml:space="preserve"> (EDPRS)</w:t>
      </w:r>
      <w:r w:rsidRPr="00706659">
        <w:rPr>
          <w:lang w:val="en-US"/>
        </w:rPr>
        <w:t xml:space="preserve"> document, Rwanda</w:t>
      </w:r>
      <w:r>
        <w:rPr>
          <w:lang w:val="en-US"/>
        </w:rPr>
        <w:t xml:space="preserve"> puts an </w:t>
      </w:r>
      <w:r w:rsidR="00702D7A">
        <w:rPr>
          <w:lang w:val="en-US"/>
        </w:rPr>
        <w:t xml:space="preserve">emphasis on promoting </w:t>
      </w:r>
      <w:r w:rsidRPr="00706659">
        <w:rPr>
          <w:lang w:val="en-US"/>
        </w:rPr>
        <w:t>skills development</w:t>
      </w:r>
      <w:r w:rsidR="00702D7A">
        <w:rPr>
          <w:lang w:val="en-US"/>
        </w:rPr>
        <w:t>. Rwanda</w:t>
      </w:r>
      <w:r w:rsidR="004206EB">
        <w:rPr>
          <w:lang w:val="en-US"/>
        </w:rPr>
        <w:t>’s</w:t>
      </w:r>
      <w:r w:rsidR="00702D7A">
        <w:rPr>
          <w:lang w:val="en-US"/>
        </w:rPr>
        <w:t xml:space="preserve"> goal is</w:t>
      </w:r>
      <w:r w:rsidR="001230CE">
        <w:rPr>
          <w:lang w:val="en-US"/>
        </w:rPr>
        <w:t xml:space="preserve"> </w:t>
      </w:r>
      <w:r w:rsidRPr="00706659">
        <w:rPr>
          <w:lang w:val="en-US"/>
        </w:rPr>
        <w:t>to promote</w:t>
      </w:r>
      <w:r>
        <w:rPr>
          <w:lang w:val="en-US"/>
        </w:rPr>
        <w:t xml:space="preserve"> a knowledge based economy</w:t>
      </w:r>
      <w:r w:rsidR="001230CE">
        <w:rPr>
          <w:lang w:val="en-US"/>
        </w:rPr>
        <w:t xml:space="preserve"> and to become </w:t>
      </w:r>
      <w:r w:rsidR="00952342">
        <w:rPr>
          <w:lang w:val="en-US"/>
        </w:rPr>
        <w:t xml:space="preserve">a </w:t>
      </w:r>
      <w:r w:rsidR="006F5168">
        <w:rPr>
          <w:lang w:val="en-US"/>
        </w:rPr>
        <w:t>middle income country by 2020</w:t>
      </w:r>
      <w:r>
        <w:rPr>
          <w:lang w:val="en-US"/>
        </w:rPr>
        <w:t xml:space="preserve">. Education is considered to be one of the ways to achieve </w:t>
      </w:r>
      <w:r w:rsidRPr="00706659">
        <w:rPr>
          <w:lang w:val="en-US"/>
        </w:rPr>
        <w:t>t</w:t>
      </w:r>
      <w:r>
        <w:rPr>
          <w:lang w:val="en-US"/>
        </w:rPr>
        <w:t>his ambition</w:t>
      </w:r>
      <w:r w:rsidRPr="00706659">
        <w:rPr>
          <w:lang w:val="en-US"/>
        </w:rPr>
        <w:t>.</w:t>
      </w:r>
      <w:r>
        <w:rPr>
          <w:lang w:val="en-US"/>
        </w:rPr>
        <w:t xml:space="preserve"> </w:t>
      </w:r>
    </w:p>
    <w:p w:rsidR="008A1115" w:rsidRPr="00792886" w:rsidRDefault="008A1115" w:rsidP="00F80C33">
      <w:pPr>
        <w:rPr>
          <w:lang w:val="en-US"/>
        </w:rPr>
      </w:pPr>
    </w:p>
    <w:p w:rsidR="0021622E" w:rsidRPr="00952CAB" w:rsidRDefault="0021622E" w:rsidP="0021622E">
      <w:pPr>
        <w:rPr>
          <w:i/>
          <w:lang w:val="en-GB"/>
        </w:rPr>
      </w:pPr>
      <w:r w:rsidRPr="00952CAB">
        <w:rPr>
          <w:i/>
          <w:lang w:val="en-GB"/>
        </w:rPr>
        <w:t>b. Sector (or thematic) context</w:t>
      </w:r>
    </w:p>
    <w:p w:rsidR="00A371C5" w:rsidRDefault="00A371C5" w:rsidP="0021622E">
      <w:pPr>
        <w:rPr>
          <w:lang w:val="en-GB"/>
        </w:rPr>
      </w:pPr>
    </w:p>
    <w:p w:rsidR="00A371C5" w:rsidRDefault="007B1E7F" w:rsidP="0021622E">
      <w:pPr>
        <w:rPr>
          <w:lang w:val="en-US"/>
        </w:rPr>
      </w:pPr>
      <w:r w:rsidRPr="00A45ED2">
        <w:rPr>
          <w:lang w:val="en-US"/>
        </w:rPr>
        <w:t>The Ministry of Education in collaboration with the development part</w:t>
      </w:r>
      <w:r w:rsidR="001230CE">
        <w:rPr>
          <w:lang w:val="en-US"/>
        </w:rPr>
        <w:t>ners (</w:t>
      </w:r>
      <w:r w:rsidR="003F16E6">
        <w:rPr>
          <w:lang w:val="en-US"/>
        </w:rPr>
        <w:t>particularly DFID</w:t>
      </w:r>
      <w:r w:rsidR="001230CE">
        <w:rPr>
          <w:lang w:val="en-US"/>
        </w:rPr>
        <w:t>,</w:t>
      </w:r>
      <w:r w:rsidR="003F16E6">
        <w:rPr>
          <w:lang w:val="en-US"/>
        </w:rPr>
        <w:t xml:space="preserve"> the lead </w:t>
      </w:r>
      <w:r w:rsidRPr="00A45ED2">
        <w:rPr>
          <w:lang w:val="en-US"/>
        </w:rPr>
        <w:t>donor</w:t>
      </w:r>
      <w:r w:rsidR="001230CE">
        <w:rPr>
          <w:lang w:val="en-US"/>
        </w:rPr>
        <w:t>)</w:t>
      </w:r>
      <w:r w:rsidR="00CC4C36">
        <w:rPr>
          <w:lang w:val="en-US"/>
        </w:rPr>
        <w:t xml:space="preserve"> </w:t>
      </w:r>
      <w:r w:rsidRPr="00A45ED2">
        <w:rPr>
          <w:lang w:val="en-US"/>
        </w:rPr>
        <w:t xml:space="preserve">completed in July 2010 the </w:t>
      </w:r>
      <w:r w:rsidR="00A371C5" w:rsidRPr="00A45ED2">
        <w:rPr>
          <w:lang w:val="en-US"/>
        </w:rPr>
        <w:t>E</w:t>
      </w:r>
      <w:r w:rsidRPr="00A45ED2">
        <w:rPr>
          <w:lang w:val="en-US"/>
        </w:rPr>
        <w:t xml:space="preserve">ducation Sector Strategic Plan (ESSP) covering the period from 2010 to 2015. This document is a result of intensive consultations involving the Ministry, the districts administration, schools and NGOs.  The plan integrates the recent introduction </w:t>
      </w:r>
      <w:r w:rsidR="0002546B">
        <w:rPr>
          <w:lang w:val="en-US"/>
        </w:rPr>
        <w:t xml:space="preserve">and fast tracking </w:t>
      </w:r>
      <w:r w:rsidRPr="00A45ED2">
        <w:rPr>
          <w:lang w:val="en-US"/>
        </w:rPr>
        <w:t>of the 9 Ye</w:t>
      </w:r>
      <w:r w:rsidR="0002546B">
        <w:rPr>
          <w:lang w:val="en-US"/>
        </w:rPr>
        <w:t xml:space="preserve">ar Basic Education in an attempt to improve the quality in education. </w:t>
      </w:r>
      <w:r w:rsidR="00284E2C">
        <w:rPr>
          <w:lang w:val="en-US"/>
        </w:rPr>
        <w:t>T</w:t>
      </w:r>
      <w:r w:rsidR="00461115" w:rsidRPr="00A45ED2">
        <w:rPr>
          <w:lang w:val="en-US"/>
        </w:rPr>
        <w:t>he plan put</w:t>
      </w:r>
      <w:r w:rsidR="00135AC9">
        <w:rPr>
          <w:lang w:val="en-US"/>
        </w:rPr>
        <w:t xml:space="preserve">s an emphasis on developing </w:t>
      </w:r>
      <w:r w:rsidR="004A4117">
        <w:rPr>
          <w:lang w:val="en-US"/>
        </w:rPr>
        <w:t xml:space="preserve">upper </w:t>
      </w:r>
      <w:r w:rsidR="00135AC9">
        <w:rPr>
          <w:lang w:val="en-US"/>
        </w:rPr>
        <w:t>secondary education</w:t>
      </w:r>
      <w:r w:rsidR="00461115" w:rsidRPr="00A45ED2">
        <w:rPr>
          <w:lang w:val="en-US"/>
        </w:rPr>
        <w:t xml:space="preserve"> and invest more in Technical and Vocational E</w:t>
      </w:r>
      <w:r w:rsidR="0002546B">
        <w:rPr>
          <w:lang w:val="en-US"/>
        </w:rPr>
        <w:t xml:space="preserve">ducation Training(TVET). These </w:t>
      </w:r>
      <w:r w:rsidR="00461115" w:rsidRPr="00A45ED2">
        <w:rPr>
          <w:lang w:val="en-US"/>
        </w:rPr>
        <w:t xml:space="preserve">aspects </w:t>
      </w:r>
      <w:r w:rsidR="0002546B">
        <w:rPr>
          <w:lang w:val="en-US"/>
        </w:rPr>
        <w:t xml:space="preserve">will take into account the employability skills in response </w:t>
      </w:r>
      <w:r w:rsidR="00461115" w:rsidRPr="00A45ED2">
        <w:rPr>
          <w:lang w:val="en-US"/>
        </w:rPr>
        <w:t>to a more and more demanding labour market.</w:t>
      </w:r>
      <w:r w:rsidR="004A4117">
        <w:rPr>
          <w:lang w:val="en-US"/>
        </w:rPr>
        <w:t xml:space="preserve"> For more information on strategic areas in education </w:t>
      </w:r>
      <w:r w:rsidR="00135AC9">
        <w:rPr>
          <w:lang w:val="en-US"/>
        </w:rPr>
        <w:t xml:space="preserve">and skills development, please </w:t>
      </w:r>
      <w:r w:rsidR="004A4117">
        <w:rPr>
          <w:lang w:val="en-US"/>
        </w:rPr>
        <w:t xml:space="preserve">visit </w:t>
      </w:r>
      <w:hyperlink r:id="rId5" w:history="1">
        <w:r w:rsidR="004A4117" w:rsidRPr="00612D2A">
          <w:rPr>
            <w:rStyle w:val="Hyperlink"/>
            <w:lang w:val="en-US"/>
          </w:rPr>
          <w:t>www.mineduc.gov.rw</w:t>
        </w:r>
      </w:hyperlink>
    </w:p>
    <w:p w:rsidR="00461115" w:rsidRPr="00621AF2" w:rsidRDefault="00461115" w:rsidP="0021622E">
      <w:pPr>
        <w:rPr>
          <w:lang w:val="en-GB"/>
        </w:rPr>
      </w:pPr>
    </w:p>
    <w:p w:rsidR="0021622E" w:rsidRPr="00952CAB" w:rsidRDefault="0021622E" w:rsidP="0021622E">
      <w:pPr>
        <w:rPr>
          <w:i/>
          <w:lang w:val="en-GB"/>
        </w:rPr>
      </w:pPr>
      <w:r w:rsidRPr="00952CAB">
        <w:rPr>
          <w:i/>
          <w:lang w:val="en-GB"/>
        </w:rPr>
        <w:t>c. Description of the problem</w:t>
      </w:r>
    </w:p>
    <w:p w:rsidR="004A4117" w:rsidRDefault="004A4117" w:rsidP="0021622E">
      <w:pPr>
        <w:rPr>
          <w:lang w:val="en-GB"/>
        </w:rPr>
      </w:pPr>
    </w:p>
    <w:p w:rsidR="004A4117" w:rsidRDefault="00B81CF5" w:rsidP="0021622E">
      <w:pPr>
        <w:rPr>
          <w:lang w:val="en-GB"/>
        </w:rPr>
      </w:pPr>
      <w:r>
        <w:rPr>
          <w:lang w:val="en-GB"/>
        </w:rPr>
        <w:t xml:space="preserve">The ambition set by </w:t>
      </w:r>
      <w:r w:rsidR="00284E2C">
        <w:rPr>
          <w:lang w:val="en-GB"/>
        </w:rPr>
        <w:t xml:space="preserve">the </w:t>
      </w:r>
      <w:r>
        <w:rPr>
          <w:lang w:val="en-GB"/>
        </w:rPr>
        <w:t>Rwandan Government to be a knowledge based economy an</w:t>
      </w:r>
      <w:r w:rsidR="00A21717">
        <w:rPr>
          <w:lang w:val="en-GB"/>
        </w:rPr>
        <w:t>d a middle income country by 202</w:t>
      </w:r>
      <w:r>
        <w:rPr>
          <w:lang w:val="en-GB"/>
        </w:rPr>
        <w:t xml:space="preserve">0 can not be achieved without investments in skills. With a </w:t>
      </w:r>
      <w:r w:rsidR="004206EB">
        <w:rPr>
          <w:lang w:val="en-GB"/>
        </w:rPr>
        <w:t xml:space="preserve">very </w:t>
      </w:r>
      <w:r>
        <w:rPr>
          <w:lang w:val="en-GB"/>
        </w:rPr>
        <w:t>young population and withou</w:t>
      </w:r>
      <w:r w:rsidR="00135AC9">
        <w:rPr>
          <w:lang w:val="en-GB"/>
        </w:rPr>
        <w:t xml:space="preserve">t substantial natural resources, </w:t>
      </w:r>
      <w:r>
        <w:rPr>
          <w:lang w:val="en-GB"/>
        </w:rPr>
        <w:t>the country needs to develop the capacity o</w:t>
      </w:r>
      <w:r w:rsidR="00135AC9">
        <w:rPr>
          <w:lang w:val="en-GB"/>
        </w:rPr>
        <w:t xml:space="preserve">f its </w:t>
      </w:r>
      <w:r w:rsidR="00A21717">
        <w:rPr>
          <w:lang w:val="en-GB"/>
        </w:rPr>
        <w:t>people to be able to comp</w:t>
      </w:r>
      <w:r>
        <w:rPr>
          <w:lang w:val="en-GB"/>
        </w:rPr>
        <w:t xml:space="preserve">ete in </w:t>
      </w:r>
      <w:r w:rsidR="00135AC9">
        <w:rPr>
          <w:lang w:val="en-GB"/>
        </w:rPr>
        <w:t xml:space="preserve">the </w:t>
      </w:r>
      <w:r>
        <w:rPr>
          <w:lang w:val="en-GB"/>
        </w:rPr>
        <w:t>domestic, regional and global economy.</w:t>
      </w:r>
    </w:p>
    <w:p w:rsidR="007A2FAB" w:rsidRPr="002B1A6D" w:rsidRDefault="009A1F01" w:rsidP="00C43B4A">
      <w:pPr>
        <w:rPr>
          <w:lang w:val="en-US"/>
        </w:rPr>
      </w:pPr>
      <w:r>
        <w:rPr>
          <w:lang w:val="en-US"/>
        </w:rPr>
        <w:t xml:space="preserve">On the Government Common Performance Assessment Framework (CPAF) the satisfaction of employers </w:t>
      </w:r>
      <w:r w:rsidR="00284E2C">
        <w:rPr>
          <w:lang w:val="en-US"/>
        </w:rPr>
        <w:t>on</w:t>
      </w:r>
      <w:r>
        <w:rPr>
          <w:lang w:val="en-US"/>
        </w:rPr>
        <w:t xml:space="preserve"> TVET graduates is mentionned as one of the key indicators. </w:t>
      </w:r>
      <w:r w:rsidR="007A2FAB">
        <w:rPr>
          <w:lang w:val="en-US"/>
        </w:rPr>
        <w:t>A</w:t>
      </w:r>
      <w:r w:rsidR="007A2FAB" w:rsidRPr="002B1A6D">
        <w:rPr>
          <w:lang w:val="en-US"/>
        </w:rPr>
        <w:t>n employers’survey conducted</w:t>
      </w:r>
      <w:r w:rsidR="007A2FAB">
        <w:rPr>
          <w:lang w:val="en-US"/>
        </w:rPr>
        <w:t xml:space="preserve"> </w:t>
      </w:r>
      <w:r w:rsidR="007F1F9D">
        <w:rPr>
          <w:lang w:val="en-US"/>
        </w:rPr>
        <w:t xml:space="preserve">in 2010 </w:t>
      </w:r>
      <w:r w:rsidR="007A2FAB">
        <w:rPr>
          <w:lang w:val="en-US"/>
        </w:rPr>
        <w:t xml:space="preserve">with a sample of more than 60 companies showed that </w:t>
      </w:r>
      <w:r w:rsidR="007F1F9D">
        <w:rPr>
          <w:lang w:val="en-US"/>
        </w:rPr>
        <w:t>the TVET system in Rwanda needs to be consulted and aligned to the occupations in industry.</w:t>
      </w:r>
    </w:p>
    <w:p w:rsidR="007A2FAB" w:rsidRDefault="007A2FAB" w:rsidP="0021622E">
      <w:pPr>
        <w:rPr>
          <w:lang w:val="en-GB"/>
        </w:rPr>
      </w:pPr>
    </w:p>
    <w:p w:rsidR="0021622E" w:rsidRPr="00CE31CB" w:rsidRDefault="0021622E" w:rsidP="0021622E">
      <w:pPr>
        <w:rPr>
          <w:i/>
          <w:lang w:val="en-GB"/>
        </w:rPr>
      </w:pPr>
      <w:r w:rsidRPr="00CE31CB">
        <w:rPr>
          <w:i/>
          <w:lang w:val="en-GB"/>
        </w:rPr>
        <w:t>d. Intervention logic</w:t>
      </w:r>
    </w:p>
    <w:p w:rsidR="0021622E" w:rsidRDefault="0021622E" w:rsidP="0021622E">
      <w:pPr>
        <w:rPr>
          <w:lang w:val="en-GB"/>
        </w:rPr>
      </w:pPr>
    </w:p>
    <w:p w:rsidR="005A744C" w:rsidRDefault="004206EB" w:rsidP="0021622E">
      <w:pPr>
        <w:rPr>
          <w:lang w:val="en-GB"/>
        </w:rPr>
      </w:pPr>
      <w:r>
        <w:rPr>
          <w:lang w:val="en-GB"/>
        </w:rPr>
        <w:t xml:space="preserve">EKN gives Sector Budget Support (through DFID) and also developed programs in Technical and Vocational Training (TVET). </w:t>
      </w:r>
      <w:r w:rsidR="009F7C41">
        <w:rPr>
          <w:lang w:val="en-GB"/>
        </w:rPr>
        <w:t>The TVET programs are part of our private sector development program, as lack of skills is one of the main impediments to private sector development.</w:t>
      </w:r>
    </w:p>
    <w:p w:rsidR="0021622E" w:rsidRDefault="0021622E" w:rsidP="0021622E">
      <w:pPr>
        <w:rPr>
          <w:lang w:val="en-GB"/>
        </w:rPr>
      </w:pPr>
    </w:p>
    <w:p w:rsidR="0021622E" w:rsidRDefault="0021622E" w:rsidP="00F80C33">
      <w:pPr>
        <w:rPr>
          <w:b/>
          <w:bCs/>
          <w:lang w:val="en-GB"/>
        </w:rPr>
      </w:pPr>
      <w:r w:rsidRPr="00855CDD">
        <w:rPr>
          <w:b/>
          <w:bCs/>
          <w:lang w:val="en-GB"/>
        </w:rPr>
        <w:t xml:space="preserve">2. RESULTS AND LESSONS LEARNED </w:t>
      </w:r>
    </w:p>
    <w:p w:rsidR="008006A2" w:rsidRPr="00855CDD" w:rsidRDefault="008006A2" w:rsidP="00F80C33">
      <w:pPr>
        <w:rPr>
          <w:b/>
          <w:bCs/>
          <w:lang w:val="en-GB"/>
        </w:rPr>
      </w:pPr>
    </w:p>
    <w:p w:rsidR="0021622E" w:rsidRPr="008006A2" w:rsidRDefault="0021622E" w:rsidP="00C2674C">
      <w:pPr>
        <w:numPr>
          <w:ilvl w:val="0"/>
          <w:numId w:val="4"/>
        </w:numPr>
        <w:rPr>
          <w:i/>
          <w:lang w:val="en-GB"/>
        </w:rPr>
      </w:pPr>
      <w:r w:rsidRPr="008006A2">
        <w:rPr>
          <w:i/>
          <w:lang w:val="en-GB"/>
        </w:rPr>
        <w:t xml:space="preserve">What was achieved and why? </w:t>
      </w:r>
      <w:r w:rsidR="000F1E7D" w:rsidRPr="008006A2">
        <w:rPr>
          <w:i/>
          <w:lang w:val="en-GB"/>
        </w:rPr>
        <w:t xml:space="preserve">What made it happen? </w:t>
      </w:r>
    </w:p>
    <w:p w:rsidR="008006A2" w:rsidRDefault="008006A2" w:rsidP="008006A2">
      <w:pPr>
        <w:autoSpaceDE w:val="0"/>
        <w:autoSpaceDN w:val="0"/>
        <w:adjustRightInd w:val="0"/>
        <w:rPr>
          <w:lang w:val="en-GB"/>
        </w:rPr>
      </w:pPr>
    </w:p>
    <w:p w:rsidR="00FF33C5" w:rsidRDefault="00FF33C5" w:rsidP="008006A2">
      <w:pPr>
        <w:autoSpaceDE w:val="0"/>
        <w:autoSpaceDN w:val="0"/>
        <w:adjustRightInd w:val="0"/>
        <w:rPr>
          <w:lang w:val="en-GB"/>
        </w:rPr>
      </w:pPr>
      <w:r>
        <w:rPr>
          <w:lang w:val="en-GB"/>
        </w:rPr>
        <w:t xml:space="preserve">With an average annual disbursement of 8 mln Euro, the Netherlands are amongst the main contributors to the </w:t>
      </w:r>
      <w:r w:rsidR="0097140D">
        <w:rPr>
          <w:lang w:val="en-GB"/>
        </w:rPr>
        <w:t>e</w:t>
      </w:r>
      <w:r w:rsidR="00284E2C">
        <w:rPr>
          <w:lang w:val="en-GB"/>
        </w:rPr>
        <w:t>ducation sector, including TVET</w:t>
      </w:r>
      <w:r>
        <w:rPr>
          <w:lang w:val="en-GB"/>
        </w:rPr>
        <w:t>.</w:t>
      </w:r>
    </w:p>
    <w:p w:rsidR="00FF33C5" w:rsidRDefault="00FF33C5" w:rsidP="008006A2">
      <w:pPr>
        <w:autoSpaceDE w:val="0"/>
        <w:autoSpaceDN w:val="0"/>
        <w:adjustRightInd w:val="0"/>
        <w:rPr>
          <w:lang w:val="en-GB"/>
        </w:rPr>
      </w:pPr>
    </w:p>
    <w:p w:rsidR="00653158" w:rsidRPr="00653158" w:rsidRDefault="00FF33C5" w:rsidP="008006A2">
      <w:pPr>
        <w:autoSpaceDE w:val="0"/>
        <w:autoSpaceDN w:val="0"/>
        <w:adjustRightInd w:val="0"/>
        <w:rPr>
          <w:u w:val="single"/>
          <w:lang w:val="en-GB"/>
        </w:rPr>
      </w:pPr>
      <w:r>
        <w:rPr>
          <w:u w:val="single"/>
          <w:lang w:val="en-GB"/>
        </w:rPr>
        <w:t xml:space="preserve">Sector Budget Support </w:t>
      </w:r>
      <w:r w:rsidR="00653158" w:rsidRPr="00653158">
        <w:rPr>
          <w:u w:val="single"/>
          <w:lang w:val="en-GB"/>
        </w:rPr>
        <w:t>Education</w:t>
      </w:r>
    </w:p>
    <w:p w:rsidR="00653158" w:rsidRDefault="00653158" w:rsidP="008006A2">
      <w:pPr>
        <w:autoSpaceDE w:val="0"/>
        <w:autoSpaceDN w:val="0"/>
        <w:adjustRightInd w:val="0"/>
        <w:rPr>
          <w:lang w:val="en-GB"/>
        </w:rPr>
      </w:pPr>
    </w:p>
    <w:p w:rsidR="00FF33C5" w:rsidRDefault="00952342" w:rsidP="00FF33C5">
      <w:pPr>
        <w:autoSpaceDE w:val="0"/>
        <w:autoSpaceDN w:val="0"/>
        <w:adjustRightInd w:val="0"/>
        <w:rPr>
          <w:lang w:val="en-US"/>
        </w:rPr>
      </w:pPr>
      <w:r>
        <w:rPr>
          <w:lang w:val="en-GB"/>
        </w:rPr>
        <w:t>Taking into account the harmonization and coordination agenda,</w:t>
      </w:r>
      <w:r w:rsidR="00FF33C5">
        <w:rPr>
          <w:lang w:val="en-GB"/>
        </w:rPr>
        <w:t xml:space="preserve">EKN </w:t>
      </w:r>
      <w:r w:rsidR="002559D1">
        <w:rPr>
          <w:lang w:val="en-GB"/>
        </w:rPr>
        <w:t xml:space="preserve">entered </w:t>
      </w:r>
      <w:r w:rsidR="00E316A2">
        <w:rPr>
          <w:lang w:val="en-GB"/>
        </w:rPr>
        <w:t xml:space="preserve">into </w:t>
      </w:r>
      <w:r w:rsidR="002559D1">
        <w:rPr>
          <w:lang w:val="en-GB"/>
        </w:rPr>
        <w:t xml:space="preserve">a silent partnership with DFID to support the Education Sector Budget. EKN disbursed </w:t>
      </w:r>
      <w:r w:rsidR="00284E2C">
        <w:rPr>
          <w:lang w:val="en-GB"/>
        </w:rPr>
        <w:t>yearly around 6 million</w:t>
      </w:r>
      <w:r w:rsidR="007F1F9D">
        <w:rPr>
          <w:lang w:val="en-GB"/>
        </w:rPr>
        <w:t xml:space="preserve"> </w:t>
      </w:r>
      <w:r w:rsidR="00FF33C5">
        <w:rPr>
          <w:lang w:val="en-GB"/>
        </w:rPr>
        <w:t xml:space="preserve">Euro </w:t>
      </w:r>
      <w:r w:rsidR="00A41AC1">
        <w:rPr>
          <w:lang w:val="en-GB"/>
        </w:rPr>
        <w:t xml:space="preserve">to </w:t>
      </w:r>
      <w:r w:rsidR="00FF33C5">
        <w:rPr>
          <w:lang w:val="en-GB"/>
        </w:rPr>
        <w:t xml:space="preserve">support </w:t>
      </w:r>
      <w:r w:rsidR="00A41AC1">
        <w:rPr>
          <w:lang w:val="en-GB"/>
        </w:rPr>
        <w:t xml:space="preserve">in particular </w:t>
      </w:r>
      <w:r w:rsidR="00FF33C5">
        <w:rPr>
          <w:lang w:val="en-GB"/>
        </w:rPr>
        <w:t>basic education. Progress in the education sector is measured through several indicators</w:t>
      </w:r>
      <w:r w:rsidR="00284E2C">
        <w:rPr>
          <w:lang w:val="en-GB"/>
        </w:rPr>
        <w:t xml:space="preserve"> that are part of the CPAF</w:t>
      </w:r>
      <w:r w:rsidR="00FF33C5">
        <w:rPr>
          <w:lang w:val="en-GB"/>
        </w:rPr>
        <w:t xml:space="preserve">. </w:t>
      </w:r>
      <w:r w:rsidR="00FF33C5">
        <w:rPr>
          <w:lang w:val="en-US"/>
        </w:rPr>
        <w:t>The main results in the period in which we have given budget support are:</w:t>
      </w:r>
    </w:p>
    <w:p w:rsidR="0097140D" w:rsidRDefault="0097140D" w:rsidP="00FF33C5">
      <w:pPr>
        <w:autoSpaceDE w:val="0"/>
        <w:autoSpaceDN w:val="0"/>
        <w:adjustRightInd w:val="0"/>
        <w:rPr>
          <w:lang w:val="en-US"/>
        </w:rPr>
      </w:pPr>
    </w:p>
    <w:p w:rsidR="0097140D" w:rsidRDefault="00A41AC1" w:rsidP="00CD4435">
      <w:pPr>
        <w:numPr>
          <w:ilvl w:val="0"/>
          <w:numId w:val="8"/>
        </w:numPr>
        <w:rPr>
          <w:lang w:val="en-US"/>
        </w:rPr>
      </w:pPr>
      <w:r>
        <w:rPr>
          <w:lang w:val="en-US"/>
        </w:rPr>
        <w:t>In formal and informal meetings with DFID and in the fora where educat</w:t>
      </w:r>
      <w:r w:rsidR="00CD4435">
        <w:rPr>
          <w:lang w:val="en-US"/>
        </w:rPr>
        <w:t>ion is discussed the EKN has</w:t>
      </w:r>
      <w:r>
        <w:rPr>
          <w:lang w:val="en-US"/>
        </w:rPr>
        <w:t xml:space="preserve"> strongly advocated for the improvement of the </w:t>
      </w:r>
      <w:r w:rsidRPr="003E09F3">
        <w:rPr>
          <w:lang w:val="en-US"/>
        </w:rPr>
        <w:t>comple</w:t>
      </w:r>
      <w:r>
        <w:rPr>
          <w:lang w:val="en-US"/>
        </w:rPr>
        <w:t xml:space="preserve">tion rate. </w:t>
      </w:r>
      <w:r w:rsidR="001B53AE">
        <w:rPr>
          <w:lang w:val="en-US"/>
        </w:rPr>
        <w:t>With the introduction and fast tracking of the 9 year basic education</w:t>
      </w:r>
      <w:r w:rsidR="00D06474">
        <w:rPr>
          <w:lang w:val="en-US"/>
        </w:rPr>
        <w:t xml:space="preserve"> </w:t>
      </w:r>
      <w:r w:rsidR="008B02EA">
        <w:rPr>
          <w:lang w:val="en-US"/>
        </w:rPr>
        <w:t xml:space="preserve">the completion rate </w:t>
      </w:r>
      <w:r w:rsidR="001B53AE" w:rsidRPr="003E09F3">
        <w:rPr>
          <w:lang w:val="en-US"/>
        </w:rPr>
        <w:t>r</w:t>
      </w:r>
      <w:r w:rsidR="008B02EA">
        <w:rPr>
          <w:lang w:val="en-US"/>
        </w:rPr>
        <w:t xml:space="preserve">ecorded a big leap </w:t>
      </w:r>
      <w:r w:rsidR="00AF355E">
        <w:rPr>
          <w:lang w:val="en-US"/>
        </w:rPr>
        <w:t xml:space="preserve">forward </w:t>
      </w:r>
      <w:r w:rsidR="00CD4435">
        <w:rPr>
          <w:lang w:val="en-US"/>
        </w:rPr>
        <w:t xml:space="preserve">from 52 % in 2008 up </w:t>
      </w:r>
      <w:r w:rsidR="00E42C2B">
        <w:rPr>
          <w:lang w:val="en-US"/>
        </w:rPr>
        <w:t>to 7</w:t>
      </w:r>
      <w:r w:rsidR="001B53AE" w:rsidRPr="003E09F3">
        <w:rPr>
          <w:lang w:val="en-US"/>
        </w:rPr>
        <w:t>6%</w:t>
      </w:r>
      <w:r w:rsidR="008B02EA">
        <w:rPr>
          <w:lang w:val="en-US"/>
        </w:rPr>
        <w:t xml:space="preserve"> in 2010</w:t>
      </w:r>
      <w:r w:rsidR="000953A5">
        <w:rPr>
          <w:lang w:val="en-US"/>
        </w:rPr>
        <w:t xml:space="preserve"> </w:t>
      </w:r>
      <w:r w:rsidR="000953A5" w:rsidRPr="002B1A6D">
        <w:rPr>
          <w:lang w:val="en-US"/>
        </w:rPr>
        <w:t>(</w:t>
      </w:r>
      <w:r w:rsidR="00284E2C">
        <w:rPr>
          <w:lang w:val="en-US"/>
        </w:rPr>
        <w:t>g</w:t>
      </w:r>
      <w:r w:rsidR="000953A5" w:rsidRPr="002B1A6D">
        <w:rPr>
          <w:lang w:val="en-US"/>
        </w:rPr>
        <w:t>irls rate is higher being 79.8% against 71.4 % for boys)</w:t>
      </w:r>
      <w:r w:rsidR="00AF355E">
        <w:rPr>
          <w:lang w:val="en-US"/>
        </w:rPr>
        <w:t xml:space="preserve"> </w:t>
      </w:r>
    </w:p>
    <w:p w:rsidR="002B1A6D" w:rsidRDefault="002B1A6D" w:rsidP="000953A5">
      <w:pPr>
        <w:numPr>
          <w:ilvl w:val="0"/>
          <w:numId w:val="8"/>
        </w:numPr>
        <w:rPr>
          <w:lang w:val="en-US"/>
        </w:rPr>
      </w:pPr>
      <w:r>
        <w:rPr>
          <w:lang w:val="en-US"/>
        </w:rPr>
        <w:t xml:space="preserve">The </w:t>
      </w:r>
      <w:r w:rsidRPr="002B1A6D">
        <w:rPr>
          <w:lang w:val="en-US"/>
        </w:rPr>
        <w:t xml:space="preserve">Primary net enrolment rate increased from 93 % </w:t>
      </w:r>
      <w:r w:rsidR="006D5CE5">
        <w:rPr>
          <w:lang w:val="en-US"/>
        </w:rPr>
        <w:t xml:space="preserve">in 2009 </w:t>
      </w:r>
      <w:r w:rsidRPr="002B1A6D">
        <w:rPr>
          <w:lang w:val="en-US"/>
        </w:rPr>
        <w:t xml:space="preserve">to 95 % </w:t>
      </w:r>
      <w:r w:rsidR="006D5CE5">
        <w:rPr>
          <w:lang w:val="en-US"/>
        </w:rPr>
        <w:t xml:space="preserve">in 2010 </w:t>
      </w:r>
      <w:r w:rsidRPr="002B1A6D">
        <w:rPr>
          <w:lang w:val="en-US"/>
        </w:rPr>
        <w:t>(the rate of girls is higher being 97</w:t>
      </w:r>
      <w:r w:rsidR="0075345A">
        <w:rPr>
          <w:lang w:val="en-US"/>
        </w:rPr>
        <w:t xml:space="preserve"> </w:t>
      </w:r>
      <w:r w:rsidRPr="002B1A6D">
        <w:rPr>
          <w:lang w:val="en-US"/>
        </w:rPr>
        <w:t xml:space="preserve">against 94 </w:t>
      </w:r>
      <w:r w:rsidR="000953A5">
        <w:rPr>
          <w:lang w:val="en-US"/>
        </w:rPr>
        <w:t xml:space="preserve">for boys) </w:t>
      </w:r>
    </w:p>
    <w:p w:rsidR="000953A5" w:rsidRDefault="000953A5" w:rsidP="000953A5">
      <w:pPr>
        <w:numPr>
          <w:ilvl w:val="0"/>
          <w:numId w:val="8"/>
        </w:numPr>
        <w:rPr>
          <w:lang w:val="en-US"/>
        </w:rPr>
      </w:pPr>
      <w:r>
        <w:rPr>
          <w:lang w:val="en-US"/>
        </w:rPr>
        <w:t>Transition rate from primary to secondary</w:t>
      </w:r>
      <w:r w:rsidR="000A32F0">
        <w:rPr>
          <w:lang w:val="en-US"/>
        </w:rPr>
        <w:t xml:space="preserve"> increased from 88 % in 2008 to 95 % in 2009</w:t>
      </w:r>
      <w:r w:rsidR="0075345A">
        <w:rPr>
          <w:lang w:val="en-US"/>
        </w:rPr>
        <w:t>.</w:t>
      </w:r>
    </w:p>
    <w:p w:rsidR="000A32F0" w:rsidRDefault="000A32F0" w:rsidP="000953A5">
      <w:pPr>
        <w:numPr>
          <w:ilvl w:val="0"/>
          <w:numId w:val="8"/>
        </w:numPr>
        <w:rPr>
          <w:lang w:val="en-US"/>
        </w:rPr>
      </w:pPr>
      <w:r>
        <w:rPr>
          <w:lang w:val="en-US"/>
        </w:rPr>
        <w:t>The promotion rate in primary education increased from 69.5 % in 2008 to 73.8 % in 2009 meaning a decrease in the repetition and dropout rates</w:t>
      </w:r>
      <w:r w:rsidR="003C098E">
        <w:rPr>
          <w:lang w:val="en-US"/>
        </w:rPr>
        <w:t xml:space="preserve"> of </w:t>
      </w:r>
      <w:r>
        <w:rPr>
          <w:lang w:val="en-US"/>
        </w:rPr>
        <w:t>respectively 14 % and 12.2 %.</w:t>
      </w:r>
    </w:p>
    <w:p w:rsidR="002B1A6D" w:rsidRDefault="002B1A6D" w:rsidP="001B53AE">
      <w:pPr>
        <w:autoSpaceDE w:val="0"/>
        <w:autoSpaceDN w:val="0"/>
        <w:adjustRightInd w:val="0"/>
        <w:rPr>
          <w:lang w:val="en-US"/>
        </w:rPr>
      </w:pPr>
    </w:p>
    <w:p w:rsidR="00653158" w:rsidRPr="00653158" w:rsidRDefault="00653158" w:rsidP="001B53AE">
      <w:pPr>
        <w:autoSpaceDE w:val="0"/>
        <w:autoSpaceDN w:val="0"/>
        <w:adjustRightInd w:val="0"/>
        <w:rPr>
          <w:u w:val="single"/>
          <w:lang w:val="en-US"/>
        </w:rPr>
      </w:pPr>
      <w:r w:rsidRPr="00653158">
        <w:rPr>
          <w:u w:val="single"/>
          <w:lang w:val="en-US"/>
        </w:rPr>
        <w:t>TVET and Skills Development</w:t>
      </w:r>
      <w:r w:rsidR="009F7C41">
        <w:rPr>
          <w:u w:val="single"/>
          <w:lang w:val="en-US"/>
        </w:rPr>
        <w:t xml:space="preserve"> </w:t>
      </w:r>
    </w:p>
    <w:p w:rsidR="00653158" w:rsidRDefault="00653158" w:rsidP="001B53AE">
      <w:pPr>
        <w:autoSpaceDE w:val="0"/>
        <w:autoSpaceDN w:val="0"/>
        <w:adjustRightInd w:val="0"/>
        <w:rPr>
          <w:lang w:val="en-US"/>
        </w:rPr>
      </w:pPr>
    </w:p>
    <w:p w:rsidR="0062038E" w:rsidRDefault="00CD4435" w:rsidP="008B02EA">
      <w:pPr>
        <w:autoSpaceDE w:val="0"/>
        <w:autoSpaceDN w:val="0"/>
        <w:adjustRightInd w:val="0"/>
        <w:rPr>
          <w:lang w:val="en-US"/>
        </w:rPr>
      </w:pPr>
      <w:r>
        <w:rPr>
          <w:lang w:val="en-US"/>
        </w:rPr>
        <w:t xml:space="preserve">Although </w:t>
      </w:r>
      <w:r w:rsidR="008B02EA" w:rsidRPr="003E09F3">
        <w:rPr>
          <w:lang w:val="en-US"/>
        </w:rPr>
        <w:t>EKN</w:t>
      </w:r>
      <w:r w:rsidR="00AF355E">
        <w:rPr>
          <w:lang w:val="en-US"/>
        </w:rPr>
        <w:t xml:space="preserve"> </w:t>
      </w:r>
      <w:r>
        <w:rPr>
          <w:lang w:val="en-US"/>
        </w:rPr>
        <w:t xml:space="preserve">was considered to be a silent partner in </w:t>
      </w:r>
      <w:r w:rsidR="00524511">
        <w:rPr>
          <w:lang w:val="en-US"/>
        </w:rPr>
        <w:t>the E</w:t>
      </w:r>
      <w:r>
        <w:rPr>
          <w:lang w:val="en-US"/>
        </w:rPr>
        <w:t>ducation</w:t>
      </w:r>
      <w:r w:rsidR="00524511">
        <w:rPr>
          <w:lang w:val="en-US"/>
        </w:rPr>
        <w:t xml:space="preserve"> Sector Budget S</w:t>
      </w:r>
      <w:r>
        <w:rPr>
          <w:lang w:val="en-US"/>
        </w:rPr>
        <w:t xml:space="preserve">upport, </w:t>
      </w:r>
      <w:r w:rsidR="0062038E">
        <w:rPr>
          <w:lang w:val="en-US"/>
        </w:rPr>
        <w:t>EKN</w:t>
      </w:r>
      <w:r>
        <w:rPr>
          <w:lang w:val="en-US"/>
        </w:rPr>
        <w:t xml:space="preserve"> </w:t>
      </w:r>
      <w:r w:rsidR="0003697F">
        <w:rPr>
          <w:lang w:val="en-US"/>
        </w:rPr>
        <w:t>play</w:t>
      </w:r>
      <w:r>
        <w:rPr>
          <w:lang w:val="en-US"/>
        </w:rPr>
        <w:t>ed</w:t>
      </w:r>
      <w:r w:rsidR="008B02EA" w:rsidRPr="003E09F3">
        <w:rPr>
          <w:lang w:val="en-US"/>
        </w:rPr>
        <w:t xml:space="preserve"> a comple</w:t>
      </w:r>
      <w:r w:rsidR="0003697F">
        <w:rPr>
          <w:lang w:val="en-US"/>
        </w:rPr>
        <w:t>menta</w:t>
      </w:r>
      <w:r w:rsidR="0075345A">
        <w:rPr>
          <w:lang w:val="en-US"/>
        </w:rPr>
        <w:t>r</w:t>
      </w:r>
      <w:r w:rsidR="0003697F">
        <w:rPr>
          <w:lang w:val="en-US"/>
        </w:rPr>
        <w:t xml:space="preserve">y role </w:t>
      </w:r>
      <w:r w:rsidR="0062038E">
        <w:rPr>
          <w:lang w:val="en-US"/>
        </w:rPr>
        <w:t>to</w:t>
      </w:r>
      <w:r w:rsidR="0003697F">
        <w:rPr>
          <w:lang w:val="en-US"/>
        </w:rPr>
        <w:t xml:space="preserve"> DFID </w:t>
      </w:r>
      <w:r>
        <w:rPr>
          <w:lang w:val="en-US"/>
        </w:rPr>
        <w:t xml:space="preserve">in the education cluster </w:t>
      </w:r>
      <w:r w:rsidR="008B02EA" w:rsidRPr="003E09F3">
        <w:rPr>
          <w:lang w:val="en-US"/>
        </w:rPr>
        <w:t xml:space="preserve">regarding </w:t>
      </w:r>
      <w:r w:rsidR="0003697F">
        <w:rPr>
          <w:lang w:val="en-US"/>
        </w:rPr>
        <w:t xml:space="preserve">the </w:t>
      </w:r>
      <w:r w:rsidR="008B02EA" w:rsidRPr="003E09F3">
        <w:rPr>
          <w:lang w:val="en-US"/>
        </w:rPr>
        <w:t xml:space="preserve">institutional set up and </w:t>
      </w:r>
      <w:r w:rsidR="0003697F">
        <w:rPr>
          <w:lang w:val="en-US"/>
        </w:rPr>
        <w:t xml:space="preserve">the </w:t>
      </w:r>
      <w:r w:rsidR="008B02EA" w:rsidRPr="003E09F3">
        <w:rPr>
          <w:lang w:val="en-US"/>
        </w:rPr>
        <w:t xml:space="preserve">budget planning of </w:t>
      </w:r>
      <w:r w:rsidR="00567BA0">
        <w:rPr>
          <w:lang w:val="en-US"/>
        </w:rPr>
        <w:t>TVET</w:t>
      </w:r>
      <w:r w:rsidR="008B02EA" w:rsidRPr="003E09F3">
        <w:rPr>
          <w:lang w:val="en-US"/>
        </w:rPr>
        <w:t xml:space="preserve">. </w:t>
      </w:r>
      <w:r w:rsidR="00187EAC">
        <w:rPr>
          <w:lang w:val="en-US"/>
        </w:rPr>
        <w:t xml:space="preserve">More specifically, </w:t>
      </w:r>
      <w:r w:rsidR="00571EE6">
        <w:rPr>
          <w:lang w:val="en-US"/>
        </w:rPr>
        <w:t xml:space="preserve">on the budget side </w:t>
      </w:r>
      <w:r w:rsidR="00187EAC">
        <w:rPr>
          <w:lang w:val="en-US"/>
        </w:rPr>
        <w:t xml:space="preserve">EKN lobbied to have the TVET budget increased, </w:t>
      </w:r>
      <w:r w:rsidR="0062038E">
        <w:rPr>
          <w:lang w:val="en-US"/>
        </w:rPr>
        <w:t xml:space="preserve">from 2% in 2008 to </w:t>
      </w:r>
      <w:r w:rsidR="00187EAC">
        <w:rPr>
          <w:lang w:val="en-US"/>
        </w:rPr>
        <w:t xml:space="preserve">now  6 % </w:t>
      </w:r>
      <w:r w:rsidR="00187EAC" w:rsidRPr="003E09F3">
        <w:rPr>
          <w:lang w:val="en-US"/>
        </w:rPr>
        <w:t xml:space="preserve">in the new ESSP (2010 – </w:t>
      </w:r>
      <w:r w:rsidR="00187EAC">
        <w:rPr>
          <w:lang w:val="en-US"/>
        </w:rPr>
        <w:t xml:space="preserve">2015). </w:t>
      </w:r>
    </w:p>
    <w:p w:rsidR="0062038E" w:rsidRDefault="0062038E" w:rsidP="008B02EA">
      <w:pPr>
        <w:autoSpaceDE w:val="0"/>
        <w:autoSpaceDN w:val="0"/>
        <w:adjustRightInd w:val="0"/>
        <w:rPr>
          <w:lang w:val="en-US"/>
        </w:rPr>
      </w:pPr>
    </w:p>
    <w:p w:rsidR="00BE6831" w:rsidRDefault="00567BA0" w:rsidP="008B02EA">
      <w:pPr>
        <w:autoSpaceDE w:val="0"/>
        <w:autoSpaceDN w:val="0"/>
        <w:adjustRightInd w:val="0"/>
        <w:rPr>
          <w:lang w:val="en-US"/>
        </w:rPr>
      </w:pPr>
      <w:r>
        <w:rPr>
          <w:lang w:val="en-US"/>
        </w:rPr>
        <w:t>Furthermore</w:t>
      </w:r>
      <w:r w:rsidR="00BA0DA4">
        <w:rPr>
          <w:lang w:val="en-US"/>
        </w:rPr>
        <w:t xml:space="preserve"> a </w:t>
      </w:r>
      <w:r w:rsidR="00187EAC">
        <w:rPr>
          <w:lang w:val="en-US"/>
        </w:rPr>
        <w:t>TVET authority</w:t>
      </w:r>
      <w:r>
        <w:rPr>
          <w:lang w:val="en-US"/>
        </w:rPr>
        <w:t>,</w:t>
      </w:r>
      <w:r w:rsidR="00524511">
        <w:rPr>
          <w:lang w:val="en-US"/>
        </w:rPr>
        <w:t xml:space="preserve"> </w:t>
      </w:r>
      <w:r w:rsidR="00524511" w:rsidRPr="003E09F3">
        <w:rPr>
          <w:lang w:val="en-US"/>
        </w:rPr>
        <w:t>the Workf</w:t>
      </w:r>
      <w:r w:rsidR="00524511">
        <w:rPr>
          <w:lang w:val="en-US"/>
        </w:rPr>
        <w:t xml:space="preserve">orce Development Authority (WDA) </w:t>
      </w:r>
      <w:r w:rsidR="00187EAC">
        <w:rPr>
          <w:lang w:val="en-US"/>
        </w:rPr>
        <w:t>was put in p</w:t>
      </w:r>
      <w:r w:rsidR="00524511">
        <w:rPr>
          <w:lang w:val="en-US"/>
        </w:rPr>
        <w:t xml:space="preserve">lace </w:t>
      </w:r>
      <w:r>
        <w:rPr>
          <w:lang w:val="en-US"/>
        </w:rPr>
        <w:t>by using</w:t>
      </w:r>
      <w:r w:rsidR="00507D4A">
        <w:rPr>
          <w:lang w:val="en-US"/>
        </w:rPr>
        <w:t xml:space="preserve"> the Netherlands Initiative for Capacity Building in Higher Education </w:t>
      </w:r>
      <w:r>
        <w:rPr>
          <w:lang w:val="en-US"/>
        </w:rPr>
        <w:t>in close cooperation between EKN and</w:t>
      </w:r>
      <w:r w:rsidR="00507D4A">
        <w:rPr>
          <w:lang w:val="en-US"/>
        </w:rPr>
        <w:t xml:space="preserve"> Nuffic</w:t>
      </w:r>
      <w:r>
        <w:rPr>
          <w:lang w:val="en-US"/>
        </w:rPr>
        <w:t>.</w:t>
      </w:r>
      <w:r w:rsidR="00524511">
        <w:rPr>
          <w:lang w:val="en-US"/>
        </w:rPr>
        <w:t xml:space="preserve"> WDA is in an </w:t>
      </w:r>
      <w:r w:rsidR="00187EAC">
        <w:rPr>
          <w:lang w:val="en-US"/>
        </w:rPr>
        <w:t xml:space="preserve">innovative process </w:t>
      </w:r>
      <w:r>
        <w:rPr>
          <w:lang w:val="en-US"/>
        </w:rPr>
        <w:t>that</w:t>
      </w:r>
      <w:r w:rsidR="00187EAC">
        <w:rPr>
          <w:lang w:val="en-US"/>
        </w:rPr>
        <w:t xml:space="preserve"> put</w:t>
      </w:r>
      <w:r>
        <w:rPr>
          <w:lang w:val="en-US"/>
        </w:rPr>
        <w:t xml:space="preserve">s </w:t>
      </w:r>
      <w:r w:rsidR="00187EAC">
        <w:rPr>
          <w:lang w:val="en-US"/>
        </w:rPr>
        <w:t>in place</w:t>
      </w:r>
      <w:r w:rsidR="004324CE">
        <w:rPr>
          <w:lang w:val="en-US"/>
        </w:rPr>
        <w:t xml:space="preserve"> </w:t>
      </w:r>
      <w:r>
        <w:rPr>
          <w:lang w:val="en-US"/>
        </w:rPr>
        <w:t>a</w:t>
      </w:r>
      <w:r w:rsidR="004324CE">
        <w:rPr>
          <w:lang w:val="en-US"/>
        </w:rPr>
        <w:t xml:space="preserve"> TVET Qualification framework that did not exist </w:t>
      </w:r>
      <w:r>
        <w:rPr>
          <w:lang w:val="en-US"/>
        </w:rPr>
        <w:t>before.</w:t>
      </w:r>
      <w:r w:rsidR="004324CE">
        <w:rPr>
          <w:lang w:val="en-US"/>
        </w:rPr>
        <w:t>.</w:t>
      </w:r>
    </w:p>
    <w:p w:rsidR="003F7644" w:rsidRDefault="003F7644" w:rsidP="008B02EA">
      <w:pPr>
        <w:autoSpaceDE w:val="0"/>
        <w:autoSpaceDN w:val="0"/>
        <w:adjustRightInd w:val="0"/>
        <w:rPr>
          <w:lang w:val="en-US"/>
        </w:rPr>
      </w:pPr>
    </w:p>
    <w:p w:rsidR="00E42C2B" w:rsidRDefault="004324CE" w:rsidP="008B02EA">
      <w:pPr>
        <w:autoSpaceDE w:val="0"/>
        <w:autoSpaceDN w:val="0"/>
        <w:adjustRightInd w:val="0"/>
        <w:rPr>
          <w:lang w:val="en-US"/>
        </w:rPr>
      </w:pPr>
      <w:r>
        <w:rPr>
          <w:lang w:val="en-US"/>
        </w:rPr>
        <w:t xml:space="preserve">EKN </w:t>
      </w:r>
      <w:r w:rsidR="00E42C2B">
        <w:rPr>
          <w:lang w:val="en-US"/>
        </w:rPr>
        <w:t xml:space="preserve">was </w:t>
      </w:r>
      <w:r w:rsidR="00284E2C">
        <w:rPr>
          <w:lang w:val="en-US"/>
        </w:rPr>
        <w:t xml:space="preserve">also </w:t>
      </w:r>
      <w:r w:rsidR="00E42C2B">
        <w:rPr>
          <w:lang w:val="en-US"/>
        </w:rPr>
        <w:t>active in lob</w:t>
      </w:r>
      <w:r w:rsidR="00EC1C92">
        <w:rPr>
          <w:lang w:val="en-US"/>
        </w:rPr>
        <w:t>b</w:t>
      </w:r>
      <w:r w:rsidR="00E42C2B">
        <w:rPr>
          <w:lang w:val="en-US"/>
        </w:rPr>
        <w:t xml:space="preserve">ying to have </w:t>
      </w:r>
      <w:r>
        <w:rPr>
          <w:lang w:val="en-US"/>
        </w:rPr>
        <w:t xml:space="preserve">the </w:t>
      </w:r>
      <w:r w:rsidR="00BE6831">
        <w:rPr>
          <w:lang w:val="en-US"/>
        </w:rPr>
        <w:t xml:space="preserve">TVET </w:t>
      </w:r>
      <w:r w:rsidR="00E42C2B">
        <w:rPr>
          <w:lang w:val="en-US"/>
        </w:rPr>
        <w:t xml:space="preserve">training responsive to the needs of the labour market. </w:t>
      </w:r>
      <w:r>
        <w:rPr>
          <w:lang w:val="en-US"/>
        </w:rPr>
        <w:t>Th</w:t>
      </w:r>
      <w:r w:rsidR="00BE6831">
        <w:rPr>
          <w:lang w:val="en-US"/>
        </w:rPr>
        <w:t>is applies in particular to</w:t>
      </w:r>
      <w:r>
        <w:rPr>
          <w:lang w:val="en-US"/>
        </w:rPr>
        <w:t xml:space="preserve"> </w:t>
      </w:r>
      <w:r w:rsidR="00567BA0">
        <w:rPr>
          <w:lang w:val="en-US"/>
        </w:rPr>
        <w:t xml:space="preserve">the </w:t>
      </w:r>
      <w:r>
        <w:rPr>
          <w:lang w:val="en-US"/>
        </w:rPr>
        <w:t>internship and entrepreneurship culture</w:t>
      </w:r>
      <w:r w:rsidR="00BE6831">
        <w:rPr>
          <w:lang w:val="en-US"/>
        </w:rPr>
        <w:t xml:space="preserve"> which</w:t>
      </w:r>
      <w:r>
        <w:rPr>
          <w:lang w:val="en-US"/>
        </w:rPr>
        <w:t xml:space="preserve"> is still poor in local TVET schools. EKN in partnership with </w:t>
      </w:r>
      <w:r w:rsidR="003C098E">
        <w:rPr>
          <w:lang w:val="en-US"/>
        </w:rPr>
        <w:t>t</w:t>
      </w:r>
      <w:r>
        <w:rPr>
          <w:lang w:val="en-US"/>
        </w:rPr>
        <w:t>he Private Sector Federation</w:t>
      </w:r>
      <w:r w:rsidR="001E05AB">
        <w:rPr>
          <w:lang w:val="en-US"/>
        </w:rPr>
        <w:t xml:space="preserve"> (PSF)</w:t>
      </w:r>
      <w:r>
        <w:rPr>
          <w:lang w:val="en-US"/>
        </w:rPr>
        <w:t xml:space="preserve"> are making e</w:t>
      </w:r>
      <w:r w:rsidR="00E42C2B">
        <w:rPr>
          <w:lang w:val="en-US"/>
        </w:rPr>
        <w:t xml:space="preserve">fforts </w:t>
      </w:r>
      <w:r>
        <w:rPr>
          <w:lang w:val="en-US"/>
        </w:rPr>
        <w:t xml:space="preserve">to foster this culture </w:t>
      </w:r>
      <w:r w:rsidR="00E42C2B">
        <w:rPr>
          <w:lang w:val="en-US"/>
        </w:rPr>
        <w:t>in Rwanda.</w:t>
      </w:r>
      <w:r w:rsidR="00702D7A">
        <w:rPr>
          <w:lang w:val="en-US"/>
        </w:rPr>
        <w:t xml:space="preserve"> More than 1.000 businesses</w:t>
      </w:r>
      <w:r w:rsidR="00524511">
        <w:rPr>
          <w:lang w:val="en-US"/>
        </w:rPr>
        <w:t xml:space="preserve"> (some run by TVET graduates)</w:t>
      </w:r>
      <w:r w:rsidR="00702D7A">
        <w:rPr>
          <w:lang w:val="en-US"/>
        </w:rPr>
        <w:t xml:space="preserve"> </w:t>
      </w:r>
      <w:r w:rsidR="00BE6831">
        <w:rPr>
          <w:lang w:val="en-US"/>
        </w:rPr>
        <w:t xml:space="preserve">have since </w:t>
      </w:r>
      <w:r w:rsidR="00702D7A">
        <w:rPr>
          <w:lang w:val="en-US"/>
        </w:rPr>
        <w:t xml:space="preserve">participated in the Business Plan Competition and </w:t>
      </w:r>
      <w:r w:rsidR="001E05AB">
        <w:rPr>
          <w:lang w:val="en-US"/>
        </w:rPr>
        <w:t xml:space="preserve">thousands of </w:t>
      </w:r>
      <w:r w:rsidR="00702D7A">
        <w:rPr>
          <w:lang w:val="en-US"/>
        </w:rPr>
        <w:t xml:space="preserve">interns </w:t>
      </w:r>
      <w:r w:rsidR="001E05AB">
        <w:rPr>
          <w:lang w:val="en-US"/>
        </w:rPr>
        <w:t xml:space="preserve">are </w:t>
      </w:r>
      <w:r w:rsidR="00702D7A">
        <w:rPr>
          <w:lang w:val="en-US"/>
        </w:rPr>
        <w:t xml:space="preserve">targetted for exposure </w:t>
      </w:r>
      <w:r w:rsidR="00A454B9">
        <w:rPr>
          <w:lang w:val="en-US"/>
        </w:rPr>
        <w:t>to the work place</w:t>
      </w:r>
      <w:r w:rsidR="00702D7A">
        <w:rPr>
          <w:lang w:val="en-US"/>
        </w:rPr>
        <w:t xml:space="preserve"> for a duration of 6 months and a certificate at the end</w:t>
      </w:r>
      <w:r w:rsidR="00A454B9">
        <w:rPr>
          <w:lang w:val="en-US"/>
        </w:rPr>
        <w:t>.</w:t>
      </w:r>
      <w:r w:rsidR="00F4640A">
        <w:rPr>
          <w:lang w:val="en-US"/>
        </w:rPr>
        <w:t xml:space="preserve"> 10 % of the 1.000 businesses </w:t>
      </w:r>
      <w:r w:rsidR="00567BA0">
        <w:rPr>
          <w:lang w:val="en-US"/>
        </w:rPr>
        <w:t xml:space="preserve">involved </w:t>
      </w:r>
      <w:r w:rsidR="00F4640A">
        <w:rPr>
          <w:lang w:val="en-US"/>
        </w:rPr>
        <w:t xml:space="preserve">were connected to banks to </w:t>
      </w:r>
      <w:r w:rsidR="00BE6831">
        <w:rPr>
          <w:lang w:val="en-US"/>
        </w:rPr>
        <w:t>facilitate</w:t>
      </w:r>
      <w:r w:rsidR="00F4640A">
        <w:rPr>
          <w:lang w:val="en-US"/>
        </w:rPr>
        <w:t xml:space="preserve"> loans. </w:t>
      </w:r>
    </w:p>
    <w:p w:rsidR="001E05AB" w:rsidRDefault="001E05AB" w:rsidP="008B02EA">
      <w:pPr>
        <w:autoSpaceDE w:val="0"/>
        <w:autoSpaceDN w:val="0"/>
        <w:adjustRightInd w:val="0"/>
        <w:rPr>
          <w:lang w:val="en-US"/>
        </w:rPr>
      </w:pPr>
      <w:r>
        <w:rPr>
          <w:lang w:val="en-US"/>
        </w:rPr>
        <w:t>PSF in collaboration of the Ministry of Labour and the Ministry of Education have drafted a national internship framework.</w:t>
      </w:r>
    </w:p>
    <w:p w:rsidR="0097140D" w:rsidRPr="000A42E5" w:rsidRDefault="0097140D" w:rsidP="000A42E5">
      <w:pPr>
        <w:rPr>
          <w:lang w:val="en-US"/>
        </w:rPr>
      </w:pPr>
    </w:p>
    <w:p w:rsidR="0021622E" w:rsidRPr="00F831F4" w:rsidRDefault="0021622E" w:rsidP="00C2674C">
      <w:pPr>
        <w:numPr>
          <w:ilvl w:val="0"/>
          <w:numId w:val="4"/>
        </w:numPr>
        <w:rPr>
          <w:i/>
          <w:lang w:val="en-GB"/>
        </w:rPr>
      </w:pPr>
      <w:r w:rsidRPr="00F831F4">
        <w:rPr>
          <w:i/>
          <w:lang w:val="en-GB"/>
        </w:rPr>
        <w:t>What went less well and why?</w:t>
      </w:r>
    </w:p>
    <w:p w:rsidR="00F831F4" w:rsidRDefault="00F831F4" w:rsidP="00F831F4">
      <w:pPr>
        <w:rPr>
          <w:lang w:val="en-GB"/>
        </w:rPr>
      </w:pPr>
    </w:p>
    <w:p w:rsidR="00F831F4" w:rsidRDefault="00B37D83" w:rsidP="00F831F4">
      <w:pPr>
        <w:rPr>
          <w:lang w:val="en-GB"/>
        </w:rPr>
      </w:pPr>
      <w:r>
        <w:rPr>
          <w:lang w:val="en-US"/>
        </w:rPr>
        <w:t xml:space="preserve">The Rwandan Government has a strong leadership and ownership in the context of harmonization and coordination. It is leading now the process of the </w:t>
      </w:r>
      <w:r w:rsidR="003C098E">
        <w:rPr>
          <w:lang w:val="en-US"/>
        </w:rPr>
        <w:t>D</w:t>
      </w:r>
      <w:r>
        <w:rPr>
          <w:lang w:val="en-US"/>
        </w:rPr>
        <w:t xml:space="preserve">ivision of </w:t>
      </w:r>
      <w:r w:rsidR="003C098E">
        <w:rPr>
          <w:lang w:val="en-US"/>
        </w:rPr>
        <w:t>L</w:t>
      </w:r>
      <w:r>
        <w:rPr>
          <w:lang w:val="en-US"/>
        </w:rPr>
        <w:t xml:space="preserve">abour </w:t>
      </w:r>
      <w:r w:rsidR="003C098E">
        <w:rPr>
          <w:lang w:val="en-US"/>
        </w:rPr>
        <w:t xml:space="preserve">(DoL) </w:t>
      </w:r>
      <w:r>
        <w:rPr>
          <w:lang w:val="en-US"/>
        </w:rPr>
        <w:t xml:space="preserve">among development partners and some sectors will loose their traditional supporters. </w:t>
      </w:r>
      <w:r w:rsidR="00141B16">
        <w:rPr>
          <w:lang w:val="en-US"/>
        </w:rPr>
        <w:t>Education is among those sectors. Even if the Government trusts that the portion of national budget going to that sector will be kept high, in the last Joint Budget Support Review (JBSR) some development partners including DFID s</w:t>
      </w:r>
      <w:r w:rsidR="00736C20">
        <w:rPr>
          <w:lang w:val="en-US"/>
        </w:rPr>
        <w:t>tated</w:t>
      </w:r>
      <w:r w:rsidR="00141B16">
        <w:rPr>
          <w:lang w:val="en-US"/>
        </w:rPr>
        <w:t xml:space="preserve"> that </w:t>
      </w:r>
      <w:r w:rsidR="00BA0DA4">
        <w:rPr>
          <w:lang w:val="en-US"/>
        </w:rPr>
        <w:t xml:space="preserve">the withdrawal of some </w:t>
      </w:r>
      <w:r w:rsidR="00141B16">
        <w:rPr>
          <w:lang w:val="en-US"/>
        </w:rPr>
        <w:t xml:space="preserve">budget supporters may endanger </w:t>
      </w:r>
      <w:r w:rsidR="001F4428">
        <w:rPr>
          <w:lang w:val="en-US"/>
        </w:rPr>
        <w:t>medium term predictability and future funds for the sector. A</w:t>
      </w:r>
      <w:r w:rsidR="00034813" w:rsidRPr="00034813">
        <w:rPr>
          <w:lang w:val="en-US"/>
        </w:rPr>
        <w:t xml:space="preserve"> study o</w:t>
      </w:r>
      <w:r w:rsidR="00736C20">
        <w:rPr>
          <w:lang w:val="en-US"/>
        </w:rPr>
        <w:t>n</w:t>
      </w:r>
      <w:r w:rsidR="00034813" w:rsidRPr="00034813">
        <w:rPr>
          <w:lang w:val="en-US"/>
        </w:rPr>
        <w:t xml:space="preserve"> the </w:t>
      </w:r>
      <w:r w:rsidR="00736C20">
        <w:rPr>
          <w:lang w:val="en-US"/>
        </w:rPr>
        <w:t xml:space="preserve">effect of the </w:t>
      </w:r>
      <w:r w:rsidR="00141B16">
        <w:rPr>
          <w:lang w:val="en-US"/>
        </w:rPr>
        <w:t>withdrawal</w:t>
      </w:r>
      <w:r w:rsidR="00736C20">
        <w:rPr>
          <w:lang w:val="en-US"/>
        </w:rPr>
        <w:t xml:space="preserve"> of multiple actors in the secotr</w:t>
      </w:r>
      <w:r w:rsidR="00034813">
        <w:rPr>
          <w:lang w:val="en-US"/>
        </w:rPr>
        <w:t xml:space="preserve"> </w:t>
      </w:r>
      <w:r w:rsidR="00141B16">
        <w:rPr>
          <w:lang w:val="en-US"/>
        </w:rPr>
        <w:t xml:space="preserve">was recommended in that JBSR and </w:t>
      </w:r>
      <w:r w:rsidR="00034813">
        <w:rPr>
          <w:lang w:val="en-US"/>
        </w:rPr>
        <w:t>is foreseen in 2011</w:t>
      </w:r>
      <w:r w:rsidR="00034813" w:rsidRPr="00034813">
        <w:rPr>
          <w:lang w:val="en-US"/>
        </w:rPr>
        <w:t>.</w:t>
      </w:r>
      <w:r w:rsidR="001F4428">
        <w:rPr>
          <w:lang w:val="en-US"/>
        </w:rPr>
        <w:t xml:space="preserve"> </w:t>
      </w:r>
      <w:r w:rsidR="00A454B9">
        <w:rPr>
          <w:lang w:val="en-GB"/>
        </w:rPr>
        <w:t xml:space="preserve">The Netherlands was supposed </w:t>
      </w:r>
      <w:r w:rsidR="005C307E">
        <w:rPr>
          <w:lang w:val="en-GB"/>
        </w:rPr>
        <w:t xml:space="preserve">to take the lead in coordinating the sub-sector of TVET but </w:t>
      </w:r>
      <w:r w:rsidR="003C098E">
        <w:rPr>
          <w:lang w:val="en-GB"/>
        </w:rPr>
        <w:t xml:space="preserve">was not able to repond to this request </w:t>
      </w:r>
      <w:r w:rsidR="005C307E">
        <w:rPr>
          <w:lang w:val="en-GB"/>
        </w:rPr>
        <w:t>due to th</w:t>
      </w:r>
      <w:r w:rsidR="00736C20">
        <w:rPr>
          <w:lang w:val="en-GB"/>
        </w:rPr>
        <w:t xml:space="preserve">is </w:t>
      </w:r>
      <w:r w:rsidR="003C098E">
        <w:rPr>
          <w:lang w:val="en-GB"/>
        </w:rPr>
        <w:t>DoL</w:t>
      </w:r>
      <w:r w:rsidR="00952CAB">
        <w:rPr>
          <w:lang w:val="en-GB"/>
        </w:rPr>
        <w:t>.</w:t>
      </w:r>
    </w:p>
    <w:p w:rsidR="00F831F4" w:rsidRDefault="00F831F4" w:rsidP="00F831F4">
      <w:pPr>
        <w:rPr>
          <w:lang w:val="en-GB"/>
        </w:rPr>
      </w:pPr>
    </w:p>
    <w:p w:rsidR="007A2FAB" w:rsidRDefault="007A2FAB" w:rsidP="007A2FAB">
      <w:pPr>
        <w:rPr>
          <w:lang w:val="en-GB"/>
        </w:rPr>
      </w:pPr>
      <w:r>
        <w:rPr>
          <w:lang w:val="en-GB"/>
        </w:rPr>
        <w:t>The involvement of the private sector in training program</w:t>
      </w:r>
      <w:r w:rsidR="00CC4C36">
        <w:rPr>
          <w:lang w:val="en-GB"/>
        </w:rPr>
        <w:t>m</w:t>
      </w:r>
      <w:r>
        <w:rPr>
          <w:lang w:val="en-GB"/>
        </w:rPr>
        <w:t>es</w:t>
      </w:r>
      <w:r w:rsidR="00736C20">
        <w:rPr>
          <w:lang w:val="en-GB"/>
        </w:rPr>
        <w:t>,</w:t>
      </w:r>
      <w:r>
        <w:rPr>
          <w:lang w:val="en-GB"/>
        </w:rPr>
        <w:t xml:space="preserve"> planning and execution proves to be challenging. Company managers do not have much time to spend in policy discussion and it will require a strong communication strategy (focusing on a win</w:t>
      </w:r>
      <w:r w:rsidR="00736C20">
        <w:rPr>
          <w:lang w:val="en-GB"/>
        </w:rPr>
        <w:t>-</w:t>
      </w:r>
      <w:r>
        <w:rPr>
          <w:lang w:val="en-GB"/>
        </w:rPr>
        <w:t xml:space="preserve">win partnership) to convince them of their </w:t>
      </w:r>
      <w:r w:rsidR="00736C20">
        <w:rPr>
          <w:lang w:val="en-GB"/>
        </w:rPr>
        <w:t xml:space="preserve">possible and complementary </w:t>
      </w:r>
      <w:r>
        <w:rPr>
          <w:lang w:val="en-GB"/>
        </w:rPr>
        <w:t>role in education and skills development.</w:t>
      </w:r>
    </w:p>
    <w:p w:rsidR="007A2FAB" w:rsidRDefault="007A2FAB" w:rsidP="007A2FAB">
      <w:pPr>
        <w:rPr>
          <w:lang w:val="en-GB"/>
        </w:rPr>
      </w:pPr>
    </w:p>
    <w:p w:rsidR="007A2FAB" w:rsidRDefault="007A2FAB" w:rsidP="007A2FAB">
      <w:pPr>
        <w:rPr>
          <w:lang w:val="en-GB"/>
        </w:rPr>
      </w:pPr>
      <w:r>
        <w:rPr>
          <w:lang w:val="en-GB"/>
        </w:rPr>
        <w:t xml:space="preserve">Despite significant efforts, different aid modalities by donors </w:t>
      </w:r>
      <w:r w:rsidR="00736C20">
        <w:rPr>
          <w:lang w:val="en-GB"/>
        </w:rPr>
        <w:t>active</w:t>
      </w:r>
      <w:r>
        <w:rPr>
          <w:lang w:val="en-GB"/>
        </w:rPr>
        <w:t xml:space="preserve"> in the area of TVET make it difficult to agree on a </w:t>
      </w:r>
      <w:r w:rsidR="00736C20">
        <w:rPr>
          <w:lang w:val="en-GB"/>
        </w:rPr>
        <w:t>shared</w:t>
      </w:r>
      <w:r>
        <w:rPr>
          <w:lang w:val="en-GB"/>
        </w:rPr>
        <w:t xml:space="preserve"> and costed strategy that guides all interventions in the sub-sector.</w:t>
      </w:r>
    </w:p>
    <w:p w:rsidR="007A2FAB" w:rsidRDefault="007A2FAB" w:rsidP="00F831F4">
      <w:pPr>
        <w:rPr>
          <w:lang w:val="en-GB"/>
        </w:rPr>
      </w:pPr>
    </w:p>
    <w:p w:rsidR="0021622E" w:rsidRPr="00EC1C92" w:rsidRDefault="0021622E" w:rsidP="00C2674C">
      <w:pPr>
        <w:numPr>
          <w:ilvl w:val="0"/>
          <w:numId w:val="4"/>
        </w:numPr>
        <w:rPr>
          <w:i/>
          <w:lang w:val="en-GB"/>
        </w:rPr>
      </w:pPr>
      <w:r w:rsidRPr="00EC1C92">
        <w:rPr>
          <w:i/>
          <w:lang w:val="en-GB"/>
        </w:rPr>
        <w:t>What has been learned?</w:t>
      </w:r>
    </w:p>
    <w:p w:rsidR="0021622E" w:rsidRDefault="0021622E" w:rsidP="0021622E">
      <w:pPr>
        <w:rPr>
          <w:lang w:val="en-GB"/>
        </w:rPr>
      </w:pPr>
    </w:p>
    <w:p w:rsidR="00AA160F" w:rsidRPr="00CB0623" w:rsidRDefault="00AA160F" w:rsidP="00CB0623">
      <w:pPr>
        <w:rPr>
          <w:lang w:val="en-GB"/>
        </w:rPr>
      </w:pPr>
      <w:r w:rsidRPr="00CB0623">
        <w:rPr>
          <w:lang w:val="en-GB"/>
        </w:rPr>
        <w:t xml:space="preserve">The Government of Rwanda has made tremendous achievements in basic education. The completion rate has dramatically increased </w:t>
      </w:r>
      <w:r w:rsidR="003C11DC" w:rsidRPr="00CB0623">
        <w:rPr>
          <w:lang w:val="en-GB"/>
        </w:rPr>
        <w:t xml:space="preserve">and the </w:t>
      </w:r>
      <w:r w:rsidR="00BE6831">
        <w:rPr>
          <w:lang w:val="en-GB"/>
        </w:rPr>
        <w:t>subsequent education</w:t>
      </w:r>
      <w:r w:rsidRPr="00CB0623">
        <w:rPr>
          <w:lang w:val="en-GB"/>
        </w:rPr>
        <w:t xml:space="preserve"> levels including secondary education and TVET wi</w:t>
      </w:r>
      <w:r w:rsidR="003C11DC" w:rsidRPr="00CB0623">
        <w:rPr>
          <w:lang w:val="en-GB"/>
        </w:rPr>
        <w:t xml:space="preserve">ll have to </w:t>
      </w:r>
      <w:r w:rsidR="00BE6831">
        <w:rPr>
          <w:lang w:val="en-GB"/>
        </w:rPr>
        <w:t>absorb the increased nrs of students.</w:t>
      </w:r>
      <w:r w:rsidR="003C11DC" w:rsidRPr="00CB0623">
        <w:rPr>
          <w:lang w:val="en-GB"/>
        </w:rPr>
        <w:t xml:space="preserve"> A</w:t>
      </w:r>
      <w:r w:rsidR="00B940C1">
        <w:rPr>
          <w:lang w:val="en-GB"/>
        </w:rPr>
        <w:t xml:space="preserve">n </w:t>
      </w:r>
      <w:r w:rsidR="003C11DC" w:rsidRPr="00CB0623">
        <w:rPr>
          <w:lang w:val="en-GB"/>
        </w:rPr>
        <w:t>employers’survey showed that in Rwand</w:t>
      </w:r>
      <w:r w:rsidR="00736C20">
        <w:rPr>
          <w:lang w:val="en-GB"/>
        </w:rPr>
        <w:t>a</w:t>
      </w:r>
      <w:r w:rsidR="003C11DC" w:rsidRPr="00CB0623">
        <w:rPr>
          <w:lang w:val="en-GB"/>
        </w:rPr>
        <w:t xml:space="preserve"> there is a need </w:t>
      </w:r>
      <w:r w:rsidR="009A1F01" w:rsidRPr="00CB0623">
        <w:rPr>
          <w:lang w:val="en-GB"/>
        </w:rPr>
        <w:t>to revisit the TVET system and better align it with</w:t>
      </w:r>
      <w:r w:rsidR="003C11DC" w:rsidRPr="00CB0623">
        <w:rPr>
          <w:lang w:val="en-GB"/>
        </w:rPr>
        <w:t xml:space="preserve"> the needs of the labour market</w:t>
      </w:r>
      <w:r w:rsidR="00B940C1">
        <w:rPr>
          <w:lang w:val="en-GB"/>
        </w:rPr>
        <w:t xml:space="preserve">. </w:t>
      </w:r>
      <w:r w:rsidR="00F837EB" w:rsidRPr="00CB0623">
        <w:rPr>
          <w:lang w:val="en-GB"/>
        </w:rPr>
        <w:t xml:space="preserve">EKN should be more active in </w:t>
      </w:r>
      <w:r w:rsidR="003C11DC" w:rsidRPr="00CB0623">
        <w:rPr>
          <w:lang w:val="en-GB"/>
        </w:rPr>
        <w:t xml:space="preserve">that process taking into account the </w:t>
      </w:r>
      <w:r w:rsidR="00B940C1">
        <w:rPr>
          <w:lang w:val="en-GB"/>
        </w:rPr>
        <w:t xml:space="preserve">comparative advantages it has </w:t>
      </w:r>
      <w:r w:rsidR="00736C20">
        <w:rPr>
          <w:lang w:val="en-GB"/>
        </w:rPr>
        <w:t xml:space="preserve">already </w:t>
      </w:r>
      <w:r w:rsidR="00BE6831">
        <w:rPr>
          <w:lang w:val="en-GB"/>
        </w:rPr>
        <w:t>achieved</w:t>
      </w:r>
      <w:r w:rsidR="00B940C1">
        <w:rPr>
          <w:lang w:val="en-GB"/>
        </w:rPr>
        <w:t xml:space="preserve"> in </w:t>
      </w:r>
      <w:r w:rsidR="00736C20">
        <w:rPr>
          <w:lang w:val="en-GB"/>
        </w:rPr>
        <w:t xml:space="preserve">the </w:t>
      </w:r>
      <w:r w:rsidR="003C11DC" w:rsidRPr="00CB0623">
        <w:rPr>
          <w:lang w:val="en-GB"/>
        </w:rPr>
        <w:t>lobby and ad</w:t>
      </w:r>
      <w:r w:rsidR="00F837EB" w:rsidRPr="00CB0623">
        <w:rPr>
          <w:lang w:val="en-GB"/>
        </w:rPr>
        <w:t xml:space="preserve">vocacy </w:t>
      </w:r>
      <w:r w:rsidR="00736C20">
        <w:rPr>
          <w:lang w:val="en-GB"/>
        </w:rPr>
        <w:t>that it has undertaken.to further adept training modules to the needs of the labour market.</w:t>
      </w:r>
    </w:p>
    <w:p w:rsidR="00087D04" w:rsidRDefault="00087D04" w:rsidP="00CB0623">
      <w:pPr>
        <w:rPr>
          <w:lang w:val="en-GB"/>
        </w:rPr>
      </w:pPr>
    </w:p>
    <w:p w:rsidR="0021622E" w:rsidRPr="00855CDD" w:rsidRDefault="0021622E" w:rsidP="0021622E">
      <w:pPr>
        <w:rPr>
          <w:b/>
          <w:bCs/>
          <w:lang w:val="en-GB"/>
        </w:rPr>
      </w:pPr>
      <w:r w:rsidRPr="00855CDD">
        <w:rPr>
          <w:b/>
          <w:bCs/>
          <w:lang w:val="en-GB"/>
        </w:rPr>
        <w:t>3. RESOURCES SPENT (ODA and FTEs)</w:t>
      </w:r>
    </w:p>
    <w:p w:rsidR="0021622E" w:rsidRDefault="0021622E" w:rsidP="0021622E">
      <w:pPr>
        <w:rPr>
          <w:lang w:val="en-GB"/>
        </w:rPr>
      </w:pPr>
    </w:p>
    <w:p w:rsidR="00C2674C" w:rsidRPr="00DD37C1" w:rsidRDefault="00C2674C" w:rsidP="00C2674C">
      <w:pPr>
        <w:rPr>
          <w:sz w:val="22"/>
          <w:szCs w:val="22"/>
          <w:lang w:val="en-GB"/>
        </w:rPr>
      </w:pPr>
    </w:p>
    <w:tbl>
      <w:tblPr>
        <w:tblW w:w="9157" w:type="dxa"/>
        <w:tblInd w:w="55" w:type="dxa"/>
        <w:tblCellMar>
          <w:left w:w="70" w:type="dxa"/>
          <w:right w:w="70" w:type="dxa"/>
        </w:tblCellMar>
        <w:tblLook w:val="0000"/>
      </w:tblPr>
      <w:tblGrid>
        <w:gridCol w:w="5079"/>
        <w:gridCol w:w="4078"/>
      </w:tblGrid>
      <w:tr w:rsidR="00C2674C" w:rsidRPr="00C2674C" w:rsidTr="00CD11C1">
        <w:trPr>
          <w:trHeight w:val="255"/>
        </w:trPr>
        <w:tc>
          <w:tcPr>
            <w:tcW w:w="5079" w:type="dxa"/>
            <w:tcBorders>
              <w:top w:val="single" w:sz="4" w:space="0" w:color="auto"/>
              <w:left w:val="single" w:sz="4" w:space="0" w:color="auto"/>
              <w:bottom w:val="single" w:sz="4" w:space="0" w:color="auto"/>
              <w:right w:val="single" w:sz="4" w:space="0" w:color="auto"/>
            </w:tcBorders>
            <w:noWrap/>
            <w:vAlign w:val="bottom"/>
          </w:tcPr>
          <w:p w:rsidR="00C2674C" w:rsidRPr="00C2674C" w:rsidRDefault="00C2674C" w:rsidP="00A5633B">
            <w:pPr>
              <w:rPr>
                <w:rFonts w:ascii="Arial" w:hAnsi="Arial" w:cs="Arial"/>
                <w:sz w:val="20"/>
                <w:szCs w:val="20"/>
                <w:lang w:val="en-GB"/>
              </w:rPr>
            </w:pPr>
            <w:r>
              <w:rPr>
                <w:sz w:val="22"/>
                <w:szCs w:val="22"/>
                <w:lang w:val="en-GB"/>
              </w:rPr>
              <w:t>Dutch ODA disbursed during 2009-2010 as contribution to this strategic goal</w:t>
            </w:r>
            <w:r w:rsidR="00F80C33">
              <w:rPr>
                <w:sz w:val="22"/>
                <w:szCs w:val="22"/>
                <w:lang w:val="en-GB"/>
              </w:rPr>
              <w:t xml:space="preserve"> (approximately)</w:t>
            </w:r>
          </w:p>
        </w:tc>
        <w:tc>
          <w:tcPr>
            <w:tcW w:w="4078" w:type="dxa"/>
            <w:tcBorders>
              <w:top w:val="single" w:sz="4" w:space="0" w:color="auto"/>
              <w:left w:val="nil"/>
              <w:bottom w:val="single" w:sz="4" w:space="0" w:color="auto"/>
              <w:right w:val="single" w:sz="4" w:space="0" w:color="auto"/>
            </w:tcBorders>
            <w:noWrap/>
            <w:vAlign w:val="bottom"/>
          </w:tcPr>
          <w:p w:rsidR="00C2674C" w:rsidRPr="00C2674C" w:rsidRDefault="00C2674C" w:rsidP="00A5633B">
            <w:pPr>
              <w:rPr>
                <w:rFonts w:ascii="Arial" w:hAnsi="Arial" w:cs="Arial"/>
                <w:sz w:val="20"/>
                <w:szCs w:val="20"/>
                <w:lang w:val="en-GB"/>
              </w:rPr>
            </w:pPr>
            <w:r w:rsidRPr="00C2674C">
              <w:rPr>
                <w:rFonts w:ascii="Arial" w:hAnsi="Arial" w:cs="Arial"/>
                <w:sz w:val="20"/>
                <w:szCs w:val="20"/>
                <w:lang w:val="en-GB"/>
              </w:rPr>
              <w:t> </w:t>
            </w:r>
            <w:r w:rsidR="00CD11C1">
              <w:rPr>
                <w:rFonts w:ascii="Arial" w:hAnsi="Arial" w:cs="Arial"/>
                <w:sz w:val="20"/>
                <w:szCs w:val="20"/>
                <w:lang w:val="en-GB"/>
              </w:rPr>
              <w:t>€</w:t>
            </w:r>
            <w:r w:rsidR="001F4428">
              <w:rPr>
                <w:rFonts w:ascii="Arial" w:hAnsi="Arial" w:cs="Arial"/>
                <w:sz w:val="20"/>
                <w:szCs w:val="20"/>
                <w:lang w:val="en-GB"/>
              </w:rPr>
              <w:t xml:space="preserve"> 16 </w:t>
            </w:r>
            <w:r w:rsidR="006D3927">
              <w:rPr>
                <w:rFonts w:ascii="Arial" w:hAnsi="Arial" w:cs="Arial"/>
                <w:sz w:val="20"/>
                <w:szCs w:val="20"/>
                <w:lang w:val="en-GB"/>
              </w:rPr>
              <w:t>mln</w:t>
            </w:r>
            <w:r w:rsidR="00D11ADD">
              <w:rPr>
                <w:rFonts w:ascii="Arial" w:hAnsi="Arial" w:cs="Arial"/>
                <w:sz w:val="20"/>
                <w:szCs w:val="20"/>
                <w:lang w:val="en-GB"/>
              </w:rPr>
              <w:t xml:space="preserve"> </w:t>
            </w:r>
            <w:r w:rsidR="001F4428">
              <w:rPr>
                <w:rFonts w:ascii="Arial" w:hAnsi="Arial" w:cs="Arial"/>
                <w:sz w:val="20"/>
                <w:szCs w:val="20"/>
                <w:lang w:val="en-GB"/>
              </w:rPr>
              <w:t xml:space="preserve">(total of </w:t>
            </w:r>
            <w:r w:rsidR="00D11ADD">
              <w:rPr>
                <w:rFonts w:ascii="Arial" w:hAnsi="Arial" w:cs="Arial"/>
                <w:sz w:val="20"/>
                <w:szCs w:val="20"/>
                <w:lang w:val="en-GB"/>
              </w:rPr>
              <w:t>20</w:t>
            </w:r>
            <w:r w:rsidR="001F4428">
              <w:rPr>
                <w:rFonts w:ascii="Arial" w:hAnsi="Arial" w:cs="Arial"/>
                <w:sz w:val="20"/>
                <w:szCs w:val="20"/>
                <w:lang w:val="en-GB"/>
              </w:rPr>
              <w:t>09 and 20</w:t>
            </w:r>
            <w:r w:rsidR="00D11ADD">
              <w:rPr>
                <w:rFonts w:ascii="Arial" w:hAnsi="Arial" w:cs="Arial"/>
                <w:sz w:val="20"/>
                <w:szCs w:val="20"/>
                <w:lang w:val="en-GB"/>
              </w:rPr>
              <w:t>10</w:t>
            </w:r>
            <w:r w:rsidR="001F4428">
              <w:rPr>
                <w:rFonts w:ascii="Arial" w:hAnsi="Arial" w:cs="Arial"/>
                <w:sz w:val="20"/>
                <w:szCs w:val="20"/>
                <w:lang w:val="en-GB"/>
              </w:rPr>
              <w:t>)</w:t>
            </w:r>
          </w:p>
        </w:tc>
      </w:tr>
      <w:tr w:rsidR="00C2674C" w:rsidRPr="0021622E" w:rsidTr="00284532">
        <w:trPr>
          <w:trHeight w:val="255"/>
        </w:trPr>
        <w:tc>
          <w:tcPr>
            <w:tcW w:w="5079" w:type="dxa"/>
            <w:tcBorders>
              <w:top w:val="single" w:sz="4" w:space="0" w:color="auto"/>
              <w:left w:val="single" w:sz="4" w:space="0" w:color="auto"/>
              <w:bottom w:val="dashed" w:sz="4" w:space="0" w:color="auto"/>
              <w:right w:val="single" w:sz="4" w:space="0" w:color="auto"/>
            </w:tcBorders>
            <w:noWrap/>
            <w:vAlign w:val="bottom"/>
          </w:tcPr>
          <w:p w:rsidR="00C2674C" w:rsidRPr="00CD11C1" w:rsidRDefault="00F80C33" w:rsidP="00F80C33">
            <w:pPr>
              <w:rPr>
                <w:sz w:val="22"/>
                <w:szCs w:val="22"/>
                <w:lang w:val="en-GB"/>
              </w:rPr>
            </w:pPr>
            <w:r>
              <w:rPr>
                <w:sz w:val="22"/>
                <w:szCs w:val="22"/>
                <w:lang w:val="en-GB"/>
              </w:rPr>
              <w:t>Average a</w:t>
            </w:r>
            <w:r w:rsidR="00CD11C1" w:rsidRPr="00CD11C1">
              <w:rPr>
                <w:sz w:val="22"/>
                <w:szCs w:val="22"/>
                <w:lang w:val="en-GB"/>
              </w:rPr>
              <w:t xml:space="preserve">mount of Embassy FTEs allocated </w:t>
            </w:r>
            <w:r>
              <w:rPr>
                <w:sz w:val="22"/>
                <w:szCs w:val="22"/>
                <w:lang w:val="en-GB"/>
              </w:rPr>
              <w:t xml:space="preserve">during 2009 and 2010 </w:t>
            </w:r>
            <w:r w:rsidR="00CD11C1" w:rsidRPr="00CD11C1">
              <w:rPr>
                <w:sz w:val="22"/>
                <w:szCs w:val="22"/>
                <w:lang w:val="en-GB"/>
              </w:rPr>
              <w:t>to this goal (for delegated aid)</w:t>
            </w:r>
          </w:p>
          <w:p w:rsidR="00CD11C1" w:rsidRPr="00F30639" w:rsidRDefault="00CD11C1" w:rsidP="00284532">
            <w:pPr>
              <w:rPr>
                <w:rFonts w:ascii="Arial" w:hAnsi="Arial" w:cs="Arial"/>
                <w:sz w:val="20"/>
                <w:szCs w:val="20"/>
                <w:lang w:val="en-GB"/>
              </w:rPr>
            </w:pPr>
          </w:p>
        </w:tc>
        <w:tc>
          <w:tcPr>
            <w:tcW w:w="4078" w:type="dxa"/>
            <w:tcBorders>
              <w:top w:val="nil"/>
              <w:left w:val="nil"/>
              <w:bottom w:val="dashed" w:sz="4" w:space="0" w:color="auto"/>
              <w:right w:val="single" w:sz="4" w:space="0" w:color="auto"/>
            </w:tcBorders>
            <w:noWrap/>
            <w:vAlign w:val="bottom"/>
          </w:tcPr>
          <w:p w:rsidR="00C2674C" w:rsidRPr="00F30639" w:rsidRDefault="00C2674C" w:rsidP="00A5633B">
            <w:pPr>
              <w:rPr>
                <w:rFonts w:ascii="Arial" w:hAnsi="Arial" w:cs="Arial"/>
                <w:sz w:val="20"/>
                <w:szCs w:val="20"/>
                <w:lang w:val="en-GB"/>
              </w:rPr>
            </w:pPr>
            <w:r w:rsidRPr="00F30639">
              <w:rPr>
                <w:rFonts w:ascii="Arial" w:hAnsi="Arial" w:cs="Arial"/>
                <w:sz w:val="20"/>
                <w:szCs w:val="20"/>
                <w:lang w:val="en-GB"/>
              </w:rPr>
              <w:t> </w:t>
            </w:r>
            <w:r w:rsidR="00B872BC">
              <w:rPr>
                <w:rFonts w:ascii="Arial" w:hAnsi="Arial" w:cs="Arial"/>
                <w:sz w:val="20"/>
                <w:szCs w:val="20"/>
                <w:lang w:val="en-GB"/>
              </w:rPr>
              <w:t>1 FTE</w:t>
            </w:r>
          </w:p>
        </w:tc>
      </w:tr>
      <w:tr w:rsidR="00284532" w:rsidRPr="0021622E" w:rsidTr="00750F26">
        <w:trPr>
          <w:trHeight w:val="255"/>
        </w:trPr>
        <w:tc>
          <w:tcPr>
            <w:tcW w:w="5079" w:type="dxa"/>
            <w:tcBorders>
              <w:top w:val="dashed" w:sz="4" w:space="0" w:color="auto"/>
              <w:left w:val="single" w:sz="4" w:space="0" w:color="auto"/>
              <w:bottom w:val="dashed" w:sz="4" w:space="0" w:color="auto"/>
              <w:right w:val="single" w:sz="4" w:space="0" w:color="auto"/>
            </w:tcBorders>
            <w:noWrap/>
            <w:vAlign w:val="bottom"/>
          </w:tcPr>
          <w:p w:rsidR="00284532" w:rsidRDefault="00284532" w:rsidP="007B6C2F">
            <w:pPr>
              <w:rPr>
                <w:sz w:val="22"/>
                <w:szCs w:val="22"/>
                <w:lang w:val="en-GB"/>
              </w:rPr>
            </w:pPr>
            <w:r w:rsidRPr="00CD11C1">
              <w:rPr>
                <w:sz w:val="22"/>
                <w:szCs w:val="22"/>
                <w:lang w:val="en-GB"/>
              </w:rPr>
              <w:t>Amount of thematic dept FTEs allocated to th</w:t>
            </w:r>
            <w:r>
              <w:rPr>
                <w:sz w:val="22"/>
                <w:szCs w:val="22"/>
                <w:lang w:val="en-GB"/>
              </w:rPr>
              <w:t>is</w:t>
            </w:r>
            <w:r w:rsidRPr="00CD11C1">
              <w:rPr>
                <w:sz w:val="22"/>
                <w:szCs w:val="22"/>
                <w:lang w:val="en-GB"/>
              </w:rPr>
              <w:t xml:space="preserve"> goal</w:t>
            </w:r>
            <w:r>
              <w:rPr>
                <w:sz w:val="22"/>
                <w:szCs w:val="22"/>
                <w:lang w:val="en-GB"/>
              </w:rPr>
              <w:t>/ programme</w:t>
            </w:r>
            <w:r w:rsidRPr="00CD11C1">
              <w:rPr>
                <w:sz w:val="22"/>
                <w:szCs w:val="22"/>
                <w:lang w:val="en-GB"/>
              </w:rPr>
              <w:t xml:space="preserve"> </w:t>
            </w:r>
            <w:r w:rsidR="007B6C2F">
              <w:rPr>
                <w:sz w:val="22"/>
                <w:szCs w:val="22"/>
                <w:lang w:val="en-GB"/>
              </w:rPr>
              <w:t xml:space="preserve">during 2009 and 2010 </w:t>
            </w:r>
            <w:r w:rsidRPr="00CD11C1">
              <w:rPr>
                <w:sz w:val="22"/>
                <w:szCs w:val="22"/>
                <w:lang w:val="en-GB"/>
              </w:rPr>
              <w:t>(for non-delegated aid)</w:t>
            </w:r>
            <w:r w:rsidR="007B6C2F">
              <w:rPr>
                <w:sz w:val="22"/>
                <w:szCs w:val="22"/>
                <w:lang w:val="en-GB"/>
              </w:rPr>
              <w:t>\</w:t>
            </w:r>
          </w:p>
        </w:tc>
        <w:tc>
          <w:tcPr>
            <w:tcW w:w="4078" w:type="dxa"/>
            <w:tcBorders>
              <w:top w:val="dashed" w:sz="4" w:space="0" w:color="auto"/>
              <w:left w:val="nil"/>
              <w:bottom w:val="dashed" w:sz="4" w:space="0" w:color="auto"/>
              <w:right w:val="single" w:sz="4" w:space="0" w:color="auto"/>
            </w:tcBorders>
            <w:noWrap/>
            <w:vAlign w:val="bottom"/>
          </w:tcPr>
          <w:p w:rsidR="00284532" w:rsidRPr="00F30639" w:rsidRDefault="00284532" w:rsidP="00A5633B">
            <w:pPr>
              <w:rPr>
                <w:rFonts w:ascii="Arial" w:hAnsi="Arial" w:cs="Arial"/>
                <w:sz w:val="20"/>
                <w:szCs w:val="20"/>
                <w:lang w:val="en-GB"/>
              </w:rPr>
            </w:pPr>
          </w:p>
        </w:tc>
      </w:tr>
      <w:tr w:rsidR="00750F26" w:rsidRPr="0021622E" w:rsidTr="00284532">
        <w:trPr>
          <w:trHeight w:val="255"/>
        </w:trPr>
        <w:tc>
          <w:tcPr>
            <w:tcW w:w="5079" w:type="dxa"/>
            <w:tcBorders>
              <w:top w:val="dashed" w:sz="4" w:space="0" w:color="auto"/>
              <w:left w:val="single" w:sz="4" w:space="0" w:color="auto"/>
              <w:bottom w:val="single" w:sz="4" w:space="0" w:color="auto"/>
              <w:right w:val="single" w:sz="4" w:space="0" w:color="auto"/>
            </w:tcBorders>
            <w:noWrap/>
            <w:vAlign w:val="bottom"/>
          </w:tcPr>
          <w:p w:rsidR="00750F26" w:rsidRDefault="00750F26" w:rsidP="007B6C2F">
            <w:pPr>
              <w:rPr>
                <w:sz w:val="22"/>
                <w:szCs w:val="22"/>
                <w:lang w:val="en-GB"/>
              </w:rPr>
            </w:pPr>
            <w:r>
              <w:rPr>
                <w:sz w:val="22"/>
                <w:szCs w:val="22"/>
                <w:lang w:val="en-GB"/>
              </w:rPr>
              <w:t>Piramide numbers of relevant Activities</w:t>
            </w:r>
          </w:p>
          <w:p w:rsidR="00750F26" w:rsidRPr="00CD11C1" w:rsidRDefault="00750F26" w:rsidP="007B6C2F">
            <w:pPr>
              <w:rPr>
                <w:sz w:val="22"/>
                <w:szCs w:val="22"/>
                <w:lang w:val="en-GB"/>
              </w:rPr>
            </w:pPr>
          </w:p>
        </w:tc>
        <w:tc>
          <w:tcPr>
            <w:tcW w:w="4078" w:type="dxa"/>
            <w:tcBorders>
              <w:top w:val="dashed" w:sz="4" w:space="0" w:color="auto"/>
              <w:left w:val="nil"/>
              <w:bottom w:val="single" w:sz="4" w:space="0" w:color="auto"/>
              <w:right w:val="single" w:sz="4" w:space="0" w:color="auto"/>
            </w:tcBorders>
            <w:noWrap/>
            <w:vAlign w:val="bottom"/>
          </w:tcPr>
          <w:p w:rsidR="00750F26" w:rsidRDefault="00B872BC" w:rsidP="00A5633B">
            <w:pPr>
              <w:rPr>
                <w:rFonts w:ascii="Arial" w:hAnsi="Arial" w:cs="Arial"/>
                <w:sz w:val="20"/>
                <w:szCs w:val="20"/>
                <w:lang w:val="en-GB"/>
              </w:rPr>
            </w:pPr>
            <w:r>
              <w:rPr>
                <w:rFonts w:ascii="Arial" w:hAnsi="Arial" w:cs="Arial"/>
                <w:sz w:val="20"/>
                <w:szCs w:val="20"/>
                <w:lang w:val="en-GB"/>
              </w:rPr>
              <w:t>SBS: act. 16124</w:t>
            </w:r>
          </w:p>
          <w:p w:rsidR="00B872BC" w:rsidRDefault="00B872BC" w:rsidP="00A5633B">
            <w:pPr>
              <w:rPr>
                <w:rFonts w:ascii="Arial" w:hAnsi="Arial" w:cs="Arial"/>
                <w:sz w:val="20"/>
                <w:szCs w:val="20"/>
                <w:lang w:val="en-GB"/>
              </w:rPr>
            </w:pPr>
            <w:r>
              <w:rPr>
                <w:rFonts w:ascii="Arial" w:hAnsi="Arial" w:cs="Arial"/>
                <w:sz w:val="20"/>
                <w:szCs w:val="20"/>
                <w:lang w:val="en-GB"/>
              </w:rPr>
              <w:t>PSF: act. 19815</w:t>
            </w:r>
          </w:p>
          <w:p w:rsidR="00B872BC" w:rsidRPr="00F30639" w:rsidRDefault="00B872BC" w:rsidP="00A5633B">
            <w:pPr>
              <w:rPr>
                <w:rFonts w:ascii="Arial" w:hAnsi="Arial" w:cs="Arial"/>
                <w:sz w:val="20"/>
                <w:szCs w:val="20"/>
                <w:lang w:val="en-GB"/>
              </w:rPr>
            </w:pPr>
            <w:r>
              <w:rPr>
                <w:rFonts w:ascii="Arial" w:hAnsi="Arial" w:cs="Arial"/>
                <w:sz w:val="20"/>
                <w:szCs w:val="20"/>
                <w:lang w:val="en-GB"/>
              </w:rPr>
              <w:t>GTZ: act. 19160</w:t>
            </w:r>
          </w:p>
        </w:tc>
      </w:tr>
    </w:tbl>
    <w:p w:rsidR="00497973" w:rsidRDefault="00497973" w:rsidP="0021622E">
      <w:pPr>
        <w:rPr>
          <w:lang w:val="en-GB"/>
        </w:rPr>
      </w:pPr>
    </w:p>
    <w:p w:rsidR="0021622E" w:rsidRPr="00855CDD" w:rsidRDefault="0021622E" w:rsidP="0021622E">
      <w:pPr>
        <w:rPr>
          <w:b/>
          <w:bCs/>
          <w:sz w:val="22"/>
          <w:szCs w:val="22"/>
          <w:lang w:val="en-GB"/>
        </w:rPr>
      </w:pPr>
      <w:r w:rsidRPr="00855CDD">
        <w:rPr>
          <w:b/>
          <w:bCs/>
          <w:sz w:val="22"/>
          <w:szCs w:val="22"/>
          <w:lang w:val="en-GB"/>
        </w:rPr>
        <w:t>4. OVERALL TRAFFIC LIGHT SCORE</w:t>
      </w:r>
    </w:p>
    <w:p w:rsidR="007D6B51" w:rsidRDefault="007D6B51" w:rsidP="007D6B51">
      <w:pPr>
        <w:rPr>
          <w:sz w:val="22"/>
          <w:szCs w:val="22"/>
          <w:lang w:val="en-GB"/>
        </w:rPr>
      </w:pPr>
      <w:r>
        <w:rPr>
          <w:sz w:val="22"/>
          <w:szCs w:val="22"/>
          <w:lang w:val="en-GB"/>
        </w:rPr>
        <w:t>T</w:t>
      </w:r>
      <w:r w:rsidRPr="00DD37C1">
        <w:rPr>
          <w:sz w:val="22"/>
          <w:szCs w:val="22"/>
          <w:lang w:val="en-GB"/>
        </w:rPr>
        <w:t xml:space="preserve">he </w:t>
      </w:r>
      <w:r>
        <w:rPr>
          <w:sz w:val="22"/>
          <w:szCs w:val="22"/>
          <w:lang w:val="en-GB"/>
        </w:rPr>
        <w:t xml:space="preserve">overall </w:t>
      </w:r>
      <w:r w:rsidRPr="00DD37C1">
        <w:rPr>
          <w:sz w:val="22"/>
          <w:szCs w:val="22"/>
          <w:lang w:val="en-GB"/>
        </w:rPr>
        <w:t>achievement of results is</w:t>
      </w:r>
      <w:r>
        <w:rPr>
          <w:sz w:val="22"/>
          <w:szCs w:val="22"/>
          <w:lang w:val="en-GB"/>
        </w:rPr>
        <w:t>:</w:t>
      </w:r>
    </w:p>
    <w:p w:rsidR="0021622E" w:rsidRPr="00DD37C1" w:rsidRDefault="007D6B51" w:rsidP="009270A1">
      <w:pPr>
        <w:ind w:left="3540"/>
        <w:rPr>
          <w:sz w:val="22"/>
          <w:szCs w:val="22"/>
          <w:lang w:val="en-GB"/>
        </w:rPr>
      </w:pPr>
      <w:r>
        <w:rPr>
          <w:sz w:val="22"/>
          <w:szCs w:val="22"/>
          <w:lang w:val="en-GB"/>
        </w:rPr>
        <w:t xml:space="preserve"> (</w:t>
      </w:r>
      <w:r w:rsidR="0021622E">
        <w:rPr>
          <w:sz w:val="22"/>
          <w:szCs w:val="22"/>
          <w:lang w:val="en-GB"/>
        </w:rPr>
        <w:t>Please tick</w:t>
      </w:r>
      <w:r w:rsidR="009270A1">
        <w:rPr>
          <w:sz w:val="22"/>
          <w:szCs w:val="22"/>
          <w:lang w:val="en-GB"/>
        </w:rPr>
        <w:t xml:space="preserve"> </w:t>
      </w:r>
      <w:r w:rsidR="009270A1" w:rsidRPr="009270A1">
        <w:rPr>
          <w:b/>
          <w:bCs/>
          <w:sz w:val="22"/>
          <w:szCs w:val="22"/>
          <w:lang w:val="en-GB"/>
        </w:rPr>
        <w:t>√</w:t>
      </w:r>
      <w:r>
        <w:rPr>
          <w:sz w:val="22"/>
          <w:szCs w:val="22"/>
          <w:lang w:val="en-GB"/>
        </w:rPr>
        <w:t>)</w:t>
      </w:r>
    </w:p>
    <w:tbl>
      <w:tblPr>
        <w:tblW w:w="5308" w:type="dxa"/>
        <w:tblInd w:w="55" w:type="dxa"/>
        <w:tblCellMar>
          <w:left w:w="70" w:type="dxa"/>
          <w:right w:w="70" w:type="dxa"/>
        </w:tblCellMar>
        <w:tblLook w:val="0000"/>
      </w:tblPr>
      <w:tblGrid>
        <w:gridCol w:w="960"/>
        <w:gridCol w:w="2512"/>
        <w:gridCol w:w="419"/>
        <w:gridCol w:w="1417"/>
      </w:tblGrid>
      <w:tr w:rsidR="007D6B51" w:rsidRPr="00B872BC" w:rsidTr="009270A1">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FF0000"/>
            <w:noWrap/>
            <w:vAlign w:val="bottom"/>
          </w:tcPr>
          <w:p w:rsidR="007D6B51" w:rsidRPr="006A282C" w:rsidRDefault="007D6B51" w:rsidP="0021622E">
            <w:pPr>
              <w:rPr>
                <w:rFonts w:ascii="Arial" w:hAnsi="Arial" w:cs="Arial"/>
                <w:sz w:val="20"/>
                <w:szCs w:val="20"/>
                <w:lang w:val="en-GB"/>
              </w:rPr>
            </w:pPr>
            <w:r w:rsidRPr="006A282C">
              <w:rPr>
                <w:rFonts w:ascii="Arial" w:hAnsi="Arial" w:cs="Arial"/>
                <w:sz w:val="20"/>
                <w:szCs w:val="20"/>
                <w:lang w:val="en-GB"/>
              </w:rPr>
              <w:t> </w:t>
            </w:r>
          </w:p>
        </w:tc>
        <w:tc>
          <w:tcPr>
            <w:tcW w:w="2512" w:type="dxa"/>
            <w:tcBorders>
              <w:top w:val="single" w:sz="4" w:space="0" w:color="auto"/>
              <w:left w:val="nil"/>
              <w:bottom w:val="single" w:sz="4" w:space="0" w:color="auto"/>
              <w:right w:val="single" w:sz="4" w:space="0" w:color="auto"/>
            </w:tcBorders>
            <w:noWrap/>
            <w:vAlign w:val="bottom"/>
          </w:tcPr>
          <w:p w:rsidR="007D6B51" w:rsidRPr="00B872BC" w:rsidRDefault="007D6B51" w:rsidP="0021622E">
            <w:pPr>
              <w:rPr>
                <w:rFonts w:ascii="Arial" w:hAnsi="Arial" w:cs="Arial"/>
                <w:sz w:val="20"/>
                <w:szCs w:val="20"/>
                <w:lang w:val="en-US"/>
              </w:rPr>
            </w:pPr>
            <w:r w:rsidRPr="00F30639">
              <w:rPr>
                <w:sz w:val="22"/>
                <w:szCs w:val="22"/>
                <w:lang w:val="en-GB"/>
              </w:rPr>
              <w:t>Off-track</w:t>
            </w:r>
            <w:r w:rsidRPr="00B872BC">
              <w:rPr>
                <w:rFonts w:ascii="Arial" w:hAnsi="Arial" w:cs="Arial"/>
                <w:sz w:val="20"/>
                <w:szCs w:val="20"/>
                <w:lang w:val="en-US"/>
              </w:rPr>
              <w:t> </w:t>
            </w:r>
          </w:p>
        </w:tc>
        <w:tc>
          <w:tcPr>
            <w:tcW w:w="419" w:type="dxa"/>
            <w:tcBorders>
              <w:top w:val="single" w:sz="4" w:space="0" w:color="auto"/>
              <w:left w:val="nil"/>
              <w:bottom w:val="single" w:sz="4" w:space="0" w:color="auto"/>
              <w:right w:val="single" w:sz="4" w:space="0" w:color="auto"/>
            </w:tcBorders>
            <w:noWrap/>
            <w:vAlign w:val="bottom"/>
          </w:tcPr>
          <w:p w:rsidR="007D6B51" w:rsidRPr="007D6B51" w:rsidRDefault="007D6B51" w:rsidP="0021622E">
            <w:pPr>
              <w:rPr>
                <w:sz w:val="22"/>
                <w:szCs w:val="22"/>
                <w:lang w:val="en-GB"/>
              </w:rPr>
            </w:pPr>
            <w:r w:rsidRPr="007D6B51">
              <w:rPr>
                <w:sz w:val="22"/>
                <w:szCs w:val="22"/>
                <w:lang w:val="en-GB"/>
              </w:rPr>
              <w:t> 1</w:t>
            </w:r>
          </w:p>
        </w:tc>
        <w:tc>
          <w:tcPr>
            <w:tcW w:w="1417" w:type="dxa"/>
            <w:tcBorders>
              <w:top w:val="single" w:sz="4" w:space="0" w:color="auto"/>
              <w:left w:val="nil"/>
              <w:bottom w:val="single" w:sz="4" w:space="0" w:color="auto"/>
              <w:right w:val="single" w:sz="4" w:space="0" w:color="auto"/>
            </w:tcBorders>
          </w:tcPr>
          <w:p w:rsidR="007D6B51" w:rsidRPr="00B872BC" w:rsidRDefault="007D6B51" w:rsidP="0021622E">
            <w:pPr>
              <w:rPr>
                <w:rFonts w:ascii="Arial" w:hAnsi="Arial" w:cs="Arial"/>
                <w:sz w:val="20"/>
                <w:szCs w:val="20"/>
                <w:lang w:val="en-US"/>
              </w:rPr>
            </w:pPr>
          </w:p>
        </w:tc>
      </w:tr>
      <w:tr w:rsidR="007D6B51" w:rsidRPr="0021622E" w:rsidTr="009270A1">
        <w:trPr>
          <w:trHeight w:val="255"/>
        </w:trPr>
        <w:tc>
          <w:tcPr>
            <w:tcW w:w="960" w:type="dxa"/>
            <w:tcBorders>
              <w:top w:val="nil"/>
              <w:left w:val="single" w:sz="4" w:space="0" w:color="auto"/>
              <w:bottom w:val="single" w:sz="4" w:space="0" w:color="auto"/>
              <w:right w:val="single" w:sz="4" w:space="0" w:color="auto"/>
            </w:tcBorders>
            <w:shd w:val="clear" w:color="auto" w:fill="FFCC00"/>
            <w:noWrap/>
            <w:vAlign w:val="bottom"/>
          </w:tcPr>
          <w:p w:rsidR="007D6B51" w:rsidRPr="00B872BC" w:rsidRDefault="007D6B51" w:rsidP="0021622E">
            <w:pPr>
              <w:rPr>
                <w:rFonts w:ascii="Arial" w:hAnsi="Arial" w:cs="Arial"/>
                <w:sz w:val="20"/>
                <w:szCs w:val="20"/>
                <w:lang w:val="en-US"/>
              </w:rPr>
            </w:pPr>
            <w:r w:rsidRPr="00B872BC">
              <w:rPr>
                <w:rFonts w:ascii="Arial" w:hAnsi="Arial" w:cs="Arial"/>
                <w:sz w:val="20"/>
                <w:szCs w:val="20"/>
                <w:lang w:val="en-US"/>
              </w:rPr>
              <w:t> </w:t>
            </w:r>
          </w:p>
        </w:tc>
        <w:tc>
          <w:tcPr>
            <w:tcW w:w="2512" w:type="dxa"/>
            <w:tcBorders>
              <w:top w:val="nil"/>
              <w:left w:val="nil"/>
              <w:bottom w:val="single" w:sz="4" w:space="0" w:color="auto"/>
              <w:right w:val="single" w:sz="4" w:space="0" w:color="auto"/>
            </w:tcBorders>
            <w:noWrap/>
            <w:vAlign w:val="bottom"/>
          </w:tcPr>
          <w:p w:rsidR="007D6B51" w:rsidRPr="00F30639" w:rsidRDefault="007D6B51" w:rsidP="0021622E">
            <w:pPr>
              <w:rPr>
                <w:rFonts w:ascii="Arial" w:hAnsi="Arial" w:cs="Arial"/>
                <w:sz w:val="20"/>
                <w:szCs w:val="20"/>
                <w:lang w:val="en-GB"/>
              </w:rPr>
            </w:pPr>
            <w:r w:rsidRPr="00F30639">
              <w:rPr>
                <w:rFonts w:ascii="Arial" w:hAnsi="Arial" w:cs="Arial"/>
                <w:sz w:val="20"/>
                <w:szCs w:val="20"/>
                <w:lang w:val="en-GB"/>
              </w:rPr>
              <w:t> </w:t>
            </w:r>
            <w:r>
              <w:rPr>
                <w:sz w:val="22"/>
                <w:szCs w:val="22"/>
                <w:lang w:val="en-GB"/>
              </w:rPr>
              <w:t>I</w:t>
            </w:r>
            <w:r w:rsidRPr="00DD37C1">
              <w:rPr>
                <w:sz w:val="22"/>
                <w:szCs w:val="22"/>
                <w:lang w:val="en-GB"/>
              </w:rPr>
              <w:t>n danger to be off track</w:t>
            </w:r>
          </w:p>
        </w:tc>
        <w:tc>
          <w:tcPr>
            <w:tcW w:w="419" w:type="dxa"/>
            <w:tcBorders>
              <w:top w:val="nil"/>
              <w:left w:val="nil"/>
              <w:bottom w:val="single" w:sz="4" w:space="0" w:color="auto"/>
              <w:right w:val="single" w:sz="4" w:space="0" w:color="auto"/>
            </w:tcBorders>
            <w:noWrap/>
            <w:vAlign w:val="bottom"/>
          </w:tcPr>
          <w:p w:rsidR="007D6B51" w:rsidRPr="007D6B51" w:rsidRDefault="007D6B51" w:rsidP="0021622E">
            <w:pPr>
              <w:rPr>
                <w:sz w:val="22"/>
                <w:szCs w:val="22"/>
                <w:lang w:val="en-GB"/>
              </w:rPr>
            </w:pPr>
            <w:r w:rsidRPr="007D6B51">
              <w:rPr>
                <w:sz w:val="22"/>
                <w:szCs w:val="22"/>
                <w:lang w:val="en-GB"/>
              </w:rPr>
              <w:t> 2</w:t>
            </w:r>
          </w:p>
        </w:tc>
        <w:tc>
          <w:tcPr>
            <w:tcW w:w="1417" w:type="dxa"/>
            <w:tcBorders>
              <w:top w:val="nil"/>
              <w:left w:val="nil"/>
              <w:bottom w:val="single" w:sz="4" w:space="0" w:color="auto"/>
              <w:right w:val="single" w:sz="4" w:space="0" w:color="auto"/>
            </w:tcBorders>
          </w:tcPr>
          <w:p w:rsidR="007D6B51" w:rsidRPr="00F30639" w:rsidRDefault="007D6B51" w:rsidP="0021622E">
            <w:pPr>
              <w:rPr>
                <w:rFonts w:ascii="Arial" w:hAnsi="Arial" w:cs="Arial"/>
                <w:sz w:val="20"/>
                <w:szCs w:val="20"/>
                <w:lang w:val="en-GB"/>
              </w:rPr>
            </w:pPr>
          </w:p>
        </w:tc>
      </w:tr>
      <w:tr w:rsidR="007D6B51" w:rsidTr="009270A1">
        <w:trPr>
          <w:trHeight w:val="255"/>
        </w:trPr>
        <w:tc>
          <w:tcPr>
            <w:tcW w:w="960" w:type="dxa"/>
            <w:tcBorders>
              <w:top w:val="nil"/>
              <w:left w:val="single" w:sz="4" w:space="0" w:color="auto"/>
              <w:bottom w:val="single" w:sz="4" w:space="0" w:color="auto"/>
              <w:right w:val="single" w:sz="4" w:space="0" w:color="auto"/>
            </w:tcBorders>
            <w:shd w:val="clear" w:color="auto" w:fill="99CC00"/>
            <w:noWrap/>
            <w:vAlign w:val="bottom"/>
          </w:tcPr>
          <w:p w:rsidR="007D6B51" w:rsidRPr="00F30639" w:rsidRDefault="007D6B51" w:rsidP="0021622E">
            <w:pPr>
              <w:rPr>
                <w:rFonts w:ascii="Arial" w:hAnsi="Arial" w:cs="Arial"/>
                <w:sz w:val="20"/>
                <w:szCs w:val="20"/>
                <w:lang w:val="en-GB"/>
              </w:rPr>
            </w:pPr>
            <w:r w:rsidRPr="00F30639">
              <w:rPr>
                <w:rFonts w:ascii="Arial" w:hAnsi="Arial" w:cs="Arial"/>
                <w:sz w:val="20"/>
                <w:szCs w:val="20"/>
                <w:lang w:val="en-GB"/>
              </w:rPr>
              <w:t> </w:t>
            </w:r>
          </w:p>
        </w:tc>
        <w:tc>
          <w:tcPr>
            <w:tcW w:w="2512" w:type="dxa"/>
            <w:tcBorders>
              <w:top w:val="nil"/>
              <w:left w:val="nil"/>
              <w:bottom w:val="single" w:sz="4" w:space="0" w:color="auto"/>
              <w:right w:val="single" w:sz="4" w:space="0" w:color="auto"/>
            </w:tcBorders>
            <w:noWrap/>
            <w:vAlign w:val="bottom"/>
          </w:tcPr>
          <w:p w:rsidR="007D6B51" w:rsidRDefault="007D6B51" w:rsidP="0021622E">
            <w:pPr>
              <w:rPr>
                <w:rFonts w:ascii="Arial" w:hAnsi="Arial" w:cs="Arial"/>
                <w:sz w:val="20"/>
                <w:szCs w:val="20"/>
              </w:rPr>
            </w:pPr>
            <w:r w:rsidRPr="00F30639">
              <w:rPr>
                <w:rFonts w:ascii="Arial" w:hAnsi="Arial" w:cs="Arial"/>
                <w:sz w:val="20"/>
                <w:szCs w:val="20"/>
                <w:lang w:val="en-GB"/>
              </w:rPr>
              <w:t> </w:t>
            </w:r>
            <w:r>
              <w:rPr>
                <w:rFonts w:ascii="Arial" w:hAnsi="Arial" w:cs="Arial"/>
                <w:sz w:val="20"/>
                <w:szCs w:val="20"/>
                <w:lang w:val="en-GB"/>
              </w:rPr>
              <w:t>O</w:t>
            </w:r>
            <w:r w:rsidRPr="00DD37C1">
              <w:rPr>
                <w:sz w:val="22"/>
                <w:szCs w:val="22"/>
                <w:lang w:val="en-GB"/>
              </w:rPr>
              <w:t>n track</w:t>
            </w:r>
          </w:p>
        </w:tc>
        <w:tc>
          <w:tcPr>
            <w:tcW w:w="419" w:type="dxa"/>
            <w:tcBorders>
              <w:top w:val="nil"/>
              <w:left w:val="nil"/>
              <w:bottom w:val="single" w:sz="4" w:space="0" w:color="auto"/>
              <w:right w:val="single" w:sz="4" w:space="0" w:color="auto"/>
            </w:tcBorders>
            <w:noWrap/>
            <w:vAlign w:val="bottom"/>
          </w:tcPr>
          <w:p w:rsidR="007D6B51" w:rsidRPr="007D6B51" w:rsidRDefault="007D6B51" w:rsidP="0021622E">
            <w:pPr>
              <w:rPr>
                <w:sz w:val="22"/>
                <w:szCs w:val="22"/>
                <w:lang w:val="en-GB"/>
              </w:rPr>
            </w:pPr>
            <w:r w:rsidRPr="007D6B51">
              <w:rPr>
                <w:sz w:val="22"/>
                <w:szCs w:val="22"/>
                <w:lang w:val="en-GB"/>
              </w:rPr>
              <w:t> 3</w:t>
            </w:r>
          </w:p>
        </w:tc>
        <w:tc>
          <w:tcPr>
            <w:tcW w:w="1417" w:type="dxa"/>
            <w:tcBorders>
              <w:top w:val="nil"/>
              <w:left w:val="nil"/>
              <w:bottom w:val="single" w:sz="4" w:space="0" w:color="auto"/>
              <w:right w:val="single" w:sz="4" w:space="0" w:color="auto"/>
            </w:tcBorders>
          </w:tcPr>
          <w:p w:rsidR="007D6B51" w:rsidRDefault="00B872BC" w:rsidP="0021622E">
            <w:pPr>
              <w:rPr>
                <w:rFonts w:ascii="Arial" w:hAnsi="Arial" w:cs="Arial"/>
                <w:sz w:val="20"/>
                <w:szCs w:val="20"/>
              </w:rPr>
            </w:pPr>
            <w:r>
              <w:rPr>
                <w:rFonts w:ascii="Arial" w:hAnsi="Arial" w:cs="Arial"/>
                <w:sz w:val="20"/>
                <w:szCs w:val="20"/>
              </w:rPr>
              <w:t>√</w:t>
            </w:r>
          </w:p>
        </w:tc>
      </w:tr>
    </w:tbl>
    <w:p w:rsidR="0021622E" w:rsidRDefault="0021622E" w:rsidP="0021622E">
      <w:pPr>
        <w:rPr>
          <w:rFonts w:ascii="Arial" w:hAnsi="Arial" w:cs="Arial"/>
          <w:sz w:val="20"/>
          <w:szCs w:val="20"/>
        </w:rPr>
      </w:pPr>
    </w:p>
    <w:p w:rsidR="0021622E" w:rsidRPr="00DD37C1" w:rsidRDefault="0021622E" w:rsidP="0021622E">
      <w:pPr>
        <w:rPr>
          <w:sz w:val="22"/>
          <w:szCs w:val="22"/>
          <w:lang w:val="en-GB"/>
        </w:rPr>
      </w:pPr>
    </w:p>
    <w:p w:rsidR="005B5C20" w:rsidRDefault="005B5C20"/>
    <w:sectPr w:rsidR="005B5C20" w:rsidSect="0021622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notTrueType/>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537AA0"/>
    <w:multiLevelType w:val="hybridMultilevel"/>
    <w:tmpl w:val="ED58EE98"/>
    <w:lvl w:ilvl="0" w:tplc="B896CB40">
      <w:start w:val="1"/>
      <w:numFmt w:val="lowerLetter"/>
      <w:lvlText w:val="%1."/>
      <w:lvlJc w:val="left"/>
      <w:pPr>
        <w:tabs>
          <w:tab w:val="num" w:pos="360"/>
        </w:tabs>
        <w:ind w:left="360" w:hanging="360"/>
      </w:pPr>
      <w:rPr>
        <w:rFonts w:hint="default"/>
        <w:color w:val="000000"/>
        <w:sz w:val="24"/>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BD927B2"/>
    <w:multiLevelType w:val="hybridMultilevel"/>
    <w:tmpl w:val="852C8CB4"/>
    <w:lvl w:ilvl="0" w:tplc="8E2A8B38">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nsid w:val="0DD5480D"/>
    <w:multiLevelType w:val="hybridMultilevel"/>
    <w:tmpl w:val="07F6D1E0"/>
    <w:lvl w:ilvl="0" w:tplc="3F8A0304">
      <w:numFmt w:val="bullet"/>
      <w:lvlText w:val=""/>
      <w:lvlJc w:val="left"/>
      <w:pPr>
        <w:tabs>
          <w:tab w:val="num" w:pos="720"/>
        </w:tabs>
        <w:ind w:left="720" w:hanging="360"/>
      </w:pPr>
      <w:rPr>
        <w:rFonts w:ascii="Symbol" w:eastAsia="Times New Roman" w:hAnsi="Symbol"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22E2A19"/>
    <w:multiLevelType w:val="hybridMultilevel"/>
    <w:tmpl w:val="08D2A950"/>
    <w:lvl w:ilvl="0" w:tplc="2A4880BE">
      <w:start w:val="1"/>
      <w:numFmt w:val="bullet"/>
      <w:lvlText w:val=""/>
      <w:lvlJc w:val="left"/>
      <w:pPr>
        <w:tabs>
          <w:tab w:val="num" w:pos="720"/>
        </w:tabs>
        <w:ind w:left="720" w:hanging="360"/>
      </w:pPr>
      <w:rPr>
        <w:rFonts w:ascii="Wingdings" w:eastAsia="Times New Roman" w:hAnsi="Wingdings"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C674151"/>
    <w:multiLevelType w:val="hybridMultilevel"/>
    <w:tmpl w:val="02CCB4A6"/>
    <w:lvl w:ilvl="0" w:tplc="5A9A1FEC">
      <w:start w:val="1"/>
      <w:numFmt w:val="bullet"/>
      <w:lvlText w:val=""/>
      <w:lvlJc w:val="left"/>
      <w:pPr>
        <w:tabs>
          <w:tab w:val="num" w:pos="360"/>
        </w:tabs>
        <w:ind w:left="360" w:hanging="360"/>
      </w:pPr>
      <w:rPr>
        <w:rFonts w:ascii="Symbol" w:hAnsi="Symbol" w:hint="default"/>
        <w:color w:val="00000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3E65759A"/>
    <w:multiLevelType w:val="multilevel"/>
    <w:tmpl w:val="1B84DC6E"/>
    <w:lvl w:ilvl="0">
      <w:start w:val="1"/>
      <w:numFmt w:val="decimal"/>
      <w:lvlText w:val="%1."/>
      <w:lvlJc w:val="left"/>
      <w:pPr>
        <w:tabs>
          <w:tab w:val="num" w:pos="360"/>
        </w:tabs>
        <w:ind w:left="360" w:hanging="360"/>
      </w:pPr>
      <w:rPr>
        <w:rFonts w:hint="default"/>
        <w:color w:val="000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2056970"/>
    <w:multiLevelType w:val="hybridMultilevel"/>
    <w:tmpl w:val="773490FE"/>
    <w:lvl w:ilvl="0" w:tplc="5A9A1FEC">
      <w:start w:val="1"/>
      <w:numFmt w:val="bullet"/>
      <w:lvlText w:val=""/>
      <w:lvlJc w:val="left"/>
      <w:pPr>
        <w:tabs>
          <w:tab w:val="num" w:pos="360"/>
        </w:tabs>
        <w:ind w:left="360" w:hanging="360"/>
      </w:pPr>
      <w:rPr>
        <w:rFonts w:ascii="Symbol" w:hAnsi="Symbol" w:hint="default"/>
        <w:color w:val="000000"/>
        <w:sz w:val="24"/>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4BA54A76"/>
    <w:multiLevelType w:val="multilevel"/>
    <w:tmpl w:val="852C8CB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72B7208"/>
    <w:multiLevelType w:val="hybridMultilevel"/>
    <w:tmpl w:val="4A7007A0"/>
    <w:lvl w:ilvl="0" w:tplc="04130019">
      <w:start w:val="1"/>
      <w:numFmt w:val="lowerLetter"/>
      <w:lvlText w:val="%1."/>
      <w:lvlJc w:val="left"/>
      <w:pPr>
        <w:tabs>
          <w:tab w:val="num" w:pos="360"/>
        </w:tabs>
        <w:ind w:left="360" w:hanging="360"/>
      </w:pPr>
      <w:rPr>
        <w:rFonts w:cs="Times New Roman"/>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num w:numId="1">
    <w:abstractNumId w:val="8"/>
  </w:num>
  <w:num w:numId="2">
    <w:abstractNumId w:val="4"/>
  </w:num>
  <w:num w:numId="3">
    <w:abstractNumId w:val="6"/>
  </w:num>
  <w:num w:numId="4">
    <w:abstractNumId w:val="0"/>
  </w:num>
  <w:num w:numId="5">
    <w:abstractNumId w:val="5"/>
  </w:num>
  <w:num w:numId="6">
    <w:abstractNumId w:val="2"/>
  </w:num>
  <w:num w:numId="7">
    <w:abstractNumId w:val="3"/>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characterSpacingControl w:val="doNotCompress"/>
  <w:compat/>
  <w:rsids>
    <w:rsidRoot w:val="0021622E"/>
    <w:rsid w:val="0002546B"/>
    <w:rsid w:val="00034813"/>
    <w:rsid w:val="0003697F"/>
    <w:rsid w:val="000647E3"/>
    <w:rsid w:val="00081640"/>
    <w:rsid w:val="00087D04"/>
    <w:rsid w:val="000953A5"/>
    <w:rsid w:val="000A32F0"/>
    <w:rsid w:val="000A408B"/>
    <w:rsid w:val="000A42E5"/>
    <w:rsid w:val="000D7198"/>
    <w:rsid w:val="000E0965"/>
    <w:rsid w:val="000F1E7D"/>
    <w:rsid w:val="001230CE"/>
    <w:rsid w:val="00135AC9"/>
    <w:rsid w:val="00141B16"/>
    <w:rsid w:val="00187EAC"/>
    <w:rsid w:val="001B53AE"/>
    <w:rsid w:val="001C2823"/>
    <w:rsid w:val="001C6D57"/>
    <w:rsid w:val="001E05AB"/>
    <w:rsid w:val="001F4428"/>
    <w:rsid w:val="00206582"/>
    <w:rsid w:val="0021622E"/>
    <w:rsid w:val="00240CA1"/>
    <w:rsid w:val="002421D4"/>
    <w:rsid w:val="002559D1"/>
    <w:rsid w:val="00284532"/>
    <w:rsid w:val="00284E2C"/>
    <w:rsid w:val="002A7D53"/>
    <w:rsid w:val="002B1A6D"/>
    <w:rsid w:val="002C5786"/>
    <w:rsid w:val="002C6D17"/>
    <w:rsid w:val="00390F97"/>
    <w:rsid w:val="003A135C"/>
    <w:rsid w:val="003A68F0"/>
    <w:rsid w:val="003C098E"/>
    <w:rsid w:val="003C11DC"/>
    <w:rsid w:val="003E118D"/>
    <w:rsid w:val="003F16E6"/>
    <w:rsid w:val="003F7644"/>
    <w:rsid w:val="004206EB"/>
    <w:rsid w:val="004324CE"/>
    <w:rsid w:val="00461115"/>
    <w:rsid w:val="0048121E"/>
    <w:rsid w:val="00497973"/>
    <w:rsid w:val="004A4117"/>
    <w:rsid w:val="004C0E63"/>
    <w:rsid w:val="00507D4A"/>
    <w:rsid w:val="00512307"/>
    <w:rsid w:val="00512F6C"/>
    <w:rsid w:val="00517E37"/>
    <w:rsid w:val="00524511"/>
    <w:rsid w:val="00567BA0"/>
    <w:rsid w:val="00571EE6"/>
    <w:rsid w:val="005876E9"/>
    <w:rsid w:val="005A744C"/>
    <w:rsid w:val="005B50DF"/>
    <w:rsid w:val="005B5C20"/>
    <w:rsid w:val="005B6BD9"/>
    <w:rsid w:val="005C307E"/>
    <w:rsid w:val="0062038E"/>
    <w:rsid w:val="0064357E"/>
    <w:rsid w:val="00653158"/>
    <w:rsid w:val="00665EB3"/>
    <w:rsid w:val="006B0B52"/>
    <w:rsid w:val="006D3927"/>
    <w:rsid w:val="006D5CE5"/>
    <w:rsid w:val="006F28F3"/>
    <w:rsid w:val="006F5168"/>
    <w:rsid w:val="00702D7A"/>
    <w:rsid w:val="00706CC2"/>
    <w:rsid w:val="007338CE"/>
    <w:rsid w:val="00736C20"/>
    <w:rsid w:val="007459A1"/>
    <w:rsid w:val="00750F26"/>
    <w:rsid w:val="0075345A"/>
    <w:rsid w:val="00792886"/>
    <w:rsid w:val="007A2FAB"/>
    <w:rsid w:val="007B1E7F"/>
    <w:rsid w:val="007B6C2F"/>
    <w:rsid w:val="007D2CD6"/>
    <w:rsid w:val="007D6B51"/>
    <w:rsid w:val="007F1F9D"/>
    <w:rsid w:val="008006A2"/>
    <w:rsid w:val="0080362F"/>
    <w:rsid w:val="0082436D"/>
    <w:rsid w:val="00855CDD"/>
    <w:rsid w:val="008A1115"/>
    <w:rsid w:val="008B02EA"/>
    <w:rsid w:val="008B0559"/>
    <w:rsid w:val="008C4232"/>
    <w:rsid w:val="009270A1"/>
    <w:rsid w:val="009456F7"/>
    <w:rsid w:val="00952342"/>
    <w:rsid w:val="00952CAB"/>
    <w:rsid w:val="0097140D"/>
    <w:rsid w:val="009A1F01"/>
    <w:rsid w:val="009F7C41"/>
    <w:rsid w:val="00A14068"/>
    <w:rsid w:val="00A21717"/>
    <w:rsid w:val="00A371C5"/>
    <w:rsid w:val="00A41AC1"/>
    <w:rsid w:val="00A43F70"/>
    <w:rsid w:val="00A454B9"/>
    <w:rsid w:val="00A45ED2"/>
    <w:rsid w:val="00A5633B"/>
    <w:rsid w:val="00A8084C"/>
    <w:rsid w:val="00A824BD"/>
    <w:rsid w:val="00AA160F"/>
    <w:rsid w:val="00AF1DE5"/>
    <w:rsid w:val="00AF355E"/>
    <w:rsid w:val="00B06821"/>
    <w:rsid w:val="00B37D83"/>
    <w:rsid w:val="00B6441B"/>
    <w:rsid w:val="00B740EB"/>
    <w:rsid w:val="00B81CF5"/>
    <w:rsid w:val="00B872BC"/>
    <w:rsid w:val="00B940C1"/>
    <w:rsid w:val="00B95797"/>
    <w:rsid w:val="00BA0DA4"/>
    <w:rsid w:val="00BB5AF8"/>
    <w:rsid w:val="00BE6831"/>
    <w:rsid w:val="00C2674C"/>
    <w:rsid w:val="00C43B4A"/>
    <w:rsid w:val="00CB0623"/>
    <w:rsid w:val="00CC4C36"/>
    <w:rsid w:val="00CD0898"/>
    <w:rsid w:val="00CD11C1"/>
    <w:rsid w:val="00CD4435"/>
    <w:rsid w:val="00CE31CB"/>
    <w:rsid w:val="00D06474"/>
    <w:rsid w:val="00D11ADD"/>
    <w:rsid w:val="00D738CD"/>
    <w:rsid w:val="00DB38B6"/>
    <w:rsid w:val="00DD51A0"/>
    <w:rsid w:val="00DE0EFB"/>
    <w:rsid w:val="00E316A2"/>
    <w:rsid w:val="00E42C2B"/>
    <w:rsid w:val="00E5728D"/>
    <w:rsid w:val="00E64A01"/>
    <w:rsid w:val="00EC1C92"/>
    <w:rsid w:val="00EE2932"/>
    <w:rsid w:val="00F36D78"/>
    <w:rsid w:val="00F4640A"/>
    <w:rsid w:val="00F54AEA"/>
    <w:rsid w:val="00F80C33"/>
    <w:rsid w:val="00F831F4"/>
    <w:rsid w:val="00F837EB"/>
    <w:rsid w:val="00F96677"/>
    <w:rsid w:val="00FF33C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622E"/>
    <w:rPr>
      <w:sz w:val="24"/>
      <w:szCs w:val="24"/>
      <w:lang w:val="nl-NL"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82436D"/>
    <w:rPr>
      <w:rFonts w:ascii="Tahoma" w:hAnsi="Tahoma" w:cs="Tahoma"/>
      <w:sz w:val="16"/>
      <w:szCs w:val="16"/>
    </w:rPr>
  </w:style>
  <w:style w:type="character" w:styleId="Hyperlink">
    <w:name w:val="Hyperlink"/>
    <w:basedOn w:val="DefaultParagraphFont"/>
    <w:rsid w:val="004A4117"/>
    <w:rPr>
      <w:color w:val="0000FF"/>
      <w:u w:val="single"/>
    </w:rPr>
  </w:style>
  <w:style w:type="character" w:styleId="CommentReference">
    <w:name w:val="annotation reference"/>
    <w:basedOn w:val="DefaultParagraphFont"/>
    <w:semiHidden/>
    <w:rsid w:val="0062038E"/>
    <w:rPr>
      <w:sz w:val="16"/>
      <w:szCs w:val="16"/>
    </w:rPr>
  </w:style>
  <w:style w:type="paragraph" w:styleId="CommentText">
    <w:name w:val="annotation text"/>
    <w:basedOn w:val="Normal"/>
    <w:semiHidden/>
    <w:rsid w:val="0062038E"/>
    <w:rPr>
      <w:sz w:val="20"/>
      <w:szCs w:val="20"/>
    </w:rPr>
  </w:style>
  <w:style w:type="paragraph" w:styleId="CommentSubject">
    <w:name w:val="annotation subject"/>
    <w:basedOn w:val="CommentText"/>
    <w:next w:val="CommentText"/>
    <w:semiHidden/>
    <w:rsid w:val="0062038E"/>
    <w:rPr>
      <w:b/>
      <w:bCs/>
    </w:rPr>
  </w:style>
</w:styles>
</file>

<file path=word/webSettings.xml><?xml version="1.0" encoding="utf-8"?>
<w:webSettings xmlns:r="http://schemas.openxmlformats.org/officeDocument/2006/relationships" xmlns:w="http://schemas.openxmlformats.org/wordprocessingml/2006/main">
  <w:divs>
    <w:div w:id="2121991824">
      <w:bodyDiv w:val="1"/>
      <w:marLeft w:val="0"/>
      <w:marRight w:val="0"/>
      <w:marTop w:val="0"/>
      <w:marBottom w:val="0"/>
      <w:divBdr>
        <w:top w:val="none" w:sz="0" w:space="0" w:color="auto"/>
        <w:left w:val="none" w:sz="0" w:space="0" w:color="auto"/>
        <w:bottom w:val="none" w:sz="0" w:space="0" w:color="auto"/>
        <w:right w:val="none" w:sz="0" w:space="0" w:color="auto"/>
      </w:divBdr>
      <w:divsChild>
        <w:div w:id="138811303">
          <w:marLeft w:val="0"/>
          <w:marRight w:val="0"/>
          <w:marTop w:val="0"/>
          <w:marBottom w:val="0"/>
          <w:divBdr>
            <w:top w:val="none" w:sz="0" w:space="0" w:color="auto"/>
            <w:left w:val="none" w:sz="0" w:space="0" w:color="auto"/>
            <w:bottom w:val="none" w:sz="0" w:space="0" w:color="auto"/>
            <w:right w:val="none" w:sz="0" w:space="0" w:color="auto"/>
          </w:divBdr>
          <w:divsChild>
            <w:div w:id="331690570">
              <w:marLeft w:val="0"/>
              <w:marRight w:val="0"/>
              <w:marTop w:val="0"/>
              <w:marBottom w:val="0"/>
              <w:divBdr>
                <w:top w:val="none" w:sz="0" w:space="0" w:color="auto"/>
                <w:left w:val="none" w:sz="0" w:space="0" w:color="auto"/>
                <w:bottom w:val="none" w:sz="0" w:space="0" w:color="auto"/>
                <w:right w:val="none" w:sz="0" w:space="0" w:color="auto"/>
              </w:divBdr>
            </w:div>
            <w:div w:id="818576616">
              <w:marLeft w:val="0"/>
              <w:marRight w:val="0"/>
              <w:marTop w:val="0"/>
              <w:marBottom w:val="0"/>
              <w:divBdr>
                <w:top w:val="none" w:sz="0" w:space="0" w:color="auto"/>
                <w:left w:val="none" w:sz="0" w:space="0" w:color="auto"/>
                <w:bottom w:val="none" w:sz="0" w:space="0" w:color="auto"/>
                <w:right w:val="none" w:sz="0" w:space="0" w:color="auto"/>
              </w:divBdr>
            </w:div>
            <w:div w:id="907615926">
              <w:marLeft w:val="0"/>
              <w:marRight w:val="0"/>
              <w:marTop w:val="0"/>
              <w:marBottom w:val="0"/>
              <w:divBdr>
                <w:top w:val="none" w:sz="0" w:space="0" w:color="auto"/>
                <w:left w:val="none" w:sz="0" w:space="0" w:color="auto"/>
                <w:bottom w:val="none" w:sz="0" w:space="0" w:color="auto"/>
                <w:right w:val="none" w:sz="0" w:space="0" w:color="auto"/>
              </w:divBdr>
            </w:div>
            <w:div w:id="1010184339">
              <w:marLeft w:val="0"/>
              <w:marRight w:val="0"/>
              <w:marTop w:val="0"/>
              <w:marBottom w:val="0"/>
              <w:divBdr>
                <w:top w:val="none" w:sz="0" w:space="0" w:color="auto"/>
                <w:left w:val="none" w:sz="0" w:space="0" w:color="auto"/>
                <w:bottom w:val="none" w:sz="0" w:space="0" w:color="auto"/>
                <w:right w:val="none" w:sz="0" w:space="0" w:color="auto"/>
              </w:divBdr>
            </w:div>
            <w:div w:id="1289897320">
              <w:marLeft w:val="0"/>
              <w:marRight w:val="0"/>
              <w:marTop w:val="0"/>
              <w:marBottom w:val="0"/>
              <w:divBdr>
                <w:top w:val="none" w:sz="0" w:space="0" w:color="auto"/>
                <w:left w:val="none" w:sz="0" w:space="0" w:color="auto"/>
                <w:bottom w:val="none" w:sz="0" w:space="0" w:color="auto"/>
                <w:right w:val="none" w:sz="0" w:space="0" w:color="auto"/>
              </w:divBdr>
            </w:div>
            <w:div w:id="1563328206">
              <w:marLeft w:val="0"/>
              <w:marRight w:val="0"/>
              <w:marTop w:val="0"/>
              <w:marBottom w:val="0"/>
              <w:divBdr>
                <w:top w:val="none" w:sz="0" w:space="0" w:color="auto"/>
                <w:left w:val="none" w:sz="0" w:space="0" w:color="auto"/>
                <w:bottom w:val="none" w:sz="0" w:space="0" w:color="auto"/>
                <w:right w:val="none" w:sz="0" w:space="0" w:color="auto"/>
              </w:divBdr>
            </w:div>
          </w:divsChild>
        </w:div>
        <w:div w:id="284772646">
          <w:marLeft w:val="0"/>
          <w:marRight w:val="0"/>
          <w:marTop w:val="0"/>
          <w:marBottom w:val="0"/>
          <w:divBdr>
            <w:top w:val="none" w:sz="0" w:space="0" w:color="auto"/>
            <w:left w:val="none" w:sz="0" w:space="0" w:color="auto"/>
            <w:bottom w:val="none" w:sz="0" w:space="0" w:color="auto"/>
            <w:right w:val="none" w:sz="0" w:space="0" w:color="auto"/>
          </w:divBdr>
        </w:div>
        <w:div w:id="1113327194">
          <w:marLeft w:val="0"/>
          <w:marRight w:val="0"/>
          <w:marTop w:val="0"/>
          <w:marBottom w:val="0"/>
          <w:divBdr>
            <w:top w:val="none" w:sz="0" w:space="0" w:color="auto"/>
            <w:left w:val="none" w:sz="0" w:space="0" w:color="auto"/>
            <w:bottom w:val="none" w:sz="0" w:space="0" w:color="auto"/>
            <w:right w:val="none" w:sz="0" w:space="0" w:color="auto"/>
          </w:divBdr>
        </w:div>
        <w:div w:id="1141771246">
          <w:marLeft w:val="0"/>
          <w:marRight w:val="0"/>
          <w:marTop w:val="0"/>
          <w:marBottom w:val="0"/>
          <w:divBdr>
            <w:top w:val="none" w:sz="0" w:space="0" w:color="auto"/>
            <w:left w:val="none" w:sz="0" w:space="0" w:color="auto"/>
            <w:bottom w:val="none" w:sz="0" w:space="0" w:color="auto"/>
            <w:right w:val="none" w:sz="0" w:space="0" w:color="auto"/>
          </w:divBdr>
        </w:div>
        <w:div w:id="149260181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neduc.gov.rw"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1222</Words>
  <Characters>6968</Characters>
  <Application>Microsoft Word 12.0.0</Application>
  <DocSecurity>0</DocSecurity>
  <Lines>58</Lines>
  <Paragraphs>13</Paragraphs>
  <ScaleCrop>false</ScaleCrop>
  <HeadingPairs>
    <vt:vector size="2" baseType="variant">
      <vt:variant>
        <vt:lpstr>Title</vt:lpstr>
      </vt:variant>
      <vt:variant>
        <vt:i4>1</vt:i4>
      </vt:variant>
    </vt:vector>
  </HeadingPairs>
  <TitlesOfParts>
    <vt:vector size="1" baseType="lpstr">
      <vt:lpstr>Information collection form for Netherlands Development Results Report 2009-2010 (bilateral aid)</vt:lpstr>
    </vt:vector>
  </TitlesOfParts>
  <Company>Min. van Buitenlandse Zaken</Company>
  <LinksUpToDate>false</LinksUpToDate>
  <CharactersWithSpaces>8557</CharactersWithSpaces>
  <SharedDoc>false</SharedDoc>
  <HLinks>
    <vt:vector size="6" baseType="variant">
      <vt:variant>
        <vt:i4>6488113</vt:i4>
      </vt:variant>
      <vt:variant>
        <vt:i4>0</vt:i4>
      </vt:variant>
      <vt:variant>
        <vt:i4>0</vt:i4>
      </vt:variant>
      <vt:variant>
        <vt:i4>5</vt:i4>
      </vt:variant>
      <vt:variant>
        <vt:lpwstr>http://www.mineduc.gov.rw/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collection form for Netherlands Development Results Report 2009-2010 (bilateral aid)</dc:title>
  <dc:subject/>
  <dc:creator>Rob Swinkels</dc:creator>
  <cp:keywords/>
  <dc:description/>
  <cp:lastModifiedBy>Michiel Kuijper</cp:lastModifiedBy>
  <cp:revision>2</cp:revision>
  <cp:lastPrinted>2011-01-24T15:50:00Z</cp:lastPrinted>
  <dcterms:created xsi:type="dcterms:W3CDTF">2012-07-09T14:35:00Z</dcterms:created>
  <dcterms:modified xsi:type="dcterms:W3CDTF">2012-07-09T14:35:00Z</dcterms:modified>
</cp:coreProperties>
</file>