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Distance-weighted area: corrected equation and parameter definitions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bufferscape — Technical Release, Methods §Descriptors. Replacement text for the equation and its description.</w:t>
      </w:r>
    </w:p>
    <w:p>
      <w:pPr>
        <w:pStyle w:val="Heading2"/>
        <w:spacing w:after="140" w:before="320"/>
      </w:pPr>
      <w:r>
        <w:t xml:space="preserve">1. The equation</w:t>
      </w:r>
    </w:p>
    <w:p>
      <w:pPr>
        <w:spacing w:after="160"/>
      </w:pPr>
      <w:r>
        <w:t xml:space="preserve">Within each buffer, for each class </w:t>
      </w:r>
      <w:r>
        <w:rPr>
          <w:i/>
          <w:iCs/>
        </w:rPr>
        <w:t xml:space="preserve">c</w:t>
      </w:r>
      <w:r>
        <w:t xml:space="preserve"> of the nomenclature, the distance-weighted area is the surface of that class weighted by an exponential distance-decay kernel and integrated over polygon geometry:</w:t>
      </w:r>
    </w:p>
    <w:p>
      <w:pPr>
        <w:spacing w:after="240" w:before="240"/>
        <w:jc w:val="center"/>
      </w:pPr>
      <m:oMath>
        <m:sSubSup>
          <m:sSubSupPr/>
          <m:e>
            <m:r>
              <m:t>A</m:t>
            </m:r>
          </m:e>
          <m:sub>
            <m:r>
              <m:t>c</m:t>
            </m:r>
          </m:sub>
          <m:sup>
            <m:r>
              <m:t>w</m:t>
            </m:r>
          </m:sup>
        </m:sSubSup>
        <m:r>
          <m:t>(s, r)  =  </m:t>
        </m:r>
        <m:nary>
          <m:naryPr>
            <m:chr m:val="∑"/>
            <m:limLoc m:val="undOvr"/>
            <m:supHide m:val="1"/>
          </m:naryPr>
          <m:sub>
            <m:r>
              <m:t>i ∈ </m:t>
            </m:r>
            <m:sSub>
              <m:sSubPr/>
              <m:e>
                <m:r>
                  <m:t>I</m:t>
                </m:r>
              </m:e>
              <m:sub>
                <m:r>
                  <m:t>c</m:t>
                </m:r>
              </m:sub>
            </m:sSub>
          </m:sub>
          <m:sup/>
          <m:e>
            <m:nary>
              <m:naryPr>
                <m:limLoc m:val="subSup"/>
                <m:supHide m:val="1"/>
              </m:naryPr>
              <m:sub>
                <m:sSub>
                  <m:sSubPr/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t> ∩ </m:t>
                </m:r>
                <m:sSub>
                  <m:sSubPr/>
                  <m:e>
                    <m:r>
                      <m:t>B</m:t>
                    </m:r>
                  </m:e>
                  <m:sub>
                    <m:r>
                      <m:t>r</m:t>
                    </m:r>
                  </m:sub>
                </m:sSub>
                <m:r>
                  <m:t>(s)</m:t>
                </m:r>
              </m:sub>
              <m:sup/>
              <m:e>
                <m:r>
                  <m:t>exp</m:t>
                </m:r>
                <m:d>
                  <m:dPr/>
                  <m:e>
                    <m:r>
                      <m:t>−</m:t>
                    </m:r>
                    <m:f>
                      <m:num>
                        <m:r>
                          <m:t>‖x − s‖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</m:d>
                <m:r>
                  <m:t> d</m:t>
                </m:r>
                <m:r>
                  <m:t>x</m:t>
                </m:r>
              </m:e>
            </m:nary>
          </m:e>
        </m:nary>
      </m:oMath>
    </w:p>
    <w:p>
      <w:pPr>
        <w:spacing w:after="160"/>
      </w:pPr>
      <w:r>
        <w:t xml:space="preserve">where </w:t>
      </w:r>
      <w:r>
        <w:rPr>
          <w:i/>
          <w:iCs/>
        </w:rPr>
        <w:t xml:space="preserve">I</w:t>
      </w:r>
      <w:r>
        <w:rPr>
          <w:i/>
          <w:iCs/>
          <w:vertAlign w:val="subscript"/>
        </w:rPr>
        <w:t xml:space="preserve">c</w:t>
      </w:r>
      <w:r>
        <w:t xml:space="preserve"> = { </w:t>
      </w:r>
      <w:r>
        <w:rPr>
          <w:i/>
          <w:iCs/>
        </w:rPr>
        <w:t xml:space="preserve">i</w:t>
      </w:r>
      <w:r>
        <w:t xml:space="preserve"> : polygon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i</w:t>
      </w:r>
      <w:r>
        <w:t xml:space="preserve"> is assigned to class </w:t>
      </w:r>
      <w:r>
        <w:rPr>
          <w:i/>
          <w:iCs/>
        </w:rPr>
        <w:t xml:space="preserve">c</w:t>
      </w:r>
      <w:r>
        <w:t xml:space="preserve"> }.</w:t>
      </w:r>
    </w:p>
    <w:p>
      <w:pPr>
        <w:pStyle w:val="Heading2"/>
        <w:spacing w:after="140" w:before="320"/>
      </w:pPr>
      <w:r>
        <w:t xml:space="preserve">2. Parameters</w:t>
      </w:r>
    </w:p>
    <w:tbl>
      <w:tblPr>
        <w:tblW w:type="dxa" w:w="9026"/>
        <w:tblBorders>
          <w:top w:val="single" w:color="c9c9c9" w:sz="4"/>
          <w:left w:val="none"/>
          <w:bottom w:val="single" w:color="c9c9c9" w:sz="4"/>
          <w:right w:val="none"/>
          <w:insideH w:val="single" w:color="dddddd" w:sz="2"/>
          <w:insideV w:val="none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0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dxa" w:w="0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Formal definition</w:t>
            </w:r>
          </w:p>
        </w:tc>
        <w:tc>
          <w:tcPr>
            <w:tcW w:type="dxa" w:w="0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 plain terms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Coordinate vector of the sampling point, in metres (EPSG:31983 / SIRGAS 2000 UTM 23S).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The trap. The origin from which every distance is measured.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 radius, in metres. Here r = 20, 30, 40 and 50 m.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How far out we look. Nothing beyond r exists for the calculation.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</w:t>
            </w:r>
            <w:r>
              <w:rPr>
                <w:i/>
                <w:iCs/>
                <w:vertAlign w:val="subscript"/>
              </w:rPr>
              <w:t xml:space="preserve">r</w:t>
            </w:r>
            <w:r>
              <w:rPr>
                <w:i/>
                <w:iCs/>
              </w:rPr>
              <w:t xml:space="preserve">(s)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 disc of radius r centred on s.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The buffer itself.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class of the nomenclature, c = 1…28.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The surface type being described.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I</w:t>
            </w:r>
            <w:r>
              <w:rPr>
                <w:i/>
                <w:iCs/>
                <w:vertAlign w:val="subscript"/>
              </w:rPr>
              <w:t xml:space="preserve">c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 set of the polygons assigned to class c (defined under the equation).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The list of polygons of that type.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</w:t>
            </w:r>
            <w:r>
              <w:rPr>
                <w:i/>
                <w:iCs/>
                <w:vertAlign w:val="subscript"/>
              </w:rPr>
              <w:t xml:space="preserve">i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Polygon i, one digitised surface.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One mapped patch.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</w:t>
            </w:r>
            <w:r>
              <w:rPr>
                <w:i/>
                <w:iCs/>
                <w:vertAlign w:val="subscript"/>
              </w:rPr>
              <w:t xml:space="preserve">i</w:t>
            </w:r>
            <w:r>
              <w:t xml:space="preserve"> ∩ </w:t>
            </w:r>
            <w:r>
              <w:rPr>
                <w:i/>
                <w:iCs/>
              </w:rPr>
              <w:t xml:space="preserve">B</w:t>
            </w:r>
            <w:r>
              <w:rPr>
                <w:i/>
                <w:iCs/>
                <w:vertAlign w:val="subscript"/>
              </w:rPr>
              <w:t xml:space="preserve">r</w:t>
            </w:r>
            <w:r>
              <w:rPr>
                <w:i/>
                <w:iCs/>
              </w:rPr>
              <w:t xml:space="preserve">(s)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part of polygon i that lies inside the buffer.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A polygon straddling the edge counts only for the portion inside.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x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point of the plane, ranging over that intersection.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Every small piece of surface, taken one at a time.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‖</w:t>
            </w:r>
            <w:r>
              <w:rPr>
                <w:i/>
                <w:iCs/>
              </w:rPr>
              <w:t xml:space="preserve">x</w:t>
            </w:r>
            <w:r>
              <w:t xml:space="preserve"> − </w:t>
            </w:r>
            <w:r>
              <w:rPr>
                <w:i/>
                <w:iCs/>
              </w:rPr>
              <w:t xml:space="preserve">s</w:t>
            </w:r>
            <w:r>
              <w:t xml:space="preserve">‖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Euclidean distance from x to s, in metres.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How far that small piece is from the trap.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λ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Decay length, in metres, λ &gt; 0. The weight equals e⁻¹ ≈ 0.37 at d = λ and 0.14 at d = 2λ.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The only tuning knob: how strongly distance penalises.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  <w:r>
              <w:rPr>
                <w:i/>
                <w:iCs/>
              </w:rPr>
              <w:t xml:space="preserve">x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of area, in m².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The size of that small piece.</w:t>
            </w:r>
          </w:p>
        </w:tc>
      </w:tr>
      <w:tr>
        <w:trPr>
          <w:tblHeader w:val="false"/>
        </w:trP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</w:t>
            </w:r>
            <w:r>
              <w:rPr>
                <w:i/>
                <w:iCs/>
                <w:vertAlign w:val="subscript"/>
              </w:rPr>
              <w:t xml:space="preserve">c</w:t>
            </w:r>
            <w:r>
              <w:rPr>
                <w:i/>
                <w:iCs/>
                <w:vertAlign w:val="superscript"/>
              </w:rPr>
              <w:t xml:space="preserve">w</w:t>
            </w:r>
            <w:r>
              <w:rPr>
                <w:i/>
                <w:iCs/>
              </w:rPr>
              <w:t xml:space="preserve">(s, r)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descriptor, in m².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An effective area: every m² counts, but the further away, the less.</w:t>
            </w:r>
          </w:p>
        </w:tc>
      </w:tr>
    </w:tbl>
    <w:p>
      <w:pPr>
        <w:pStyle w:val="Heading2"/>
        <w:spacing w:after="140" w:before="320"/>
      </w:pPr>
      <w:r>
        <w:t xml:space="preserve">3. Two properties worth stating</w:t>
      </w:r>
    </w:p>
    <w:p>
      <w:pPr>
        <w:spacing w:after="160"/>
      </w:pPr>
      <w:r>
        <w:t xml:space="preserve">Since 0 &lt; exp(−‖</w:t>
      </w:r>
      <w:r>
        <w:rPr>
          <w:i/>
          <w:iCs/>
        </w:rPr>
        <w:t xml:space="preserve">x</w:t>
      </w:r>
      <w:r>
        <w:t xml:space="preserve"> − </w:t>
      </w:r>
      <w:r>
        <w:rPr>
          <w:i/>
          <w:iCs/>
        </w:rPr>
        <w:t xml:space="preserve">s</w:t>
      </w:r>
      <w:r>
        <w:t xml:space="preserve">‖/λ) ≤ 1, the weighted area is bounded by the plain area, 0 ≤ 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c</w:t>
      </w:r>
      <w:r>
        <w:rPr>
          <w:i/>
          <w:iCs/>
          <w:vertAlign w:val="superscript"/>
        </w:rPr>
        <w:t xml:space="preserve">w</w:t>
      </w:r>
      <w:r>
        <w:t xml:space="preserve"> ≤ 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c</w:t>
      </w:r>
      <w:r>
        <w:t xml:space="preserve">, and converges to it as λ → ∞. It is therefore interpretable as an effective area: the surface that a uniform, unweighted neighbourhood of the same composition would need in order to contribute equally.</w:t>
      </w:r>
    </w:p>
    <w:p>
      <w:pPr>
        <w:spacing w:after="160"/>
      </w:pPr>
      <w:r>
        <w:t xml:space="preserve">The weight is finite everywhere, including at zero distance, where it equals 1. A sampling point lying inside a mapped polygon is therefore an ordinary case requiring no special handling.</w:t>
      </w:r>
    </w:p>
    <w:p>
      <w:pPr>
        <w:spacing w:after="160"/>
      </w:pPr>
      <w:r>
        <w:t xml:space="preserve">The integral is evaluated numerically on a regular sampling grid whose spacing is a user-controlled argument. Coordinates, </w:t>
      </w:r>
      <w:r>
        <w:rPr>
          <w:i/>
          <w:iCs/>
        </w:rPr>
        <w:t xml:space="preserve">r</w:t>
      </w:r>
      <w:r>
        <w:t xml:space="preserve"> and λ are in metres, so the weighted area is in m².</w:t>
      </w:r>
    </w:p>
    <w:p>
      <w:pPr>
        <w:pStyle w:val="Heading2"/>
        <w:spacing w:after="140" w:before="320"/>
      </w:pPr>
      <w:r>
        <w:t xml:space="preserve">4. Literature-based calibration of the decay length</w:t>
      </w:r>
    </w:p>
    <w:p>
      <w:pPr>
        <w:spacing w:after="160"/>
      </w:pPr>
      <w:r>
        <w:t xml:space="preserve">Jasper et al. (2019, corrected 2020) report an axial standard deviation of parent–offspring dispersal of approximately σ = 46 m (95% CI 16–66 m) for </w:t>
      </w:r>
      <w:r>
        <w:rPr>
          <w:i/>
          <w:iCs/>
        </w:rPr>
        <w:t xml:space="preserve">Aedes aegypti</w:t>
      </w:r>
      <w:r>
        <w:t xml:space="preserve"> in a Malaysian high-rise setting. That statistic measures spread along one spatial axis; it is not an exponential decay length. To match it, normalise the isotropic exponential over the plane:</w:t>
      </w:r>
    </w:p>
    <w:p>
      <w:pPr>
        <w:spacing w:after="240" w:before="240"/>
        <w:jc w:val="center"/>
      </w:pPr>
      <m:oMath>
        <m:r>
          <m:t>q(x)  =  </m:t>
        </m:r>
        <m:f>
          <m:num>
            <m:r>
              <m:t>exp(−‖x‖ ⁄ λ)</m:t>
            </m:r>
          </m:num>
          <m:den>
            <m:r>
              <m:t>2π</m:t>
            </m:r>
            <m:sSup>
              <m:sSupPr/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60"/>
      </w:pPr>
      <w:r>
        <w:t xml:space="preserve">whose radial density and moments are</w:t>
      </w:r>
    </w:p>
    <w:p>
      <w:pPr>
        <w:spacing w:after="240" w:before="240"/>
        <w:jc w:val="center"/>
      </w:pPr>
      <m:oMath>
        <m:r>
          <m:t>f(d)  =  </m:t>
        </m:r>
        <m:f>
          <m:num>
            <m:r>
              <m:t>d exp(−d ⁄ λ)</m:t>
            </m:r>
          </m:num>
          <m:den>
            <m:sSup>
              <m:sSupPr/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r>
          <m:t>  ,   E[d²] = 6</m:t>
        </m:r>
        <m:sSup>
          <m:sSupPr/>
          <m:e>
            <m:r>
              <m:t>λ</m:t>
            </m:r>
          </m:e>
          <m:sup>
            <m:r>
              <m:t>2</m:t>
            </m:r>
          </m:sup>
        </m:sSup>
        <m:r>
          <m:t>  ,   </m:t>
        </m:r>
        <m:sSub>
          <m:sSubPr/>
          <m:e>
            <m:r>
              <m:t>Var</m:t>
            </m:r>
          </m:e>
          <m:sub>
            <m:r>
              <m:t>axial</m:t>
            </m:r>
          </m:sub>
        </m:sSub>
        <m:r>
          <m:t> = 3</m:t>
        </m:r>
        <m:sSup>
          <m:sSupPr/>
          <m:e>
            <m:r>
              <m:t>λ</m:t>
            </m:r>
          </m:e>
          <m:sup>
            <m:r>
              <m:t>2</m:t>
            </m:r>
          </m:sup>
        </m:sSup>
      </m:oMath>
    </w:p>
    <w:p>
      <w:pPr>
        <w:spacing w:after="160"/>
      </w:pPr>
      <w:r>
        <w:t xml:space="preserve">so that matching the axial variance gives</w:t>
      </w:r>
    </w:p>
    <w:p>
      <w:pPr>
        <w:spacing w:after="240" w:before="240"/>
        <w:jc w:val="center"/>
      </w:pPr>
      <m:oMath>
        <m:sSub>
          <m:sSubPr/>
          <m:e>
            <m:r>
              <m:t>λ</m:t>
            </m:r>
          </m:e>
          <m:sub>
            <m:r>
              <m:t>ref</m:t>
            </m:r>
          </m:sub>
        </m:sSub>
        <m:r>
          <m:t>  =  </m:t>
        </m:r>
        <m:f>
          <m:num>
            <m:r>
              <m:t>σ</m:t>
            </m:r>
          </m:num>
          <m:den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</m:den>
        </m:f>
        <m:r>
          <m:t>  =  </m:t>
        </m:r>
        <m:f>
          <m:num>
            <m:r>
              <m:t>46 m</m:t>
            </m:r>
          </m:num>
          <m:den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</m:den>
        </m:f>
        <m:r>
          <m:t>  ≈  26.6 m</m:t>
        </m:r>
      </m:oMath>
    </w:p>
    <w:p>
      <w:pPr>
        <w:spacing w:after="160"/>
      </w:pPr>
      <w:r>
        <w:t xml:space="preserve">The area descriptor continues to use the unnormalised weight exp(−</w:t>
      </w:r>
      <w:r>
        <w:rPr>
          <w:i/>
          <w:iCs/>
        </w:rPr>
        <w:t xml:space="preserve">d</w:t>
      </w:r>
      <w:r>
        <w:t xml:space="preserve">/λ), retaining units of m². The fraction of the weight's integral over the plane contained within radius </w:t>
      </w:r>
      <w:r>
        <w:rPr>
          <w:i/>
          <w:iCs/>
        </w:rPr>
        <w:t xml:space="preserve">R</w:t>
      </w:r>
      <w:r>
        <w:t xml:space="preserve"> is</w:t>
      </w:r>
    </w:p>
    <w:p>
      <w:pPr>
        <w:spacing w:after="240" w:before="240"/>
        <w:jc w:val="center"/>
      </w:pPr>
      <m:oMath>
        <m:r>
          <m:t>F(R; λ)  =  1 − </m:t>
        </m:r>
        <m:d>
          <m:dPr/>
          <m:e>
            <m:r>
              <m:t>1 + </m:t>
            </m:r>
            <m:f>
              <m:num>
                <m:r>
                  <m:t>R</m:t>
                </m:r>
              </m:num>
              <m:den>
                <m:r>
                  <m:t>λ</m:t>
                </m:r>
              </m:den>
            </m:f>
          </m:e>
        </m:d>
        <m:r>
          <m:t> exp</m:t>
        </m:r>
        <m:d>
          <m:dPr/>
          <m:e>
            <m:r>
              <m:t>−</m:t>
            </m:r>
            <m:f>
              <m:num>
                <m:r>
                  <m:t>R</m:t>
                </m:r>
              </m:num>
              <m:den>
                <m:r>
                  <m:t>λ</m:t>
                </m:r>
              </m:den>
            </m:f>
          </m:e>
        </m:d>
      </m:oMath>
    </w:p>
    <w:p>
      <w:pPr>
        <w:spacing w:after="160"/>
      </w:pPr>
      <w:r>
        <w:t xml:space="preserve">which is approximately 56% at 50 m and 89% at 100 m for λ ≈ 26.6 m. Applying a dispersal statistic from another urban setting is a modelling assumption; the reported confidence interval of 16–66 m corresponds to λ</w:t>
      </w:r>
      <w:r>
        <w:rPr>
          <w:i/>
          <w:iCs/>
          <w:vertAlign w:val="subscript"/>
        </w:rPr>
        <w:t xml:space="preserve">ref</w:t>
      </w:r>
      <w:r>
        <w:t xml:space="preserve"> ≈ 9–38 m, and the sensitivity analysis covers that range.</w:t>
      </w:r>
    </w:p>
    <w:p>
      <w:pPr>
        <w:pStyle w:val="Heading2"/>
        <w:spacing w:after="140" w:before="320"/>
      </w:pPr>
      <w:r>
        <w:t xml:space="preserve">5. Where these conventions come from</w:t>
      </w:r>
    </w:p>
    <w:p>
      <w:pPr>
        <w:spacing w:after="160"/>
      </w:pPr>
      <w:r>
        <w:t xml:space="preserve">The axial definition of σ originates with Wright (1946), where neighbourhood size is NS = 4πσ²d. It is the convention used by the source study: the accompanying R package </w:t>
      </w:r>
      <w:r>
        <w:rPr>
          <w:rFonts w:ascii="Consolas" w:cs="Consolas" w:eastAsia="Consolas" w:hAnsi="Consolas"/>
        </w:rPr>
        <w:t xml:space="preserve">kindisperse</w:t>
      </w:r>
      <w:r>
        <w:t xml:space="preserve"> (Jasper, CRAN) defines it as “that aspect of dispersal which operates within one dimension across a two-dimensional space”. The two-dimensional radially symmetric exponential kernel and its normalising constant 2πλ² are given in Clark, Silman, Kern, Macklin &amp; HilleRisLambers (1999), </w:t>
      </w:r>
      <w:r>
        <w:rPr>
          <w:i/>
          <w:iCs/>
        </w:rPr>
        <w:t xml:space="preserve">Ecology</w:t>
      </w:r>
      <w:r>
        <w:t xml:space="preserve"> 80(5):1475–1494.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2026-09-22T13:00:36.694Z</dcterms:created>
  <dcterms:modified xsi:type="dcterms:W3CDTF">2026-09-22T13:00:36.695Z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