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has_existing_support_order and not agreed_on_who_pays and have_circumstances_changed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circumstance_changes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{% if </w:t>
      </w:r>
      <w:r>
        <w:rPr>
          <w:sz w:val="24"/>
          <w:szCs w:val="24"/>
        </w:rPr>
        <w:t>agreed_on_who_pays %}6{% else %}7{% endif %}</w:t>
      </w:r>
      <w:r>
        <w:rPr>
          <w:sz w:val="24"/>
          <w:szCs w:val="24"/>
        </w:rPr>
        <w:t>. I ask the court to order the {{ which_side_pays_new }} to pay child support as follows: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base support amount of {{ currency(base_support_new)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child care expense amount of {{ currency(child_care_new)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ordinary medical expense amount of {{ currency(ordinary_medical_new)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 if is_additional_amount_new %}An additional monthly expense amount of {{ currency(additional_amount_new) }} for {{ additional_amount_reason }}.{%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I ask the court to give the {{which_side_pays_new }} a monthly credit of {{ currency(child_benefit_amount) }} for the {% if child_benefit_type != “other” %}{{ benefit_types[child_benefit_type] }} {% endif %}dependent benefit received by the children.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0011426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9815" cy="558165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200" cy="5576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35pt;height:43.85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7465" cy="278765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6760" cy="278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85pt;height:21.85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LibreOffice/6.4.7.2$Linux_X86_64 LibreOffice_project/40$Build-2</Application>
  <Pages>1</Pages>
  <Words>153</Words>
  <Characters>990</Characters>
  <CharactersWithSpaces>1143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2023-11-01T12:06:11Z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