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val="04a0" w:noHBand="0" w:noVBand="1" w:firstColumn="1" w:lastRow="0" w:lastColumn="0" w:firstRow="1"/>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File a motion and notice of hearing in your case</w:t>
            </w:r>
          </w:p>
        </w:tc>
      </w:tr>
    </w:tbl>
    <w:p>
      <w:pPr>
        <w:pStyle w:val="Normal"/>
        <w:rPr>
          <w:b/>
          <w:b/>
          <w:bCs/>
        </w:rPr>
      </w:pPr>
      <w:r>
        <w:rPr>
          <w:b/>
          <w:bCs/>
        </w:rPr>
      </w:r>
    </w:p>
    <w:p>
      <w:pPr>
        <w:pStyle w:val="Normal"/>
        <w:rPr/>
      </w:pPr>
      <w:r>
        <w:rPr/>
        <w:t>Congratulations {{ users }}! You have finished all the forms you need to File a motion and notice of hearing in your case. The rest of the pages in this packet are yo</w:t>
      </w:r>
      <w:r>
        <w:rPr>
          <w:rFonts w:asciiTheme="minorHAnsi" w:cstheme="minorBidi" w:eastAsiaTheme="minorEastAsia" w:hAnsiTheme="minorHAnsi"/>
        </w:rPr>
        <w:t>ur motion {</w:t>
      </w:r>
      <w:r>
        <w:rPr/>
        <w:t>% if other_parties.number() %}</w:t>
      </w:r>
      <w:r>
        <w:rPr>
          <w:b/>
        </w:rPr>
        <w:t xml:space="preserve"> </w:t>
      </w:r>
      <w:r>
        <w:rPr/>
        <w:t>in</w:t>
      </w:r>
      <w:r>
        <w:rPr>
          <w:b/>
        </w:rPr>
        <w:t xml:space="preserve"> {{ </w:t>
      </w:r>
      <w:r>
        <w:rPr>
          <w:b/>
        </w:rPr>
        <w:t>plaintiffs</w:t>
      </w:r>
      <w:r>
        <w:rPr>
          <w:b/>
        </w:rPr>
        <w:t xml:space="preserve"> }} v {{ </w:t>
      </w:r>
      <w:r>
        <w:rPr>
          <w:b/>
        </w:rPr>
        <w:t>defendants</w:t>
      </w:r>
      <w:r>
        <w:rPr>
          <w:b/>
        </w:rPr>
        <w:t xml:space="preserve"> }}</w:t>
      </w:r>
      <w:r>
        <w:rPr/>
        <w:t>{% endif %}.</w:t>
      </w:r>
    </w:p>
    <w:p>
      <w:pPr>
        <w:pStyle w:val="Normal"/>
        <w:rPr/>
      </w:pPr>
      <w:r>
        <w:rPr/>
      </w:r>
    </w:p>
    <w:p>
      <w:pPr>
        <w:sectPr>
          <w:footerReference w:type="first" r:id="rId2"/>
          <w:type w:val="nextPage"/>
          <w:pgSz w:w="12240" w:h="15840"/>
          <w:pgMar w:left="720" w:right="720" w:header="0" w:top="720" w:footer="0" w:bottom="0" w:gutter="0"/>
          <w:pgNumType w:start="1" w:fmt="decimal"/>
          <w:formProt w:val="false"/>
          <w:titlePg/>
          <w:textDirection w:val="lrTb"/>
          <w:docGrid w:type="default" w:linePitch="326" w:charSpace="16384"/>
        </w:sectPr>
      </w:pPr>
    </w:p>
    <w:p>
      <w:pPr>
        <w:pStyle w:val="Heading2"/>
        <w:rPr/>
      </w:pPr>
      <w:bookmarkStart w:id="0" w:name="_yntzxzfdh9ya"/>
      <w:bookmarkEnd w:id="0"/>
      <w:r>
        <w:rPr/>
        <w:t>Next steps</w:t>
      </w:r>
    </w:p>
    <w:p>
      <w:pPr>
        <w:pStyle w:val="ListParagraph"/>
        <w:widowControl/>
        <w:numPr>
          <w:ilvl w:val="0"/>
          <w:numId w:val="2"/>
        </w:numPr>
        <w:suppressAutoHyphens w:val="true"/>
        <w:bidi w:val="0"/>
        <w:snapToGrid w:val="false"/>
        <w:spacing w:lineRule="auto" w:line="240" w:before="0" w:after="80"/>
        <w:ind w:left="360" w:right="0" w:hanging="360"/>
        <w:contextualSpacing/>
        <w:jc w:val="left"/>
        <w:rPr/>
      </w:pPr>
      <w:r>
        <w:rPr/>
        <w:t xml:space="preserve">Prepare your forms and find out how you will file. Complete the </w:t>
      </w:r>
      <w:hyperlink r:id="rId3">
        <w:r>
          <w:rPr>
            <w:rStyle w:val="InternetLink"/>
          </w:rPr>
          <w:t>Do-It-Yourself Motion to Change or Get Child Support</w:t>
        </w:r>
      </w:hyperlink>
      <w:r>
        <w:rPr/>
        <w:t xml:space="preserve"> to prepare the forms you need. The instructions below explain which forms you need for each step and how many copies to make.</w:t>
        <w:br/>
        <w:br/>
        <w:t>Some of the other steps may have slightly different information depending on how you will file with the court. Each court decides how it will accept documents for filing. Contact your court to find out which methods are available. Depending on your court, you may be able to file by:</w:t>
        <w:br/>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In-person filing</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E-mail</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E-filing using MiFILE</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Mailing or dropping off documents</w:t>
        <w:br/>
        <w:br/>
        <w:t xml:space="preserve">You can find contact information for your court on the </w:t>
      </w:r>
      <w:hyperlink r:id="rId4">
        <w:r>
          <w:rPr>
            <w:rStyle w:val="InternetLink"/>
          </w:rPr>
          <w:t>Courts &amp; Agencies</w:t>
        </w:r>
      </w:hyperlink>
      <w:r>
        <w:rPr/>
        <w:t xml:space="preserve"> page of Michigan Legal Help. </w:t>
      </w:r>
      <w:hyperlink r:id="rId5">
        <w:r>
          <w:rPr>
            <w:rStyle w:val="InternetLink"/>
          </w:rPr>
          <w:t>MiFILE</w:t>
        </w:r>
      </w:hyperlink>
      <w:r>
        <w:rPr/>
        <w:t xml:space="preserve"> is only available for some courts. Even in courts where it is available, you can only use it for some case types. The State Court Administrative Office keeps </w:t>
      </w:r>
      <w:hyperlink r:id="rId6">
        <w:r>
          <w:rPr>
            <w:rStyle w:val="InternetLink"/>
          </w:rPr>
          <w:t>a chart of courts that use e-filing</w:t>
        </w:r>
      </w:hyperlink>
      <w:r>
        <w:rPr/>
        <w:t xml:space="preserve">. To learn more, read </w:t>
      </w:r>
      <w:hyperlink r:id="rId7">
        <w:r>
          <w:rPr>
            <w:rStyle w:val="InternetLink"/>
          </w:rPr>
          <w:t>What Is E-Filing?</w:t>
        </w:r>
      </w:hyperlink>
      <w:r>
        <w:rPr/>
        <w:br/>
      </w:r>
    </w:p>
    <w:p>
      <w:pPr>
        <w:pStyle w:val="ListParagraph"/>
        <w:widowControl/>
        <w:numPr>
          <w:ilvl w:val="0"/>
          <w:numId w:val="2"/>
        </w:numPr>
        <w:suppressAutoHyphens w:val="true"/>
        <w:bidi w:val="0"/>
        <w:snapToGrid w:val="false"/>
        <w:spacing w:before="0" w:after="80"/>
        <w:ind w:left="360" w:right="0" w:hanging="360"/>
        <w:contextualSpacing/>
        <w:jc w:val="left"/>
        <w:rPr/>
      </w:pPr>
      <w:r>
        <w:rPr/>
        <w:t xml:space="preserve">Get a hearing date. Contact the court clerk’s office in your county to get a hearing date. In some counties you must contact the </w:t>
      </w:r>
      <w:hyperlink r:id="rId8">
        <w:r>
          <w:rPr>
            <w:rStyle w:val="InternetLink"/>
          </w:rPr>
          <w:t>Friend of the Court</w:t>
        </w:r>
      </w:hyperlink>
      <w:r>
        <w:rPr/>
        <w:t xml:space="preserve"> or the judge’s clerk for a hearing date. On your Motion Regarding Support, there is a Notice of Hearing section. Fill in the Notice of Hearing with the information you get about the hearing date and time, location of the hearing, and name of the judge or referee who will hear the motion.</w:t>
        <w:br/>
      </w:r>
    </w:p>
    <w:p>
      <w:pPr>
        <w:pStyle w:val="ListParagraph"/>
        <w:widowControl/>
        <w:numPr>
          <w:ilvl w:val="0"/>
          <w:numId w:val="2"/>
        </w:numPr>
        <w:suppressAutoHyphens w:val="true"/>
        <w:bidi w:val="0"/>
        <w:snapToGrid w:val="false"/>
        <w:spacing w:before="0" w:after="80"/>
        <w:ind w:left="360" w:right="0" w:hanging="360"/>
        <w:contextualSpacing/>
        <w:jc w:val="left"/>
        <w:rPr/>
      </w:pPr>
      <w:r>
        <w:rPr/>
        <w:t xml:space="preserve">Get your court fees waived (if you qualify). It will cost you at least $60 to file a motion regarding support. If you are unable to pay the filing fee, you can ask the court to waive it by filing a Fee Waiver Request. 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9">
        <w:r>
          <w:rPr>
            <w:rStyle w:val="InternetLink"/>
          </w:rPr>
          <w:t>Do-It-Yourself Fee Waiver tool</w:t>
        </w:r>
      </w:hyperlink>
      <w:r>
        <w:rPr/>
        <w:t xml:space="preserve"> to prepare a Fee Waiver Request. The clerk of the court must automatically approve your fee waiver if any of these are true:</w:t>
      </w:r>
    </w:p>
    <w:p>
      <w:pPr>
        <w:pStyle w:val="ListParagraph"/>
        <w:widowControl/>
        <w:numPr>
          <w:ilvl w:val="1"/>
          <w:numId w:val="2"/>
        </w:numPr>
        <w:suppressAutoHyphens w:val="true"/>
        <w:bidi w:val="0"/>
        <w:snapToGrid w:val="false"/>
        <w:spacing w:before="0" w:after="80"/>
        <w:ind w:left="360" w:right="0" w:hanging="360"/>
        <w:contextualSpacing/>
        <w:jc w:val="left"/>
        <w:rPr/>
      </w:pPr>
      <w:r>
        <w:rPr/>
        <w:t>You receive public assistance based on having low income (examples: FAP, SNAP, Healthy Michigan, CHIP, ESO, FIP, TANF, WIC, SSI);</w:t>
      </w:r>
    </w:p>
    <w:p>
      <w:pPr>
        <w:pStyle w:val="ListParagraph"/>
        <w:widowControl/>
        <w:numPr>
          <w:ilvl w:val="1"/>
          <w:numId w:val="2"/>
        </w:numPr>
        <w:suppressAutoHyphens w:val="true"/>
        <w:bidi w:val="0"/>
        <w:snapToGrid w:val="false"/>
        <w:spacing w:before="0" w:after="80"/>
        <w:ind w:left="360" w:right="0" w:hanging="360"/>
        <w:contextualSpacing/>
        <w:jc w:val="left"/>
        <w:rPr/>
      </w:pPr>
      <w:r>
        <w:rPr/>
        <w:t>You are represented by a legal services program that receives funding from the Legal Services Corporation or the Michigan State Bar Foundation; or</w:t>
      </w:r>
    </w:p>
    <w:p>
      <w:pPr>
        <w:pStyle w:val="ListParagraph"/>
        <w:widowControl/>
        <w:numPr>
          <w:ilvl w:val="1"/>
          <w:numId w:val="2"/>
        </w:numPr>
        <w:suppressAutoHyphens w:val="true"/>
        <w:bidi w:val="0"/>
        <w:snapToGrid w:val="false"/>
        <w:spacing w:before="0" w:after="80"/>
        <w:ind w:left="360" w:right="0" w:hanging="360"/>
        <w:contextualSpacing/>
        <w:jc w:val="left"/>
        <w:rPr>
          <w:b/>
          <w:b/>
          <w:bCs/>
        </w:rPr>
      </w:pPr>
      <w:r>
        <w:rPr/>
        <w:t>You are represented by a law school clinic based on having low income.</w:t>
        <w:br/>
        <w:br/>
        <w:t xml:space="preserve">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 To learn more, read </w:t>
      </w:r>
      <w:hyperlink r:id="rId10">
        <w:r>
          <w:rPr>
            <w:rStyle w:val="InternetLink"/>
          </w:rPr>
          <w:t>Fee Waivers in Court Cases</w:t>
        </w:r>
      </w:hyperlink>
      <w:r>
        <w:rPr/>
        <w:t>.</w:t>
        <w:br/>
      </w:r>
    </w:p>
    <w:p>
      <w:pPr>
        <w:pStyle w:val="ListParagraph"/>
        <w:widowControl/>
        <w:numPr>
          <w:ilvl w:val="0"/>
          <w:numId w:val="2"/>
        </w:numPr>
        <w:suppressAutoHyphens w:val="true"/>
        <w:bidi w:val="0"/>
        <w:snapToGrid w:val="false"/>
        <w:spacing w:before="0" w:after="80"/>
        <w:ind w:left="360" w:right="0" w:hanging="360"/>
        <w:contextualSpacing/>
        <w:jc w:val="left"/>
        <w:rPr/>
      </w:pPr>
      <w:r>
        <w:rPr/>
        <w:t>Sign your forms. You must sign and date the Motion Regarding Support form. If you are filing a Fee Waiver Request, also sign and date it.</w:t>
      </w:r>
    </w:p>
    <w:p>
      <w:pPr>
        <w:pStyle w:val="Heading2"/>
        <w:rPr/>
      </w:pPr>
      <w:r>
        <w:rPr/>
        <w:t>To file your motion</w:t>
      </w:r>
    </w:p>
    <w:p>
      <w:pPr>
        <w:pStyle w:val="NumberedList"/>
        <w:numPr>
          <w:ilvl w:val="0"/>
          <w:numId w:val="1"/>
        </w:numPr>
        <w:rPr/>
      </w:pPr>
      <w:r>
        <w:rPr/>
        <w:t>Look over the forms below, one more time. Make sure everything is correct.</w:t>
      </w:r>
    </w:p>
    <w:p>
      <w:pPr>
        <w:pStyle w:val="ListParagraph"/>
        <w:widowControl/>
        <w:numPr>
          <w:ilvl w:val="0"/>
          <w:numId w:val="1"/>
        </w:numPr>
        <w:suppressAutoHyphens w:val="true"/>
        <w:bidi w:val="0"/>
        <w:snapToGrid w:val="false"/>
        <w:spacing w:before="0" w:after="80"/>
        <w:ind w:left="360" w:right="0" w:hanging="360"/>
        <w:contextualSpacing/>
        <w:jc w:val="left"/>
        <w:rPr/>
      </w:pPr>
      <w:r>
        <w:rPr/>
        <w:t>Make copies. After you sign your documents, make copies as follows:</w:t>
      </w:r>
    </w:p>
    <w:p>
      <w:pPr>
        <w:pStyle w:val="ListParagraph"/>
        <w:widowControl/>
        <w:numPr>
          <w:ilvl w:val="1"/>
          <w:numId w:val="1"/>
        </w:numPr>
        <w:suppressAutoHyphens w:val="true"/>
        <w:bidi w:val="0"/>
        <w:snapToGrid w:val="false"/>
        <w:spacing w:before="0" w:after="80"/>
        <w:ind w:left="360" w:right="0" w:hanging="360"/>
        <w:contextualSpacing/>
        <w:jc w:val="left"/>
        <w:rPr/>
      </w:pPr>
      <w:r>
        <w:rPr/>
        <w:t xml:space="preserve">Fee Waiver Request (if needed) – </w:t>
      </w:r>
      <w:r>
        <w:rPr>
          <w:b/>
          <w:bCs/>
        </w:rPr>
        <w:t>3 copies</w:t>
      </w:r>
    </w:p>
    <w:p>
      <w:pPr>
        <w:pStyle w:val="ListParagraph"/>
        <w:widowControl/>
        <w:numPr>
          <w:ilvl w:val="1"/>
          <w:numId w:val="1"/>
        </w:numPr>
        <w:suppressAutoHyphens w:val="true"/>
        <w:bidi w:val="0"/>
        <w:snapToGrid w:val="false"/>
        <w:spacing w:before="0" w:after="80"/>
        <w:ind w:left="360" w:right="0" w:hanging="360"/>
        <w:contextualSpacing/>
        <w:jc w:val="left"/>
        <w:rPr/>
      </w:pPr>
      <w:r>
        <w:rPr/>
        <w:t xml:space="preserve">Motion Regarding Support and any attachments – </w:t>
      </w:r>
      <w:r>
        <w:rPr>
          <w:b/>
          <w:bCs/>
        </w:rPr>
        <w:t>5 copies</w:t>
      </w:r>
      <w:r>
        <w:rPr/>
        <w:br/>
        <w:br/>
        <w:t>In some counties the court clerk’s office will make the copies for you. You can call the clerk’s office ahead of time to ask whether you need to make your own copies. If you are filing either by e-mail or using MiFILE, you will not need to make copies.</w:t>
        <w:br/>
      </w:r>
    </w:p>
    <w:p>
      <w:pPr>
        <w:pStyle w:val="ListParagraph"/>
        <w:widowControl/>
        <w:numPr>
          <w:ilvl w:val="0"/>
          <w:numId w:val="1"/>
        </w:numPr>
        <w:suppressAutoHyphens w:val="true"/>
        <w:bidi w:val="0"/>
        <w:snapToGrid w:val="false"/>
        <w:spacing w:before="0" w:after="80"/>
        <w:ind w:left="360" w:right="0" w:hanging="360"/>
        <w:contextualSpacing/>
        <w:jc w:val="left"/>
        <w:rPr/>
      </w:pPr>
      <w:r>
        <w:rPr/>
        <w:t xml:space="preserve">File your motion with filing fee. Please note that completing the documents on Michigan Legal Help or LawHelp Interactive does not file anything with the court. Contact your court to find out which filing methods are available. Depending on your court, you may be able to file electronically. To learn more about filing methods that may be available, read Step 1. File your Motion Regarding Support with the court. If you are filing in person or need contact information for the court, click on </w:t>
      </w:r>
      <w:hyperlink r:id="rId11">
        <w:r>
          <w:rPr>
            <w:rStyle w:val="InternetLink"/>
          </w:rPr>
          <w:t>Courts &amp; Agencies</w:t>
        </w:r>
      </w:hyperlink>
      <w:r>
        <w:rPr/>
        <w:t xml:space="preserve"> for the address and phone number of the court. Pay the filing fee or file a Fee Waiver Request along with the Motion Regarding Support. If you are filing in person at the court clerk's office, give the clerk all of the copies of your papers. The clerk will return any copies that the court doesn’t need.</w:t>
        <w:br/>
      </w:r>
    </w:p>
    <w:p>
      <w:pPr>
        <w:pStyle w:val="ListParagraph"/>
        <w:widowControl/>
        <w:numPr>
          <w:ilvl w:val="0"/>
          <w:numId w:val="1"/>
        </w:numPr>
        <w:suppressAutoHyphens w:val="true"/>
        <w:bidi w:val="0"/>
        <w:snapToGrid w:val="false"/>
        <w:spacing w:before="0" w:after="80"/>
        <w:ind w:left="360" w:right="0" w:hanging="360"/>
        <w:contextualSpacing/>
        <w:jc w:val="left"/>
        <w:rPr/>
      </w:pPr>
      <w:r>
        <w:rPr/>
        <w:t>Serve the papers on the other party. You must serve (send) the other party a copy of each paper you file. If the other party has a lawyer, send the papers to the lawyer instead. This includes one copy of each of the following forms, along with any attachments that you filed: the Motion Regarding Support, and the Fee Waiver Request and the decision on your request (if you filed a Fee Waiver Request).</w:t>
        <w:br/>
        <w:b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 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br/>
        <w:br/>
      </w:r>
      <w:hyperlink r:id="rId12">
        <w:r>
          <w:rPr>
            <w:rStyle w:val="InternetLink"/>
          </w:rPr>
          <w:t>MiFILE</w:t>
        </w:r>
      </w:hyperlink>
      <w:r>
        <w:rPr/>
        <w:t xml:space="preserve"> is only available for some courts. Even in courts where it is available, you can only use it for some case types. The State Court Administrative Office keeps a </w:t>
      </w:r>
      <w:hyperlink r:id="rId13">
        <w:r>
          <w:rPr>
            <w:rStyle w:val="InternetLink"/>
          </w:rPr>
          <w:t>chart of courts that use e-filing</w:t>
        </w:r>
      </w:hyperlink>
      <w:r>
        <w:rPr/>
        <w:t xml:space="preserve">. To learn more, read </w:t>
      </w:r>
      <w:hyperlink r:id="rId14">
        <w:r>
          <w:rPr>
            <w:rStyle w:val="InternetLink"/>
          </w:rPr>
          <w:t>What Is E-Filing?</w:t>
        </w:r>
      </w:hyperlink>
      <w:r>
        <w:rPr/>
        <w:t>.</w:t>
        <w:br/>
        <w:br/>
        <w:t xml:space="preserve">Service must be completed at least </w:t>
      </w:r>
      <w:r>
        <w:rPr>
          <w:b/>
          <w:bCs/>
        </w:rPr>
        <w:t>9 days</w:t>
      </w:r>
      <w:r>
        <w:rPr/>
        <w:t xml:space="preserve"> before the hearing date if you mail it or at least </w:t>
      </w:r>
      <w:r>
        <w:rPr>
          <w:b/>
          <w:bCs/>
        </w:rPr>
        <w:t>7 days</w:t>
      </w:r>
      <w:r>
        <w:rPr/>
        <w:t xml:space="preserve"> before the hearing date if it is personally delivered or served through MiFILE. If you are serving through e-mail, the court rule is not clear about the timeline. To be on the safe side, complete service at least 9 days before the hearing date. </w:t>
        <w:br/>
        <w:br/>
        <w:t>If you are serving documents by e-mail, keep the following rules in mind:</w:t>
        <w:br/>
      </w:r>
    </w:p>
    <w:p>
      <w:pPr>
        <w:pStyle w:val="ListParagraph"/>
        <w:widowControl/>
        <w:numPr>
          <w:ilvl w:val="1"/>
          <w:numId w:val="1"/>
        </w:numPr>
        <w:suppressAutoHyphens w:val="true"/>
        <w:bidi w:val="0"/>
        <w:snapToGrid w:val="false"/>
        <w:spacing w:before="0" w:after="80"/>
        <w:ind w:left="360" w:right="0" w:hanging="360"/>
        <w:contextualSpacing/>
        <w:jc w:val="left"/>
        <w:rPr/>
      </w:pPr>
      <w:r>
        <w:rPr/>
        <w:t>All documents must be in PDF format;</w:t>
      </w:r>
    </w:p>
    <w:p>
      <w:pPr>
        <w:pStyle w:val="ListParagraph"/>
        <w:widowControl/>
        <w:numPr>
          <w:ilvl w:val="1"/>
          <w:numId w:val="1"/>
        </w:numPr>
        <w:suppressAutoHyphens w:val="true"/>
        <w:bidi w:val="0"/>
        <w:snapToGrid w:val="false"/>
        <w:spacing w:before="0" w:after="80"/>
        <w:ind w:left="360" w:right="0" w:hanging="360"/>
        <w:contextualSpacing/>
        <w:jc w:val="left"/>
        <w:rPr/>
      </w:pPr>
      <w:r>
        <w:rPr/>
        <w:t>The e-mail subject line must include the name of the court, case name, case number, and the title of each document being sent;</w:t>
      </w:r>
    </w:p>
    <w:p>
      <w:pPr>
        <w:pStyle w:val="ListParagraph"/>
        <w:widowControl/>
        <w:numPr>
          <w:ilvl w:val="1"/>
          <w:numId w:val="1"/>
        </w:numPr>
        <w:suppressAutoHyphens w:val="true"/>
        <w:bidi w:val="0"/>
        <w:snapToGrid w:val="false"/>
        <w:spacing w:before="0" w:after="80"/>
        <w:ind w:left="360" w:right="0" w:hanging="360"/>
        <w:contextualSpacing/>
        <w:jc w:val="left"/>
        <w:rPr/>
      </w:pPr>
      <w:r>
        <w:rPr/>
        <w:t>If you e-mail a document at or before 11:59 p.m., it is considered served on that day. If you send the e-mail on a Saturday, Sunday, or legal holiday, it is considered served on the next business day;</w:t>
      </w:r>
    </w:p>
    <w:p>
      <w:pPr>
        <w:pStyle w:val="ListParagraph"/>
        <w:widowControl/>
        <w:numPr>
          <w:ilvl w:val="1"/>
          <w:numId w:val="1"/>
        </w:numPr>
        <w:suppressAutoHyphens w:val="true"/>
        <w:bidi w:val="0"/>
        <w:snapToGrid w:val="false"/>
        <w:spacing w:before="0" w:after="80"/>
        <w:ind w:left="360" w:right="0" w:hanging="360"/>
        <w:contextualSpacing/>
        <w:jc w:val="left"/>
        <w:rPr/>
      </w:pPr>
      <w:r>
        <w:rPr/>
        <w:t>Do not delete any e-mails you send to the other party, especially e-mails that served court documents. You must keep a record of sent items until a judgment or final order is entered and all appeals have been completed.</w:t>
      </w:r>
    </w:p>
    <w:p>
      <w:pPr>
        <w:pStyle w:val="NumberedList"/>
        <w:numPr>
          <w:ilvl w:val="0"/>
          <w:numId w:val="1"/>
        </w:numPr>
        <w:rPr/>
      </w:pPr>
      <w:r>
        <w:rPr/>
        <w:t xml:space="preserve">File the Certificate of Mailing. Complete the Certificate of Mailing on one copy of the Motion Regarding Support if you will be filing it electronically. If you will be filing in person or by mail, complete the Certificate of Mailing on all three remaining copies of your motion. File two copies, and keep one copy for your records. 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w:t>
      </w:r>
      <w:hyperlink r:id="rId15">
        <w:r>
          <w:rPr>
            <w:rStyle w:val="InternetLink"/>
          </w:rPr>
          <w:t>emailaddress@email.com</w:t>
        </w:r>
      </w:hyperlink>
      <w:r>
        <w:rPr/>
        <w:t xml:space="preserve">.” </w:t>
      </w:r>
      <w:r>
        <w:rPr>
          <w:b/>
          <w:bCs/>
        </w:rPr>
        <w:t xml:space="preserve">If you served the other party using MiFILE, you will not need to file a Certificate of Mailing. MiFILE will create and file a Proof of Service for you. </w:t>
      </w:r>
    </w:p>
    <w:p>
      <w:pPr>
        <w:pStyle w:val="Heading2"/>
        <w:rPr/>
      </w:pPr>
      <w:r>
        <w:rPr/>
        <w:t>How should I prepare for the hearing?</w:t>
      </w:r>
    </w:p>
    <w:p>
      <w:pPr>
        <w:pStyle w:val="Normal"/>
        <w:rPr/>
      </w:pPr>
      <w:r>
        <w:rPr/>
      </w:r>
    </w:p>
    <w:p>
      <w:pPr>
        <w:pStyle w:val="ListParagraph"/>
        <w:widowControl/>
        <w:suppressAutoHyphens w:val="true"/>
        <w:bidi w:val="0"/>
        <w:snapToGrid w:val="false"/>
        <w:spacing w:before="0" w:after="80"/>
        <w:ind w:left="0" w:right="0" w:hanging="0"/>
        <w:contextualSpacing/>
        <w:jc w:val="left"/>
        <w:rPr/>
      </w:pPr>
      <w:r>
        <w:rPr/>
        <w:t>The other party has the right to file a response to your Motion Regarding Support. If a response is filed, make sure you read it before you attend the hearing so you know what arguments the other party is likely to make in court.</w:t>
        <w:br/>
        <w:br/>
        <w:t xml:space="preserve">When you used the </w:t>
      </w:r>
      <w:hyperlink r:id="rId16">
        <w:r>
          <w:rPr>
            <w:rStyle w:val="InternetLink"/>
          </w:rPr>
          <w:t>Do-It-Yourself Motion to Change or Get Child Support tool</w:t>
        </w:r>
      </w:hyperlink>
      <w:r>
        <w:rPr/>
        <w:t xml:space="preserve">,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amount.In general, Michigan law requires judges to order child support calculated using the Michigan Child Support Formula. You can calculate the Formula amount using the </w:t>
      </w:r>
      <w:hyperlink r:id="rId17">
        <w:r>
          <w:rPr>
            <w:rStyle w:val="InternetLink"/>
          </w:rPr>
          <w:t>MiChildSupport Calculator</w:t>
        </w:r>
      </w:hyperlink>
      <w:r>
        <w:rPr/>
        <w:t>.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w:t>
        <w:br/>
        <w:b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18">
        <w:r>
          <w:rPr>
            <w:rStyle w:val="InternetLink"/>
          </w:rPr>
          <w:t>Guide to Legal Help</w:t>
        </w:r>
      </w:hyperlink>
      <w:r>
        <w:rPr/>
        <w:t xml:space="preserve"> to find a lawyer.</w:t>
      </w:r>
    </w:p>
    <w:p>
      <w:pPr>
        <w:pStyle w:val="Heading2"/>
        <w:rPr/>
      </w:pPr>
      <w:r>
        <w:rPr/>
        <w:t>What happens in the hearing?</w:t>
      </w:r>
    </w:p>
    <w:p>
      <w:pPr>
        <w:pStyle w:val="ListParagraph"/>
        <w:widowControl/>
        <w:numPr>
          <w:ilvl w:val="0"/>
          <w:numId w:val="0"/>
        </w:numPr>
        <w:suppressAutoHyphens w:val="true"/>
        <w:bidi w:val="0"/>
        <w:snapToGrid w:val="false"/>
        <w:spacing w:before="0" w:after="80"/>
        <w:ind w:left="720" w:right="0" w:hanging="0"/>
        <w:contextualSpacing/>
        <w:jc w:val="left"/>
        <w:rPr/>
      </w:pPr>
      <w:r>
        <w:rPr/>
        <w:t xml:space="preserve">For more detailed instructions about going to </w:t>
      </w:r>
      <w:r>
        <w:rPr/>
        <w:t xml:space="preserve">the </w:t>
      </w:r>
      <w:r>
        <w:rPr/>
        <w:t xml:space="preserve">court </w:t>
      </w:r>
      <w:hyperlink r:id="rId19">
        <w:r>
          <w:rPr>
            <w:rStyle w:val="InternetLink"/>
          </w:rPr>
          <w:t>hearing</w:t>
        </w:r>
      </w:hyperlink>
      <w:r>
        <w:rPr/>
        <w:t xml:space="preserve">, read </w:t>
      </w:r>
      <w:hyperlink r:id="rId20">
        <w:r>
          <w:rPr>
            <w:rStyle w:val="InternetLink"/>
          </w:rPr>
          <w:t>What to Expect When You Go to Court</w:t>
        </w:r>
      </w:hyperlink>
      <w:r>
        <w:rPr/>
        <w:t>. 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br/>
      </w:r>
      <w:r>
        <w:rPr>
          <w:b/>
          <w:bCs/>
        </w:rPr>
        <w:t>Bring to your court hearing an original plus two copies of any document you wish the court to consider when making a decision in your case.</w:t>
      </w:r>
      <w:r>
        <w:rPr/>
        <w:br/>
        <w:br/>
        <w:t>Bring the Uniform Child Support Order and two copies. Also bring the Deviation Addendum and two copies if you are asking for a support amount that deviates from the Michigan Child Support Formula.</w:t>
        <w:br/>
        <w:br/>
        <w:t>When you are called, go to the place you are directed. Be prepared to state:</w:t>
      </w:r>
    </w:p>
    <w:p>
      <w:pPr>
        <w:pStyle w:val="ListParagraph"/>
        <w:widowControl/>
        <w:numPr>
          <w:ilvl w:val="1"/>
          <w:numId w:val="5"/>
        </w:numPr>
        <w:suppressAutoHyphens w:val="true"/>
        <w:bidi w:val="0"/>
        <w:snapToGrid w:val="false"/>
        <w:spacing w:before="0" w:after="80"/>
        <w:ind w:left="360" w:right="0" w:hanging="360"/>
        <w:contextualSpacing/>
        <w:jc w:val="left"/>
        <w:rPr/>
      </w:pPr>
      <w:r>
        <w:rPr/>
        <w:t>Your name</w:t>
      </w:r>
    </w:p>
    <w:p>
      <w:pPr>
        <w:pStyle w:val="ListParagraph"/>
        <w:widowControl/>
        <w:numPr>
          <w:ilvl w:val="1"/>
          <w:numId w:val="2"/>
        </w:numPr>
        <w:suppressAutoHyphens w:val="true"/>
        <w:bidi w:val="0"/>
        <w:snapToGrid w:val="false"/>
        <w:spacing w:before="0" w:after="80"/>
        <w:ind w:left="360" w:right="0" w:hanging="360"/>
        <w:contextualSpacing/>
        <w:jc w:val="left"/>
        <w:rPr/>
      </w:pPr>
      <w:r>
        <w:rPr/>
        <w:t>That you are representing yourself</w:t>
      </w:r>
    </w:p>
    <w:p>
      <w:pPr>
        <w:pStyle w:val="ListParagraph"/>
        <w:widowControl/>
        <w:numPr>
          <w:ilvl w:val="1"/>
          <w:numId w:val="2"/>
        </w:numPr>
        <w:suppressAutoHyphens w:val="true"/>
        <w:bidi w:val="0"/>
        <w:snapToGrid w:val="false"/>
        <w:spacing w:before="0" w:after="80"/>
        <w:ind w:left="360" w:right="0" w:hanging="360"/>
        <w:contextualSpacing/>
        <w:jc w:val="left"/>
        <w:rPr/>
      </w:pPr>
      <w:r>
        <w:rPr/>
        <w:t>That you need a child support order or a change in a child support order</w:t>
      </w:r>
    </w:p>
    <w:p>
      <w:pPr>
        <w:pStyle w:val="ListParagraph"/>
        <w:widowControl/>
        <w:numPr>
          <w:ilvl w:val="1"/>
          <w:numId w:val="2"/>
        </w:numPr>
        <w:suppressAutoHyphens w:val="true"/>
        <w:bidi w:val="0"/>
        <w:snapToGrid w:val="false"/>
        <w:spacing w:before="0" w:after="80"/>
        <w:ind w:left="360" w:right="0" w:hanging="360"/>
        <w:contextualSpacing/>
        <w:jc w:val="left"/>
        <w:rPr/>
      </w:pPr>
      <w:r>
        <w:rPr/>
        <w:t>The facts or reasons for your request (bring papers showing your income, such as pay stubs, W-2 forms, income tax forms, child care expenses, health care expenses, etc.)</w:t>
      </w:r>
    </w:p>
    <w:p>
      <w:pPr>
        <w:pStyle w:val="ListParagraph"/>
        <w:widowControl/>
        <w:numPr>
          <w:ilvl w:val="1"/>
          <w:numId w:val="2"/>
        </w:numPr>
        <w:suppressAutoHyphens w:val="true"/>
        <w:bidi w:val="0"/>
        <w:snapToGrid w:val="false"/>
        <w:spacing w:before="0" w:after="80"/>
        <w:ind w:left="360" w:right="0" w:hanging="360"/>
        <w:contextualSpacing/>
        <w:jc w:val="left"/>
        <w:rPr/>
      </w:pPr>
      <w:r>
        <w:rPr/>
        <w:t>Whether you have witnesses in court who are willing to testify</w:t>
      </w:r>
    </w:p>
    <w:p>
      <w:pPr>
        <w:pStyle w:val="ListParagraph"/>
        <w:widowControl/>
        <w:numPr>
          <w:ilvl w:val="0"/>
          <w:numId w:val="0"/>
        </w:numPr>
        <w:suppressAutoHyphens w:val="true"/>
        <w:bidi w:val="0"/>
        <w:snapToGrid w:val="false"/>
        <w:spacing w:before="0" w:after="80"/>
        <w:ind w:left="1080" w:right="0" w:hanging="0"/>
        <w:contextualSpacing/>
        <w:jc w:val="left"/>
        <w:rPr/>
      </w:pPr>
      <w:r>
        <w:rPr/>
      </w:r>
    </w:p>
    <w:p>
      <w:pPr>
        <w:pStyle w:val="ListParagraph"/>
        <w:widowControl/>
        <w:numPr>
          <w:ilvl w:val="0"/>
          <w:numId w:val="0"/>
        </w:numPr>
        <w:suppressAutoHyphens w:val="true"/>
        <w:bidi w:val="0"/>
        <w:snapToGrid w:val="false"/>
        <w:spacing w:before="0" w:after="80"/>
        <w:ind w:left="1080" w:right="0" w:hanging="0"/>
        <w:contextualSpacing/>
        <w:jc w:val="left"/>
        <w:rPr/>
      </w:pPr>
      <w:r>
        <w:rPr/>
        <w:t>Clearly and directly answer any questions the judge or referee has. If the judge or referee wants to hear from your witnesses, ask them to say what they know about the situation. If the other party is in court, they will also have a chance to speak. When the other party talks, take notes. Do not interrupt. After the other party speaks, you will have another chance to talk. Taking notes will help you with this.</w:t>
      </w:r>
    </w:p>
    <w:p>
      <w:pPr>
        <w:pStyle w:val="Heading2"/>
        <w:rPr/>
      </w:pPr>
      <w:bookmarkStart w:id="1" w:name="_7jbtnvplu76"/>
      <w:bookmarkEnd w:id="1"/>
      <w:r>
        <w:rPr/>
        <w:t>What can the judge do?</w:t>
      </w:r>
    </w:p>
    <w:p>
      <w:pPr>
        <w:pStyle w:val="Normal"/>
        <w:widowControl/>
        <w:numPr>
          <w:ilvl w:val="0"/>
          <w:numId w:val="0"/>
        </w:numPr>
        <w:suppressAutoHyphens w:val="true"/>
        <w:bidi w:val="0"/>
        <w:snapToGrid w:val="false"/>
        <w:spacing w:before="0" w:after="80"/>
        <w:ind w:left="1080" w:right="0" w:hanging="0"/>
        <w:contextualSpacing/>
        <w:jc w:val="left"/>
        <w:rPr/>
      </w:pPr>
      <w:r>
        <w:rPr/>
        <w:t>Your case may have one of the following outcomes:</w:t>
      </w:r>
    </w:p>
    <w:p>
      <w:pPr>
        <w:pStyle w:val="ListParagraph"/>
        <w:widowControl/>
        <w:numPr>
          <w:ilvl w:val="1"/>
          <w:numId w:val="6"/>
        </w:numPr>
        <w:suppressAutoHyphens w:val="true"/>
        <w:bidi w:val="0"/>
        <w:snapToGrid w:val="false"/>
        <w:spacing w:before="0" w:after="80"/>
        <w:ind w:left="360" w:right="0" w:hanging="360"/>
        <w:contextualSpacing/>
        <w:jc w:val="left"/>
        <w:rPr/>
      </w:pPr>
      <w:r>
        <w:rPr/>
        <w:t>The judge may award child support or change the support amount to the amount you requested;</w:t>
      </w:r>
    </w:p>
    <w:p>
      <w:pPr>
        <w:pStyle w:val="ListParagraph"/>
        <w:widowControl/>
        <w:numPr>
          <w:ilvl w:val="1"/>
          <w:numId w:val="2"/>
        </w:numPr>
        <w:suppressAutoHyphens w:val="true"/>
        <w:bidi w:val="0"/>
        <w:snapToGrid w:val="false"/>
        <w:spacing w:before="0" w:after="80"/>
        <w:ind w:left="360" w:right="0" w:hanging="360"/>
        <w:contextualSpacing/>
        <w:jc w:val="left"/>
        <w:rPr/>
      </w:pPr>
      <w:r>
        <w:rPr/>
        <w:t>The judge may award child support or change the support amount, but order a different amount than you requested;</w:t>
      </w:r>
    </w:p>
    <w:p>
      <w:pPr>
        <w:pStyle w:val="ListParagraph"/>
        <w:widowControl/>
        <w:numPr>
          <w:ilvl w:val="1"/>
          <w:numId w:val="2"/>
        </w:numPr>
        <w:suppressAutoHyphens w:val="true"/>
        <w:bidi w:val="0"/>
        <w:snapToGrid w:val="false"/>
        <w:spacing w:before="0" w:after="80"/>
        <w:ind w:left="360" w:right="0" w:hanging="360"/>
        <w:contextualSpacing/>
        <w:jc w:val="left"/>
        <w:rPr/>
      </w:pPr>
      <w:r>
        <w:rPr/>
        <w:t>The judge could deny your motion, and the existing support order could stay in place.</w:t>
        <w:br/>
        <w:b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1">
        <w:r>
          <w:rPr>
            <w:rStyle w:val="InternetLink"/>
          </w:rPr>
          <w:t>serve</w:t>
        </w:r>
      </w:hyperlink>
      <w:r>
        <w:rPr/>
        <w:t xml:space="preserve"> them with a copy of the order in the courtroom, or you can give them the order.</w:t>
        <w:br/>
        <w:br/>
        <w:t xml:space="preserve">The judge may not make a decision at the hearing. Instead, the judge might refer the motion to the </w:t>
      </w:r>
      <w:hyperlink r:id="rId22">
        <w:r>
          <w:rPr>
            <w:rStyle w:val="InternetLink"/>
          </w:rPr>
          <w:t>Friend of the Court (FOC)</w:t>
        </w:r>
      </w:hyperlink>
      <w:r>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pPr>
        <w:pStyle w:val="Heading2"/>
        <w:rPr/>
      </w:pPr>
      <w:r>
        <w:rPr/>
        <w:t>What happens if the judge makes the order?</w:t>
      </w:r>
    </w:p>
    <w:p>
      <w:pPr>
        <w:pStyle w:val="ListParagraph"/>
        <w:widowControl/>
        <w:numPr>
          <w:ilvl w:val="0"/>
          <w:numId w:val="7"/>
        </w:numPr>
        <w:suppressAutoHyphens w:val="true"/>
        <w:bidi w:val="0"/>
        <w:snapToGrid w:val="false"/>
        <w:spacing w:before="0" w:after="80"/>
        <w:ind w:left="360" w:right="0" w:hanging="360"/>
        <w:contextualSpacing/>
        <w:jc w:val="left"/>
        <w:rPr/>
      </w:pPr>
      <w:r>
        <w:rPr/>
        <w:t>File the signed Uniform Child Support Order. Make five copies of the signed order. File the original and one copy with the clerk. The clerk will return the other copies to you. If there is a Deviation Addendum in your case, make three copies of it. File the original and one copy with the clerk. The second copy is to serve on the other party, and the third copy is for your own records.</w:t>
        <w:br/>
        <w:br/>
        <w:t>If you are filing either by e-mail or using MiFILE, you will not need to make copies.</w:t>
      </w:r>
    </w:p>
    <w:p>
      <w:pPr>
        <w:pStyle w:val="ListParagraph"/>
        <w:widowControl/>
        <w:numPr>
          <w:ilvl w:val="0"/>
          <w:numId w:val="0"/>
        </w:numPr>
        <w:suppressAutoHyphens w:val="true"/>
        <w:bidi w:val="0"/>
        <w:snapToGrid w:val="false"/>
        <w:spacing w:before="0" w:after="80"/>
        <w:ind w:left="720" w:right="0" w:hanging="0"/>
        <w:contextualSpacing/>
        <w:jc w:val="left"/>
        <w:rPr/>
      </w:pPr>
      <w:r>
        <w:rPr/>
      </w:r>
    </w:p>
    <w:p>
      <w:pPr>
        <w:pStyle w:val="ListParagraph"/>
        <w:widowControl/>
        <w:numPr>
          <w:ilvl w:val="0"/>
          <w:numId w:val="2"/>
        </w:numPr>
        <w:suppressAutoHyphens w:val="true"/>
        <w:bidi w:val="0"/>
        <w:snapToGrid w:val="false"/>
        <w:spacing w:before="0" w:after="80"/>
        <w:ind w:left="360" w:right="0" w:hanging="360"/>
        <w:contextualSpacing/>
        <w:jc w:val="left"/>
        <w:rPr/>
      </w:pPr>
      <w:r>
        <w:rPr/>
        <w:t>Serve the signed Uniform Child Support Order on the other party. 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MiFILE, you can serve the other party through MiFILE at that time.</w:t>
      </w:r>
    </w:p>
    <w:p>
      <w:pPr>
        <w:pStyle w:val="ListParagraph"/>
        <w:widowControl/>
        <w:numPr>
          <w:ilvl w:val="0"/>
          <w:numId w:val="0"/>
        </w:numPr>
        <w:suppressAutoHyphens w:val="true"/>
        <w:bidi w:val="0"/>
        <w:snapToGrid w:val="false"/>
        <w:spacing w:before="0" w:after="80"/>
        <w:ind w:left="720" w:right="0" w:hanging="0"/>
        <w:contextualSpacing/>
        <w:jc w:val="left"/>
        <w:rPr/>
      </w:pPr>
      <w:r>
        <w:rPr/>
      </w:r>
    </w:p>
    <w:p>
      <w:pPr>
        <w:pStyle w:val="ListParagraph"/>
        <w:widowControl/>
        <w:numPr>
          <w:ilvl w:val="0"/>
          <w:numId w:val="2"/>
        </w:numPr>
        <w:suppressAutoHyphens w:val="true"/>
        <w:bidi w:val="0"/>
        <w:snapToGrid w:val="false"/>
        <w:spacing w:before="0" w:after="80"/>
        <w:ind w:left="360" w:right="0" w:hanging="360"/>
        <w:contextualSpacing/>
        <w:jc w:val="left"/>
        <w:rPr/>
      </w:pPr>
      <w:r>
        <w:rPr/>
        <w:t>Complete and file a Certificate of Mailing. 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br/>
        <w:b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w:t>
      </w:r>
      <w:hyperlink r:id="rId23">
        <w:r>
          <w:rPr>
            <w:rStyle w:val="InternetLink"/>
          </w:rPr>
          <w:t>emailaddress@email.com</w:t>
        </w:r>
      </w:hyperlink>
      <w:r>
        <w:rPr/>
        <w:t>.”</w:t>
        <w:br/>
        <w:br/>
      </w:r>
      <w:r>
        <w:rPr>
          <w:b/>
          <w:bCs/>
        </w:rPr>
        <w:t>If you served the other party using MiFILE, you will not need to file a Certificate of Mailing. MiFILE will create and file a Proof of Service for you.</w:t>
      </w:r>
    </w:p>
    <w:p>
      <w:pPr>
        <w:sectPr>
          <w:type w:val="continuous"/>
          <w:pgSz w:w="12240" w:h="15840"/>
          <w:pgMar w:left="720" w:right="720" w:header="0" w:top="720" w:footer="0" w:bottom="57" w:gutter="0"/>
          <w:cols w:num="2" w:space="720" w:equalWidth="true" w:sep="false"/>
          <w:formProt w:val="false"/>
          <w:textDirection w:val="lrTb"/>
          <w:docGrid w:type="default" w:linePitch="326" w:charSpace="16384"/>
        </w:sectPr>
      </w:pPr>
    </w:p>
    <w:p>
      <w:pPr>
        <w:pStyle w:val="Normal"/>
        <w:rPr/>
      </w:pPr>
      <w:r>
        <w:rPr/>
      </w:r>
      <w:bookmarkStart w:id="2" w:name="_jpvqkqfibwqh"/>
      <w:bookmarkStart w:id="3" w:name="_wjzvjugefec1"/>
      <w:bookmarkStart w:id="4" w:name="_jpvqkqfibwqh"/>
      <w:bookmarkStart w:id="5" w:name="_wjzvjugefec1"/>
      <w:bookmarkEnd w:id="4"/>
      <w:bookmarkEnd w:id="5"/>
    </w:p>
    <w:p>
      <w:pPr>
        <w:pStyle w:val="Normal"/>
        <w:rPr/>
      </w:pPr>
      <w:r>
        <w:rPr/>
      </w:r>
    </w:p>
    <w:p>
      <w:pPr>
        <w:sectPr>
          <w:type w:val="continuous"/>
          <w:pgSz w:w="12240" w:h="15840"/>
          <w:pgMar w:left="720" w:right="720" w:header="0" w:top="720" w:footer="0" w:bottom="0" w:gutter="0"/>
          <w:cols w:num="2" w:space="720" w:equalWidth="true" w:sep="false"/>
          <w:formProt w:val="false"/>
          <w:textDirection w:val="lrTb"/>
          <w:docGrid w:type="default" w:linePitch="326" w:charSpace="16384"/>
        </w:sectPr>
      </w:pPr>
    </w:p>
    <w:p>
      <w:pPr>
        <w:pStyle w:val="Normal"/>
        <w:rPr/>
      </w:pPr>
      <w:r>
        <w:rPr/>
      </w:r>
    </w:p>
    <w:p>
      <w:pPr>
        <w:pStyle w:val="Normal"/>
        <w:rPr/>
      </w:pPr>
      <w:r>
        <w:rPr/>
      </w:r>
    </w:p>
    <w:p>
      <w:pPr>
        <w:pStyle w:val="Normal"/>
        <w:widowControl/>
        <w:suppressAutoHyphens w:val="true"/>
        <w:bidi w:val="0"/>
        <w:spacing w:before="0" w:after="80"/>
        <w:jc w:val="left"/>
        <w:rPr/>
      </w:pPr>
      <w:r>
        <w:rPr/>
      </w:r>
    </w:p>
    <w:sectPr>
      <w:type w:val="continuous"/>
      <w:pgSz w:w="12240" w:h="15840"/>
      <w:pgMar w:left="720" w:right="720" w:header="0" w:top="720" w:footer="0" w:bottom="0" w:gutter="0"/>
      <w:formProt w:val="false"/>
      <w:textDirection w:val="lrTb"/>
      <w:docGrid w:type="default" w:linePitch="326"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mc:AlternateContent>
        <mc:Choice Requires="wps">
          <w:drawing>
            <wp:inline distT="0" distB="19050" distL="0" distR="22225" wp14:anchorId="5DBD02C4">
              <wp:extent cx="6856095" cy="763270"/>
              <wp:effectExtent l="0" t="0" r="22225" b="19050"/>
              <wp:docPr id="1" name="Shape1"/>
              <a:graphic xmlns:a="http://schemas.openxmlformats.org/drawingml/2006/main">
                <a:graphicData uri="http://schemas.microsoft.com/office/word/2010/wordprocessingShape">
                  <wps:wsp>
                    <wps:cNvSpPr/>
                    <wps:spPr>
                      <a:xfrm>
                        <a:off x="0" y="0"/>
                        <a:ext cx="6855480" cy="7624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80"/>
                            <w:rPr/>
                          </w:pPr>
                          <w:r>
                            <w:rPr>
                              <w:color w:val="000000" w:themeColor="text1"/>
                            </w:rPr>
                            <w:t xml:space="preserve">Find out more about what to do : </w:t>
                          </w:r>
                        </w:p>
                      </w:txbxContent>
                    </wps:txbx>
                    <wps:bodyPr lIns="182880" rIns="182880" tIns="182880" bIns="182880" anchor="ctr">
                      <a:noAutofit/>
                    </wps:bodyPr>
                  </wps:wsp>
                </a:graphicData>
              </a:graphic>
            </wp:inline>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1">
      <w:startOverride w:val="1"/>
    </w:lvlOverride>
  </w:num>
  <w:num w:numId="6">
    <w:abstractNumId w:val="2"/>
    <w:lvlOverride w:ilvl="0">
      <w:lvl w:ilvl="0">
        <w:start w:val="1"/>
        <w:numFmt w:val="decimal"/>
        <w:lvlText w:val="%1."/>
        <w:lvlJc w:val="left"/>
        <w:pPr>
          <w:tabs>
            <w:tab w:val="num" w:pos="720"/>
          </w:tabs>
          <w:ind w:left="720" w:hanging="360"/>
        </w:pPr>
      </w:lvl>
    </w:lvlOverride>
    <w:lvlOverride w:ilvl="1">
      <w:startOverride w:val="1"/>
    </w:lvlOverride>
  </w:num>
  <w:num w:numId="7">
    <w:abstractNumId w:val="2"/>
    <w:lvlOverride w:ilvl="0">
      <w:startOverride w:val="1"/>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suppressAutoHyphens w:val="true"/>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Calibri" w:hAnsi="Calibri" w:cs="Lucida Sans"/>
    </w:rPr>
  </w:style>
  <w:style w:type="paragraph" w:styleId="Caption1">
    <w:name w:val="caption"/>
    <w:basedOn w:val="Normal"/>
    <w:next w:val="Normal"/>
    <w:uiPriority w:val="35"/>
    <w:semiHidden/>
    <w:unhideWhenUsed/>
    <w:qFormat/>
    <w:rsid w:val="00957d00"/>
    <w:pPr/>
    <w:rPr>
      <w:b/>
      <w:bCs/>
      <w:sz w:val="18"/>
      <w:szCs w:val="18"/>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suppressAutoHyphens w:val="true"/>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michiganlegalhelp.org/node/760" TargetMode="External"/><Relationship Id="rId4" Type="http://schemas.openxmlformats.org/officeDocument/2006/relationships/hyperlink" Target="https://michiganlegalhelp.org/node/217" TargetMode="External"/><Relationship Id="rId5" Type="http://schemas.openxmlformats.org/officeDocument/2006/relationships/hyperlink" Target="https://mifile.courts.michigan.gov/" TargetMode="External"/><Relationship Id="rId6" Type="http://schemas.openxmlformats.org/officeDocument/2006/relationships/hyperlink" Target="https://www.courts.michigan.gov/siteassets/mifile/mifilecourtlist.pdf" TargetMode="External"/><Relationship Id="rId7" Type="http://schemas.openxmlformats.org/officeDocument/2006/relationships/hyperlink" Target="https://michiganlegalhelp.org/node/11056" TargetMode="External"/><Relationship Id="rId8" Type="http://schemas.openxmlformats.org/officeDocument/2006/relationships/hyperlink" Target="https://michiganlegalhelp.org/taxonomy/term/172" TargetMode="External"/><Relationship Id="rId9" Type="http://schemas.openxmlformats.org/officeDocument/2006/relationships/hyperlink" Target="https://michiganlegalhelp.org/node/2149" TargetMode="External"/><Relationship Id="rId10" Type="http://schemas.openxmlformats.org/officeDocument/2006/relationships/hyperlink" Target="https://michiganlegalhelp.org/node/2066" TargetMode="External"/><Relationship Id="rId11" Type="http://schemas.openxmlformats.org/officeDocument/2006/relationships/hyperlink" Target="https://michiganlegalhelp.org/node/217" TargetMode="External"/><Relationship Id="rId12" Type="http://schemas.openxmlformats.org/officeDocument/2006/relationships/hyperlink" Target="https://mifile.courts.michigan.gov/" TargetMode="External"/><Relationship Id="rId13"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node/11056" TargetMode="External"/><Relationship Id="rId15" Type="http://schemas.openxmlformats.org/officeDocument/2006/relationships/hyperlink" Target="mailto:emailaddress@email.com" TargetMode="External"/><Relationship Id="rId16" Type="http://schemas.openxmlformats.org/officeDocument/2006/relationships/hyperlink" Target="https://michiganlegalhelp.org/node/760" TargetMode="External"/><Relationship Id="rId17" Type="http://schemas.openxmlformats.org/officeDocument/2006/relationships/hyperlink" Target="https://micase.state.mi.us/calculatorapp/public/welcome/load.html" TargetMode="External"/><Relationship Id="rId18" Type="http://schemas.openxmlformats.org/officeDocument/2006/relationships/hyperlink" Target="https://michiganlegalhelp.org/guide-to-legal-help?icn=triage_onramp&amp;ici=homepage_image" TargetMode="External"/><Relationship Id="rId19" Type="http://schemas.openxmlformats.org/officeDocument/2006/relationships/hyperlink" Target="https://michiganlegalhelp.org/taxonomy/term/169" TargetMode="External"/><Relationship Id="rId20" Type="http://schemas.openxmlformats.org/officeDocument/2006/relationships/hyperlink" Target="https://michiganlegalhelp.org/self-help-tools/going-court/what-expect-when-you-go-court" TargetMode="External"/><Relationship Id="rId21" Type="http://schemas.openxmlformats.org/officeDocument/2006/relationships/hyperlink" Target="https://michiganlegalhelp.org/taxonomy/term/161" TargetMode="External"/><Relationship Id="rId22" Type="http://schemas.openxmlformats.org/officeDocument/2006/relationships/hyperlink" Target="https://michiganlegalhelp.org/taxonomy/term/172" TargetMode="External"/><Relationship Id="rId23" Type="http://schemas.openxmlformats.org/officeDocument/2006/relationships/hyperlink" Target="mailto:emailaddress@email.com"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3</Pages>
  <Words>2573</Words>
  <Characters>11615</Characters>
  <CharactersWithSpaces>14138</CharactersWithSpaces>
  <Paragraphs>47</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2023-10-17T10:25:06Z</dcterms:modified>
  <cp:revision>14</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