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965" w:rsidRPr="00241ED9" w:rsidRDefault="001038B9" w:rsidP="0095039C">
      <w:pPr>
        <w:jc w:val="center"/>
        <w:rPr>
          <w:b/>
          <w:sz w:val="32"/>
        </w:rPr>
      </w:pPr>
      <w:r w:rsidRPr="00241ED9">
        <w:rPr>
          <w:b/>
          <w:sz w:val="32"/>
        </w:rPr>
        <w:t>PODSTAWY SZUCZNEJ INTELIGENCJI</w:t>
      </w:r>
    </w:p>
    <w:p w:rsidR="001038B9" w:rsidRPr="00241ED9" w:rsidRDefault="001038B9"/>
    <w:p w:rsidR="0095039C" w:rsidRPr="00241ED9" w:rsidRDefault="0095039C">
      <w:r w:rsidRPr="00241ED9">
        <w:t>Scenariusz 4</w:t>
      </w:r>
    </w:p>
    <w:p w:rsidR="001038B9" w:rsidRPr="00241ED9" w:rsidRDefault="001038B9">
      <w:r w:rsidRPr="00241ED9">
        <w:t>Maria Podkalicka, IS grupa 3</w:t>
      </w:r>
    </w:p>
    <w:p w:rsidR="0095039C" w:rsidRPr="00241ED9" w:rsidRDefault="0095039C">
      <w:r w:rsidRPr="00241ED9">
        <w:rPr>
          <w:b/>
        </w:rPr>
        <w:t>Temat sieci:</w:t>
      </w:r>
      <w:r w:rsidRPr="00241ED9">
        <w:t xml:space="preserve"> Uczenie sieci metodą </w:t>
      </w:r>
      <w:proofErr w:type="spellStart"/>
      <w:r w:rsidRPr="00241ED9">
        <w:t>Hebba</w:t>
      </w:r>
      <w:proofErr w:type="spellEnd"/>
      <w:r w:rsidRPr="00241ED9">
        <w:t>.</w:t>
      </w:r>
    </w:p>
    <w:p w:rsidR="0095039C" w:rsidRDefault="0095039C">
      <w:r w:rsidRPr="00241ED9">
        <w:rPr>
          <w:b/>
        </w:rPr>
        <w:t>Cel ćwiczenia</w:t>
      </w:r>
      <w:r w:rsidRPr="00241ED9">
        <w:t xml:space="preserve">: Poznanie działania reguły </w:t>
      </w:r>
      <w:proofErr w:type="spellStart"/>
      <w:r w:rsidRPr="00241ED9">
        <w:t>Hebba</w:t>
      </w:r>
      <w:proofErr w:type="spellEnd"/>
      <w:r w:rsidRPr="00241ED9">
        <w:t xml:space="preserve"> dla sieci jednowarstwowej na przykładzie grupowania liter alfabetu.</w:t>
      </w:r>
    </w:p>
    <w:p w:rsidR="006C40C4" w:rsidRDefault="006C40C4"/>
    <w:p w:rsidR="006C40C4" w:rsidRDefault="006C40C4" w:rsidP="006C40C4">
      <w:pPr>
        <w:jc w:val="center"/>
        <w:rPr>
          <w:b/>
        </w:rPr>
      </w:pPr>
      <w:r w:rsidRPr="006C40C4">
        <w:rPr>
          <w:b/>
        </w:rPr>
        <w:t>Syntetyczny opis sieci jednowarstwowej</w:t>
      </w:r>
    </w:p>
    <w:p w:rsidR="006C40C4" w:rsidRPr="006C40C4" w:rsidRDefault="006C40C4" w:rsidP="006C40C4">
      <w:r w:rsidRPr="006C40C4">
        <w:rPr>
          <w:rStyle w:val="Pogrubienie"/>
        </w:rPr>
        <w:t>Sieci jednowarstwowe -</w:t>
      </w:r>
      <w:r w:rsidRPr="006C40C4">
        <w:t xml:space="preserve"> neurony w tej sieci ułożone są w jednej warstwie, zasilanej jedynie z węzłów wejściowych. Węzły wejściowe nie tworzą warstwy neuronowej, ponieważ nie zachodzi w nich proces obliczeniowy. Sieci tego rodzaju mogą stanowić zarówno perceptrony jednowarstwowe, jak i sieci </w:t>
      </w:r>
      <w:proofErr w:type="spellStart"/>
      <w:r w:rsidRPr="006C40C4">
        <w:t>Kohonena</w:t>
      </w:r>
      <w:proofErr w:type="spellEnd"/>
      <w:r w:rsidRPr="006C40C4">
        <w:t>.</w:t>
      </w:r>
    </w:p>
    <w:p w:rsidR="0095039C" w:rsidRPr="00241ED9" w:rsidRDefault="00241ED9" w:rsidP="00241ED9">
      <w:pPr>
        <w:jc w:val="center"/>
        <w:rPr>
          <w:b/>
        </w:rPr>
      </w:pPr>
      <w:r w:rsidRPr="00241ED9">
        <w:rPr>
          <w:b/>
        </w:rPr>
        <w:t xml:space="preserve">REGUŁA </w:t>
      </w:r>
      <w:r w:rsidR="00F66EB2">
        <w:rPr>
          <w:b/>
        </w:rPr>
        <w:t>HEBBA</w:t>
      </w:r>
    </w:p>
    <w:p w:rsidR="00241ED9" w:rsidRPr="00241ED9" w:rsidRDefault="00241ED9" w:rsidP="00241ED9">
      <w:pPr>
        <w:rPr>
          <w:rFonts w:cs="Courier New"/>
        </w:rPr>
      </w:pPr>
      <w:r w:rsidRPr="00241ED9">
        <w:rPr>
          <w:rFonts w:cs="Courier New"/>
        </w:rPr>
        <w:tab/>
        <w:t xml:space="preserve">Jest to jedna z najpopularniejszych metod </w:t>
      </w:r>
      <w:proofErr w:type="spellStart"/>
      <w:r w:rsidRPr="00241ED9">
        <w:rPr>
          <w:rFonts w:cs="Courier New"/>
        </w:rPr>
        <w:t>samouczenia</w:t>
      </w:r>
      <w:proofErr w:type="spellEnd"/>
      <w:r w:rsidRPr="00241ED9">
        <w:rPr>
          <w:rFonts w:cs="Courier New"/>
        </w:rPr>
        <w:t xml:space="preserve"> sieci neuronowych. Polega ona  na tym, że sieci pokazuje się kolejne przykłady sygnałów wejściowych, nie podając żadnych informacji o tym, co z tymi sygnałami należy zrobić</w:t>
      </w:r>
      <w:r w:rsidRPr="00241ED9">
        <w:rPr>
          <w:rFonts w:cs="Courier New"/>
          <w:b/>
        </w:rPr>
        <w:t xml:space="preserve">. </w:t>
      </w:r>
      <w:r w:rsidRPr="00241ED9">
        <w:rPr>
          <w:rFonts w:cs="Courier New"/>
        </w:rPr>
        <w:t>Sieć obserwuje otoczenie i odbiera różne sygnały, nikt nie określa jednak, jakie znaczenie mają pokazujące się obiekty i jakie są pomiędzy nimi zależności. Sieć na podstawie obserwacji występujących sygnałów stopniowo sama odkrywa, jakie jest ich znaczenie i również sama ustala zachodzące między sygnałami zależności.</w:t>
      </w:r>
    </w:p>
    <w:p w:rsidR="00241ED9" w:rsidRPr="00241ED9" w:rsidRDefault="00241ED9" w:rsidP="00241ED9">
      <w:pPr>
        <w:rPr>
          <w:rFonts w:cs="Courier New"/>
        </w:rPr>
      </w:pPr>
      <w:r w:rsidRPr="00241ED9">
        <w:rPr>
          <w:rFonts w:cs="Courier New"/>
        </w:rPr>
        <w:tab/>
        <w:t xml:space="preserve">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zachowań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w:t>
      </w:r>
    </w:p>
    <w:p w:rsidR="00241ED9" w:rsidRDefault="00241ED9" w:rsidP="00241ED9">
      <w:pPr>
        <w:rPr>
          <w:rFonts w:cs="Courier New"/>
        </w:rPr>
      </w:pPr>
      <w:r>
        <w:rPr>
          <w:rFonts w:cs="Courier New"/>
        </w:rPr>
        <w:tab/>
      </w:r>
      <w:r w:rsidRPr="00241ED9">
        <w:rPr>
          <w:rFonts w:cs="Courier New"/>
        </w:rPr>
        <w:t xml:space="preserve">Dokładniejsza analiza procesu </w:t>
      </w:r>
      <w:proofErr w:type="spellStart"/>
      <w:r w:rsidRPr="00241ED9">
        <w:rPr>
          <w:rFonts w:cs="Courier New"/>
        </w:rPr>
        <w:t>samouczenia</w:t>
      </w:r>
      <w:proofErr w:type="spellEnd"/>
      <w:r w:rsidRPr="00241ED9">
        <w:rPr>
          <w:rFonts w:cs="Courier New"/>
        </w:rPr>
        <w:t xml:space="preserve"> metodą </w:t>
      </w:r>
      <w:proofErr w:type="spellStart"/>
      <w:r w:rsidRPr="00241ED9">
        <w:rPr>
          <w:rFonts w:cs="Courier New"/>
        </w:rPr>
        <w:t>Hebba</w:t>
      </w:r>
      <w:proofErr w:type="spellEnd"/>
      <w:r w:rsidRPr="00241ED9">
        <w:rPr>
          <w:rFonts w:cs="Courier New"/>
        </w:rPr>
        <w:t xml:space="preserve"> pozwala stwierdzić, że w wyniku konsekwentnego stosowania opisanego algorytmu początkowe, najczęściej przypadkowe „preferencje” neuronów ulegają systematycznemu wzmacnianiu i dokładnej polaryzacji. Jeśli jakiś neuron miał „wrodzoną skłonność” do akceptowania sygnałów pewnego rodzaju - to w miarę kolejnych pokazów nauczy się te sygnały rozpoznawać coraz dokładniej i coraz bardziej precyzyjnie. Po dłuższym czasie takiego </w:t>
      </w:r>
      <w:proofErr w:type="spellStart"/>
      <w:r w:rsidRPr="00241ED9">
        <w:rPr>
          <w:rFonts w:cs="Courier New"/>
        </w:rPr>
        <w:t>samouczenia</w:t>
      </w:r>
      <w:proofErr w:type="spellEnd"/>
      <w:r w:rsidRPr="00241ED9">
        <w:rPr>
          <w:rFonts w:cs="Courier New"/>
        </w:rPr>
        <w:t xml:space="preserve"> w sieci powstaną zatem wzorce poszczególnych typów występujących na wejściu sieci sygnałów. W wyniku tego procesu sygnały podobne do siebie będą w </w:t>
      </w:r>
      <w:r w:rsidRPr="00241ED9">
        <w:rPr>
          <w:rFonts w:cs="Courier New"/>
        </w:rPr>
        <w:lastRenderedPageBreak/>
        <w:t xml:space="preserve">miarę postępu uczenia coraz skuteczniej grupowane i rozpoznawane przez pewne neurony, zaś inne typy sygnałów staną się „obiektem zainteresowania” innych neuronów W wyniku tego procesu </w:t>
      </w:r>
      <w:proofErr w:type="spellStart"/>
      <w:r w:rsidRPr="00241ED9">
        <w:rPr>
          <w:rFonts w:cs="Courier New"/>
        </w:rPr>
        <w:t>samouczenia</w:t>
      </w:r>
      <w:proofErr w:type="spellEnd"/>
      <w:r w:rsidRPr="00241ED9">
        <w:rPr>
          <w:rFonts w:cs="Courier New"/>
        </w:rPr>
        <w:t xml:space="preserve"> sieć nauczy się, ile klas podobnych do siebie sygnałów pojawia się na jej wejściach oraz sama przyporządkuje tym klasom sygnałów neurony, które nauczą się je rozróżniać, rozpoznawać i sygnalizować.</w:t>
      </w:r>
    </w:p>
    <w:p w:rsidR="006D4B74" w:rsidRDefault="00F66EB2" w:rsidP="00241ED9">
      <w:r>
        <w:t xml:space="preserve">Zgodnie z regułą </w:t>
      </w:r>
      <w:proofErr w:type="spellStart"/>
      <w:r>
        <w:t>Hebba</w:t>
      </w:r>
      <w:proofErr w:type="spellEnd"/>
      <w:r>
        <w:t xml:space="preserve"> modyfikację wag przeprowadza się następująco:</w:t>
      </w:r>
    </w:p>
    <w:p w:rsidR="00F66EB2" w:rsidRDefault="00F66EB2" w:rsidP="00F66EB2">
      <w:pPr>
        <w:jc w:val="center"/>
      </w:pPr>
      <w:r>
        <w:rPr>
          <w:noProof/>
          <w:lang w:eastAsia="pl-PL"/>
        </w:rPr>
        <w:drawing>
          <wp:inline distT="0" distB="0" distL="0" distR="0">
            <wp:extent cx="1941195" cy="370840"/>
            <wp:effectExtent l="1905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41195" cy="370840"/>
                    </a:xfrm>
                    <a:prstGeom prst="rect">
                      <a:avLst/>
                    </a:prstGeom>
                    <a:noFill/>
                    <a:ln w="9525">
                      <a:noFill/>
                      <a:miter lim="800000"/>
                      <a:headEnd/>
                      <a:tailEnd/>
                    </a:ln>
                  </pic:spPr>
                </pic:pic>
              </a:graphicData>
            </a:graphic>
          </wp:inline>
        </w:drawing>
      </w:r>
    </w:p>
    <w:p w:rsidR="00F66EB2" w:rsidRDefault="00F66EB2" w:rsidP="00F66EB2">
      <w:pPr>
        <w:jc w:val="center"/>
      </w:pPr>
    </w:p>
    <w:p w:rsidR="00F66EB2" w:rsidRDefault="00F66EB2" w:rsidP="00F66EB2">
      <w:r>
        <w:t>Oznaczenia:</w:t>
      </w:r>
    </w:p>
    <w:p w:rsidR="00F66EB2" w:rsidRDefault="00F66EB2" w:rsidP="00F66EB2">
      <w:pPr>
        <w:pStyle w:val="Akapitzlist"/>
        <w:numPr>
          <w:ilvl w:val="0"/>
          <w:numId w:val="3"/>
        </w:numPr>
      </w:pPr>
      <w:r>
        <w:t>i-numer wagi neuronu</w:t>
      </w:r>
    </w:p>
    <w:p w:rsidR="00F66EB2" w:rsidRDefault="00F66EB2" w:rsidP="00F66EB2">
      <w:pPr>
        <w:pStyle w:val="Akapitzlist"/>
        <w:numPr>
          <w:ilvl w:val="0"/>
          <w:numId w:val="3"/>
        </w:numPr>
      </w:pPr>
      <w:proofErr w:type="spellStart"/>
      <w:r>
        <w:t>t-numer</w:t>
      </w:r>
      <w:proofErr w:type="spellEnd"/>
      <w:r>
        <w:t xml:space="preserve"> iteracji w epoce</w:t>
      </w:r>
    </w:p>
    <w:p w:rsidR="00F66EB2" w:rsidRDefault="00F66EB2" w:rsidP="00F66EB2">
      <w:pPr>
        <w:pStyle w:val="Akapitzlist"/>
        <w:numPr>
          <w:ilvl w:val="0"/>
          <w:numId w:val="3"/>
        </w:numPr>
      </w:pPr>
      <w:proofErr w:type="spellStart"/>
      <w:r>
        <w:t>y-sygnał</w:t>
      </w:r>
      <w:proofErr w:type="spellEnd"/>
      <w:r>
        <w:t xml:space="preserve"> wyjściowy neuronu</w:t>
      </w:r>
    </w:p>
    <w:p w:rsidR="00F66EB2" w:rsidRDefault="00F66EB2" w:rsidP="00F66EB2">
      <w:pPr>
        <w:pStyle w:val="Akapitzlist"/>
        <w:numPr>
          <w:ilvl w:val="0"/>
          <w:numId w:val="3"/>
        </w:numPr>
      </w:pPr>
      <w:r>
        <w:t>x-wartość wyjściowa neuronu</w:t>
      </w:r>
    </w:p>
    <w:p w:rsidR="00F66EB2" w:rsidRDefault="00F66EB2" w:rsidP="00F66EB2">
      <w:pPr>
        <w:pStyle w:val="Akapitzlist"/>
        <w:numPr>
          <w:ilvl w:val="0"/>
          <w:numId w:val="3"/>
        </w:numPr>
      </w:pPr>
      <w:proofErr w:type="spellStart"/>
      <w:r>
        <w:t>n-współczynnik</w:t>
      </w:r>
      <w:proofErr w:type="spellEnd"/>
      <w:r>
        <w:t xml:space="preserve"> uczenia(0,1)</w:t>
      </w:r>
    </w:p>
    <w:p w:rsidR="00656E7D" w:rsidRPr="00656E7D" w:rsidRDefault="00656E7D" w:rsidP="00656E7D"/>
    <w:p w:rsidR="00656E7D" w:rsidRPr="00656E7D" w:rsidRDefault="00656E7D" w:rsidP="00656E7D">
      <w:pPr>
        <w:jc w:val="both"/>
        <w:rPr>
          <w:rFonts w:cs="Times New Roman"/>
        </w:rPr>
      </w:pPr>
      <w:r w:rsidRPr="00656E7D">
        <w:rPr>
          <w:rFonts w:cs="Times New Roman"/>
        </w:rPr>
        <w:t xml:space="preserve">Uczenie neuronu z zastosowaniem reguły </w:t>
      </w:r>
      <w:proofErr w:type="spellStart"/>
      <w:r w:rsidRPr="00656E7D">
        <w:rPr>
          <w:rFonts w:cs="Times New Roman"/>
        </w:rPr>
        <w:t>Hebba</w:t>
      </w:r>
      <w:proofErr w:type="spellEnd"/>
      <w:r w:rsidRPr="00656E7D">
        <w:rPr>
          <w:rFonts w:cs="Times New Roman"/>
        </w:rPr>
        <w:t xml:space="preserve"> może odbywać się również w trybie z nauczycielem.</w:t>
      </w:r>
    </w:p>
    <w:p w:rsidR="00656E7D" w:rsidRDefault="00656E7D" w:rsidP="00656E7D">
      <w:pPr>
        <w:jc w:val="both"/>
        <w:rPr>
          <w:rFonts w:cs="Times New Roman"/>
        </w:rPr>
      </w:pPr>
      <w:r w:rsidRPr="00656E7D">
        <w:rPr>
          <w:rFonts w:cs="Times New Roman"/>
        </w:rPr>
        <w:t xml:space="preserve">Metoda uczenia z nauczycielem : modyfikacja algorytmu - </w:t>
      </w:r>
      <w:proofErr w:type="spellStart"/>
      <w:r w:rsidRPr="00656E7D">
        <w:rPr>
          <w:rFonts w:cs="Times New Roman"/>
        </w:rPr>
        <w:t>w</w:t>
      </w:r>
      <w:r w:rsidRPr="00656E7D">
        <w:rPr>
          <w:rFonts w:cs="Times New Roman"/>
          <w:vertAlign w:val="subscript"/>
        </w:rPr>
        <w:t>i</w:t>
      </w:r>
      <w:proofErr w:type="spellEnd"/>
      <w:r w:rsidRPr="00656E7D">
        <w:rPr>
          <w:rFonts w:cs="Times New Roman"/>
        </w:rPr>
        <w:t xml:space="preserve">(t+1) = </w:t>
      </w:r>
      <w:proofErr w:type="spellStart"/>
      <w:r w:rsidRPr="00656E7D">
        <w:rPr>
          <w:rFonts w:cs="Times New Roman"/>
        </w:rPr>
        <w:t>w</w:t>
      </w:r>
      <w:r w:rsidRPr="00656E7D">
        <w:rPr>
          <w:rFonts w:cs="Times New Roman"/>
          <w:vertAlign w:val="subscript"/>
        </w:rPr>
        <w:t>i</w:t>
      </w:r>
      <w:proofErr w:type="spellEnd"/>
      <w:r w:rsidRPr="00656E7D">
        <w:rPr>
          <w:rFonts w:cs="Times New Roman"/>
        </w:rPr>
        <w:t xml:space="preserve">(t) + </w:t>
      </w:r>
      <w:proofErr w:type="spellStart"/>
      <w:r w:rsidRPr="00656E7D">
        <w:rPr>
          <w:rFonts w:cs="Times New Roman"/>
        </w:rPr>
        <w:t>n</w:t>
      </w:r>
      <w:r w:rsidRPr="00656E7D">
        <w:rPr>
          <w:rFonts w:cs="Times New Roman"/>
          <w:b/>
        </w:rPr>
        <w:t>d</w:t>
      </w:r>
      <w:r w:rsidRPr="00656E7D">
        <w:rPr>
          <w:rFonts w:cs="Times New Roman"/>
        </w:rPr>
        <w:t>x</w:t>
      </w:r>
      <w:r w:rsidRPr="00656E7D">
        <w:rPr>
          <w:rFonts w:cs="Times New Roman"/>
          <w:vertAlign w:val="subscript"/>
        </w:rPr>
        <w:t>i</w:t>
      </w:r>
      <w:proofErr w:type="spellEnd"/>
      <w:r w:rsidRPr="00656E7D">
        <w:rPr>
          <w:rFonts w:cs="Times New Roman"/>
        </w:rPr>
        <w:t>,</w:t>
      </w:r>
      <w:r>
        <w:rPr>
          <w:rFonts w:cs="Times New Roman"/>
        </w:rPr>
        <w:br/>
      </w:r>
      <w:r w:rsidRPr="00656E7D">
        <w:rPr>
          <w:rFonts w:cs="Times New Roman"/>
        </w:rPr>
        <w:t>d – sygnał wzorcowy</w:t>
      </w:r>
    </w:p>
    <w:p w:rsidR="00656E7D" w:rsidRPr="00656E7D" w:rsidRDefault="00656E7D" w:rsidP="00656E7D">
      <w:pPr>
        <w:jc w:val="both"/>
        <w:rPr>
          <w:rFonts w:cs="Times New Roman"/>
        </w:rPr>
      </w:pPr>
    </w:p>
    <w:p w:rsidR="00F66EB2" w:rsidRDefault="00F66EB2" w:rsidP="00F66EB2">
      <w:r>
        <w:t>Pseudokod obliczania pierwszej składowej głównej:</w:t>
      </w:r>
    </w:p>
    <w:p w:rsidR="00F66EB2" w:rsidRDefault="00F66EB2" w:rsidP="00F66EB2">
      <w:r w:rsidRPr="00F66EB2">
        <w:rPr>
          <w:noProof/>
          <w:lang w:eastAsia="pl-PL"/>
        </w:rPr>
        <w:drawing>
          <wp:inline distT="0" distB="0" distL="0" distR="0">
            <wp:extent cx="5553075" cy="24955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075" cy="2495550"/>
                    </a:xfrm>
                    <a:prstGeom prst="rect">
                      <a:avLst/>
                    </a:prstGeom>
                  </pic:spPr>
                </pic:pic>
              </a:graphicData>
            </a:graphic>
          </wp:inline>
        </w:drawing>
      </w:r>
    </w:p>
    <w:p w:rsidR="00656E7D" w:rsidRDefault="00656E7D">
      <w:pPr>
        <w:rPr>
          <w:b/>
        </w:rPr>
      </w:pPr>
    </w:p>
    <w:p w:rsidR="00DA67FF" w:rsidRDefault="00DA67FF" w:rsidP="006D4B74"/>
    <w:p w:rsidR="00DA67FF" w:rsidRPr="00DA67FF" w:rsidRDefault="00DA67FF" w:rsidP="00DA67FF">
      <w:pPr>
        <w:jc w:val="center"/>
        <w:rPr>
          <w:b/>
        </w:rPr>
      </w:pPr>
      <w:r w:rsidRPr="00DA67FF">
        <w:rPr>
          <w:b/>
        </w:rPr>
        <w:lastRenderedPageBreak/>
        <w:t>Dane uczące i testujące</w:t>
      </w:r>
    </w:p>
    <w:p w:rsidR="006D4B74" w:rsidRDefault="006D4B74" w:rsidP="006D4B74">
      <w:r w:rsidRPr="00E76484">
        <w:t>Przygotowany prz</w:t>
      </w:r>
      <w:r>
        <w:t>eze mnie zestaw uczący zawiera 2</w:t>
      </w:r>
      <w:r w:rsidRPr="00E76484">
        <w:t xml:space="preserve">0 dużych liter </w:t>
      </w:r>
      <w:r w:rsidR="00656E7D">
        <w:t xml:space="preserve">alfabetu łacińskiego </w:t>
      </w:r>
      <w:r w:rsidRPr="00E76484">
        <w:t xml:space="preserve">utworzonych na matrycy 5x5 czyli na 25 polach. </w:t>
      </w:r>
    </w:p>
    <w:p w:rsidR="006D4B74" w:rsidRPr="00DD2A9A" w:rsidRDefault="006D4B74" w:rsidP="00DA67FF">
      <w:pPr>
        <w:jc w:val="center"/>
      </w:pPr>
      <w:r w:rsidRPr="00DD2A9A">
        <w:rPr>
          <w:rFonts w:eastAsiaTheme="minorEastAsia" w:cs="ArialMT"/>
        </w:rPr>
        <w:t>Przykład : litera W</w:t>
      </w:r>
    </w:p>
    <w:p w:rsidR="006D4B74" w:rsidRDefault="006D4B74" w:rsidP="00DA67FF">
      <w:pPr>
        <w:jc w:val="center"/>
      </w:pPr>
      <w:r w:rsidRPr="00DD2A9A">
        <w:rPr>
          <w:rFonts w:cs="Courier New"/>
          <w:bCs/>
          <w:color w:val="000000"/>
          <w:sz w:val="24"/>
          <w:szCs w:val="24"/>
        </w:rPr>
        <w:t xml:space="preserve">1 0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1</w:t>
      </w:r>
      <w:r w:rsidRPr="00DD2A9A">
        <w:rPr>
          <w:rFonts w:cs="Courier New"/>
          <w:bCs/>
          <w:color w:val="000000"/>
          <w:sz w:val="24"/>
          <w:szCs w:val="24"/>
        </w:rPr>
        <w:br/>
        <w:t xml:space="preserve">1 0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1</w:t>
      </w:r>
      <w:r w:rsidRPr="00DD2A9A">
        <w:rPr>
          <w:rFonts w:cs="Courier New"/>
          <w:bCs/>
          <w:color w:val="000000"/>
          <w:sz w:val="24"/>
          <w:szCs w:val="24"/>
        </w:rPr>
        <w:br/>
        <w:t xml:space="preserve">1 0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1</w:t>
      </w:r>
      <w:r w:rsidRPr="00DD2A9A">
        <w:rPr>
          <w:rFonts w:cs="Courier New"/>
          <w:bCs/>
          <w:color w:val="000000"/>
          <w:sz w:val="24"/>
          <w:szCs w:val="24"/>
        </w:rPr>
        <w:br/>
        <w:t xml:space="preserve">1 0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w:t>
      </w:r>
      <w:proofErr w:type="spellStart"/>
      <w:r w:rsidRPr="00DD2A9A">
        <w:rPr>
          <w:rFonts w:cs="Courier New"/>
          <w:bCs/>
          <w:color w:val="000000"/>
          <w:sz w:val="24"/>
          <w:szCs w:val="24"/>
        </w:rPr>
        <w:t>0</w:t>
      </w:r>
      <w:proofErr w:type="spellEnd"/>
      <w:r w:rsidRPr="00DD2A9A">
        <w:rPr>
          <w:rFonts w:cs="Courier New"/>
          <w:bCs/>
          <w:color w:val="000000"/>
          <w:sz w:val="24"/>
          <w:szCs w:val="24"/>
        </w:rPr>
        <w:t xml:space="preserve"> 1</w:t>
      </w:r>
      <w:r w:rsidRPr="00DD2A9A">
        <w:rPr>
          <w:rFonts w:cs="Courier New"/>
          <w:bCs/>
          <w:color w:val="000000"/>
          <w:sz w:val="24"/>
          <w:szCs w:val="24"/>
        </w:rPr>
        <w:br/>
        <w:t>1 0 1 0 1</w:t>
      </w:r>
      <w:r w:rsidRPr="00DD2A9A">
        <w:rPr>
          <w:rFonts w:cs="Courier New"/>
          <w:bCs/>
          <w:color w:val="000000"/>
          <w:sz w:val="24"/>
          <w:szCs w:val="24"/>
        </w:rPr>
        <w:br/>
        <w:t>1 0 1 0 1</w:t>
      </w:r>
      <w:r w:rsidRPr="00DD2A9A">
        <w:rPr>
          <w:rFonts w:cs="Courier New"/>
          <w:bCs/>
          <w:color w:val="000000"/>
          <w:sz w:val="24"/>
          <w:szCs w:val="24"/>
        </w:rPr>
        <w:br/>
        <w:t>0 1 0 1 0</w:t>
      </w:r>
      <w:r>
        <w:rPr>
          <w:rFonts w:ascii="Cambria Math"/>
          <w:sz w:val="24"/>
          <w:szCs w:val="24"/>
        </w:rPr>
        <w:br/>
      </w:r>
      <w:r w:rsidRPr="00E76484">
        <w:t xml:space="preserve">Liniowym rozwinięciem tych matryc będą wektory wejściowe ciągu uczącego. </w:t>
      </w:r>
      <w:r w:rsidR="00DA67FF">
        <w:t>Przykładowy wektory uczące</w:t>
      </w:r>
      <w:r w:rsidRPr="00E76484">
        <w:t xml:space="preserve"> :</w:t>
      </w:r>
    </w:p>
    <w:p w:rsidR="00DA67FF" w:rsidRPr="00DA67FF" w:rsidRDefault="00DA67FF" w:rsidP="00DA6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pl-PL"/>
        </w:rPr>
      </w:pPr>
      <w:r>
        <w:rPr>
          <w:rFonts w:ascii="Courier New" w:eastAsia="Times New Roman" w:hAnsi="Courier New" w:cs="Courier New"/>
          <w:b/>
          <w:sz w:val="20"/>
          <w:szCs w:val="20"/>
          <w:lang w:eastAsia="pl-PL"/>
        </w:rPr>
        <w:t>A=</w:t>
      </w:r>
      <w:r w:rsidRPr="00DA67FF">
        <w:rPr>
          <w:rFonts w:ascii="Courier New" w:eastAsia="Times New Roman" w:hAnsi="Courier New" w:cs="Courier New"/>
          <w:b/>
          <w:sz w:val="20"/>
          <w:szCs w:val="20"/>
          <w:lang w:eastAsia="pl-PL"/>
        </w:rPr>
        <w:t>{0,1,1,1,0,1,0,0,0,1,1,0,0,0,1,1,1,1,1,1,1,0,0,0,1,1,0,0,0,1,1,0,0,0,1</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B=</w:t>
      </w:r>
      <w:r w:rsidRPr="00DA67FF">
        <w:rPr>
          <w:rFonts w:ascii="Courier New" w:eastAsia="Times New Roman" w:hAnsi="Courier New" w:cs="Courier New"/>
          <w:b/>
          <w:sz w:val="20"/>
          <w:szCs w:val="20"/>
          <w:lang w:eastAsia="pl-PL"/>
        </w:rPr>
        <w:t>{1,1,1,1,0,1,0,0,0,1,1,0,0,0,1,1,1,1,1,0,1,0,0,0,1,1,0,0,0,1,1,1,1,1,0</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C=</w:t>
      </w:r>
      <w:r w:rsidRPr="00DA67FF">
        <w:rPr>
          <w:rFonts w:ascii="Courier New" w:eastAsia="Times New Roman" w:hAnsi="Courier New" w:cs="Courier New"/>
          <w:b/>
          <w:sz w:val="20"/>
          <w:szCs w:val="20"/>
          <w:lang w:eastAsia="pl-PL"/>
        </w:rPr>
        <w:t>{0,1,1,1,0,1,0,0,0,1,1,0,0,0,0,1,0,0,0,0,1,0,0,0,0,1,0,0,0,1,0,1,1,1,0</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D=</w:t>
      </w:r>
      <w:r w:rsidRPr="00DA67FF">
        <w:rPr>
          <w:rFonts w:ascii="Courier New" w:eastAsia="Times New Roman" w:hAnsi="Courier New" w:cs="Courier New"/>
          <w:b/>
          <w:sz w:val="20"/>
          <w:szCs w:val="20"/>
          <w:lang w:eastAsia="pl-PL"/>
        </w:rPr>
        <w:t>{1,1,1,1,0,1,0,0,0,1,1,0,0,0,1,1,0,0,0,1,1,0,0,0,1,1,0,0,0,1,1,1,1,1,0</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E=</w:t>
      </w:r>
      <w:r w:rsidRPr="00DA67FF">
        <w:rPr>
          <w:rFonts w:ascii="Courier New" w:eastAsia="Times New Roman" w:hAnsi="Courier New" w:cs="Courier New"/>
          <w:b/>
          <w:sz w:val="20"/>
          <w:szCs w:val="20"/>
          <w:lang w:eastAsia="pl-PL"/>
        </w:rPr>
        <w:t>{1,1,1,1,1,1,0,0,0,0,1,0,0,0,0,1,1,1,1,0,1,0,0,0,0,1,0,0,0,0,1,1,1,1,1</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F=</w:t>
      </w:r>
      <w:r w:rsidRPr="00DA67FF">
        <w:rPr>
          <w:rFonts w:ascii="Courier New" w:eastAsia="Times New Roman" w:hAnsi="Courier New" w:cs="Courier New"/>
          <w:b/>
          <w:sz w:val="20"/>
          <w:szCs w:val="20"/>
          <w:lang w:eastAsia="pl-PL"/>
        </w:rPr>
        <w:t>{1,1,1,1,1,1,0,0,0,0,1,0,0,0,0,1,1,1,1,0,1,0,0,0,0,1,0,0,0,0,1,0,0,0,0</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G=</w:t>
      </w:r>
      <w:r w:rsidRPr="00DA67FF">
        <w:rPr>
          <w:rFonts w:ascii="Courier New" w:eastAsia="Times New Roman" w:hAnsi="Courier New" w:cs="Courier New"/>
          <w:b/>
          <w:sz w:val="20"/>
          <w:szCs w:val="20"/>
          <w:lang w:eastAsia="pl-PL"/>
        </w:rPr>
        <w:t>{0,1,1,1,0,1,0,0,0,1,1,0,0,0,0,1,0,1,1,1,1,0,0,0,1,1,0,0,0,1,0,1,1,1,0</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r>
        <w:rPr>
          <w:rFonts w:ascii="Courier New" w:eastAsia="Times New Roman" w:hAnsi="Courier New" w:cs="Courier New"/>
          <w:b/>
          <w:sz w:val="20"/>
          <w:szCs w:val="20"/>
          <w:lang w:eastAsia="pl-PL"/>
        </w:rPr>
        <w:t>H=</w:t>
      </w:r>
      <w:r w:rsidRPr="00DA67FF">
        <w:rPr>
          <w:rFonts w:ascii="Courier New" w:eastAsia="Times New Roman" w:hAnsi="Courier New" w:cs="Courier New"/>
          <w:b/>
          <w:sz w:val="20"/>
          <w:szCs w:val="20"/>
          <w:lang w:eastAsia="pl-PL"/>
        </w:rPr>
        <w:t>{1,0,0,0,1,1,0,0,0,1,1,0,0,0,1,1,1,1,1,1,1,0,0,0,1,1,0,0,0,1,1,0,0,0,1</w:t>
      </w:r>
      <w:r>
        <w:rPr>
          <w:rFonts w:ascii="Courier New" w:eastAsia="Times New Roman" w:hAnsi="Courier New" w:cs="Courier New"/>
          <w:b/>
          <w:sz w:val="20"/>
          <w:szCs w:val="20"/>
          <w:lang w:eastAsia="pl-PL"/>
        </w:rPr>
        <w:t>}</w:t>
      </w:r>
      <w:r w:rsidRPr="00DA67FF">
        <w:rPr>
          <w:rFonts w:ascii="Courier New" w:eastAsia="Times New Roman" w:hAnsi="Courier New" w:cs="Courier New"/>
          <w:b/>
          <w:sz w:val="20"/>
          <w:szCs w:val="20"/>
          <w:lang w:eastAsia="pl-PL"/>
        </w:rPr>
        <w:br/>
      </w:r>
    </w:p>
    <w:p w:rsidR="006D4B74" w:rsidRDefault="00656E7D" w:rsidP="00656E7D">
      <w:pPr>
        <w:jc w:val="center"/>
        <w:rPr>
          <w:b/>
        </w:rPr>
      </w:pPr>
      <w:r>
        <w:rPr>
          <w:b/>
        </w:rPr>
        <w:t>Zestawienie otrzymanych wyników</w:t>
      </w:r>
    </w:p>
    <w:p w:rsidR="00DA67FF" w:rsidRPr="009641F8" w:rsidRDefault="00DA67FF" w:rsidP="00656E7D">
      <w:pPr>
        <w:jc w:val="center"/>
      </w:pPr>
      <w:r w:rsidRPr="009641F8">
        <w:t>Testy były wykonywane dla różnych współczynników uczenia i zapominania.</w:t>
      </w:r>
    </w:p>
    <w:p w:rsidR="00656E7D" w:rsidRPr="009641F8" w:rsidRDefault="009641F8" w:rsidP="00DA67FF">
      <w:pPr>
        <w:rPr>
          <w:sz w:val="18"/>
          <w:szCs w:val="18"/>
        </w:rPr>
      </w:pPr>
      <w:r w:rsidRPr="009641F8">
        <w:rPr>
          <w:sz w:val="18"/>
          <w:szCs w:val="18"/>
        </w:rPr>
        <w:t>Współczynnik uczenia: 0.1</w:t>
      </w:r>
      <w:r>
        <w:rPr>
          <w:sz w:val="18"/>
          <w:szCs w:val="18"/>
        </w:rPr>
        <w:tab/>
      </w:r>
      <w:r>
        <w:rPr>
          <w:sz w:val="18"/>
          <w:szCs w:val="18"/>
        </w:rPr>
        <w:tab/>
      </w:r>
      <w:r>
        <w:rPr>
          <w:sz w:val="18"/>
          <w:szCs w:val="18"/>
        </w:rPr>
        <w:tab/>
        <w:t xml:space="preserve">         Współczynnik uczenia: 0.3</w:t>
      </w:r>
      <w:r w:rsidRPr="009641F8">
        <w:rPr>
          <w:sz w:val="18"/>
          <w:szCs w:val="18"/>
        </w:rPr>
        <w:br/>
        <w:t>Współczynnik zapominania: 0.1</w:t>
      </w:r>
      <w:r>
        <w:rPr>
          <w:sz w:val="18"/>
          <w:szCs w:val="18"/>
        </w:rPr>
        <w:tab/>
      </w:r>
      <w:r>
        <w:rPr>
          <w:sz w:val="18"/>
          <w:szCs w:val="18"/>
        </w:rPr>
        <w:tab/>
        <w:t xml:space="preserve">         </w:t>
      </w:r>
      <w:r w:rsidRPr="009641F8">
        <w:rPr>
          <w:sz w:val="18"/>
          <w:szCs w:val="18"/>
        </w:rPr>
        <w:t>Współczynnik zapominania: 0.1</w:t>
      </w:r>
    </w:p>
    <w:p w:rsidR="00DA67FF" w:rsidRDefault="00DA67FF" w:rsidP="00DA67FF">
      <w:pPr>
        <w:rPr>
          <w:b/>
        </w:rPr>
      </w:pPr>
      <w:r>
        <w:rPr>
          <w:b/>
          <w:noProof/>
          <w:lang w:eastAsia="pl-PL"/>
        </w:rPr>
        <w:drawing>
          <wp:inline distT="0" distB="0" distL="0" distR="0">
            <wp:extent cx="1542331" cy="3076254"/>
            <wp:effectExtent l="19050" t="0" r="719"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3351" cy="3078289"/>
                    </a:xfrm>
                    <a:prstGeom prst="rect">
                      <a:avLst/>
                    </a:prstGeom>
                    <a:noFill/>
                    <a:ln w="9525">
                      <a:noFill/>
                      <a:miter lim="800000"/>
                      <a:headEnd/>
                      <a:tailEnd/>
                    </a:ln>
                  </pic:spPr>
                </pic:pic>
              </a:graphicData>
            </a:graphic>
          </wp:inline>
        </w:drawing>
      </w:r>
      <w:r w:rsidR="009641F8">
        <w:rPr>
          <w:b/>
        </w:rPr>
        <w:t xml:space="preserve">   </w:t>
      </w:r>
      <w:r w:rsidR="009641F8">
        <w:rPr>
          <w:b/>
        </w:rPr>
        <w:tab/>
      </w:r>
      <w:r w:rsidR="009641F8">
        <w:rPr>
          <w:b/>
        </w:rPr>
        <w:tab/>
        <w:t xml:space="preserve">       </w:t>
      </w:r>
      <w:r w:rsidR="009641F8">
        <w:rPr>
          <w:b/>
          <w:noProof/>
          <w:lang w:eastAsia="pl-PL"/>
        </w:rPr>
        <w:drawing>
          <wp:inline distT="0" distB="0" distL="0" distR="0">
            <wp:extent cx="1510072" cy="3110144"/>
            <wp:effectExtent l="19050" t="0" r="0" b="0"/>
            <wp:docPr id="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12012" cy="3114140"/>
                    </a:xfrm>
                    <a:prstGeom prst="rect">
                      <a:avLst/>
                    </a:prstGeom>
                    <a:noFill/>
                    <a:ln w="9525">
                      <a:noFill/>
                      <a:miter lim="800000"/>
                      <a:headEnd/>
                      <a:tailEnd/>
                    </a:ln>
                  </pic:spPr>
                </pic:pic>
              </a:graphicData>
            </a:graphic>
          </wp:inline>
        </w:drawing>
      </w:r>
      <w:r w:rsidR="009641F8">
        <w:rPr>
          <w:b/>
        </w:rPr>
        <w:t xml:space="preserve">      </w:t>
      </w:r>
    </w:p>
    <w:p w:rsidR="009641F8" w:rsidRDefault="009641F8" w:rsidP="009641F8">
      <w:pPr>
        <w:rPr>
          <w:sz w:val="18"/>
          <w:szCs w:val="18"/>
        </w:rPr>
      </w:pPr>
      <w:r w:rsidRPr="009641F8">
        <w:rPr>
          <w:sz w:val="18"/>
          <w:szCs w:val="18"/>
        </w:rPr>
        <w:lastRenderedPageBreak/>
        <w:t>Współczynnik uczenia: 0.1</w:t>
      </w:r>
      <w:r>
        <w:rPr>
          <w:sz w:val="18"/>
          <w:szCs w:val="18"/>
        </w:rPr>
        <w:tab/>
      </w:r>
      <w:r>
        <w:rPr>
          <w:sz w:val="18"/>
          <w:szCs w:val="18"/>
        </w:rPr>
        <w:tab/>
      </w:r>
      <w:r>
        <w:rPr>
          <w:sz w:val="18"/>
          <w:szCs w:val="18"/>
        </w:rPr>
        <w:tab/>
        <w:t xml:space="preserve">         Współczynnik uczenia: 0.1</w:t>
      </w:r>
      <w:r w:rsidRPr="009641F8">
        <w:rPr>
          <w:sz w:val="18"/>
          <w:szCs w:val="18"/>
        </w:rPr>
        <w:br/>
        <w:t xml:space="preserve">Współczynnik zapominania: </w:t>
      </w:r>
      <w:r>
        <w:rPr>
          <w:sz w:val="18"/>
          <w:szCs w:val="18"/>
        </w:rPr>
        <w:t>0.3</w:t>
      </w:r>
      <w:r>
        <w:rPr>
          <w:sz w:val="18"/>
          <w:szCs w:val="18"/>
        </w:rPr>
        <w:tab/>
      </w:r>
      <w:r>
        <w:rPr>
          <w:sz w:val="18"/>
          <w:szCs w:val="18"/>
        </w:rPr>
        <w:tab/>
        <w:t xml:space="preserve">         </w:t>
      </w:r>
      <w:r w:rsidRPr="009641F8">
        <w:rPr>
          <w:sz w:val="18"/>
          <w:szCs w:val="18"/>
        </w:rPr>
        <w:t>Współczynnik zapominania: 0.</w:t>
      </w:r>
      <w:r>
        <w:rPr>
          <w:sz w:val="18"/>
          <w:szCs w:val="18"/>
        </w:rPr>
        <w:t>4</w:t>
      </w:r>
    </w:p>
    <w:p w:rsidR="009641F8" w:rsidRDefault="009641F8" w:rsidP="009641F8">
      <w:pPr>
        <w:rPr>
          <w:sz w:val="18"/>
          <w:szCs w:val="18"/>
        </w:rPr>
      </w:pPr>
      <w:r>
        <w:rPr>
          <w:noProof/>
          <w:sz w:val="18"/>
          <w:szCs w:val="18"/>
          <w:lang w:eastAsia="pl-PL"/>
        </w:rPr>
        <w:drawing>
          <wp:inline distT="0" distB="0" distL="0" distR="0">
            <wp:extent cx="1477068" cy="3001992"/>
            <wp:effectExtent l="19050" t="0" r="8832"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478966" cy="3005849"/>
                    </a:xfrm>
                    <a:prstGeom prst="rect">
                      <a:avLst/>
                    </a:prstGeom>
                    <a:noFill/>
                    <a:ln w="9525">
                      <a:noFill/>
                      <a:miter lim="800000"/>
                      <a:headEnd/>
                      <a:tailEnd/>
                    </a:ln>
                  </pic:spPr>
                </pic:pic>
              </a:graphicData>
            </a:graphic>
          </wp:inline>
        </w:drawing>
      </w:r>
      <w:r>
        <w:rPr>
          <w:sz w:val="18"/>
          <w:szCs w:val="18"/>
        </w:rPr>
        <w:tab/>
      </w:r>
      <w:r>
        <w:rPr>
          <w:sz w:val="18"/>
          <w:szCs w:val="18"/>
        </w:rPr>
        <w:tab/>
        <w:t xml:space="preserve">     </w:t>
      </w:r>
      <w:r>
        <w:rPr>
          <w:noProof/>
          <w:sz w:val="18"/>
          <w:szCs w:val="18"/>
          <w:lang w:eastAsia="pl-PL"/>
        </w:rPr>
        <w:drawing>
          <wp:inline distT="0" distB="0" distL="0" distR="0">
            <wp:extent cx="1550957" cy="3069123"/>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555588" cy="3078288"/>
                    </a:xfrm>
                    <a:prstGeom prst="rect">
                      <a:avLst/>
                    </a:prstGeom>
                    <a:noFill/>
                    <a:ln w="9525">
                      <a:noFill/>
                      <a:miter lim="800000"/>
                      <a:headEnd/>
                      <a:tailEnd/>
                    </a:ln>
                  </pic:spPr>
                </pic:pic>
              </a:graphicData>
            </a:graphic>
          </wp:inline>
        </w:drawing>
      </w:r>
    </w:p>
    <w:p w:rsidR="00E345F0" w:rsidRDefault="00E345F0" w:rsidP="009641F8">
      <w:pPr>
        <w:rPr>
          <w:sz w:val="18"/>
          <w:szCs w:val="18"/>
        </w:rPr>
      </w:pPr>
    </w:p>
    <w:p w:rsidR="00E345F0" w:rsidRDefault="00E345F0" w:rsidP="00CA57D2">
      <w:pPr>
        <w:jc w:val="center"/>
        <w:rPr>
          <w:sz w:val="18"/>
          <w:szCs w:val="18"/>
        </w:rPr>
      </w:pPr>
      <w:r w:rsidRPr="00E345F0">
        <w:rPr>
          <w:noProof/>
          <w:sz w:val="18"/>
          <w:szCs w:val="18"/>
          <w:lang w:eastAsia="pl-PL"/>
        </w:rPr>
        <w:drawing>
          <wp:inline distT="0" distB="0" distL="0" distR="0">
            <wp:extent cx="4846248" cy="2130725"/>
            <wp:effectExtent l="19050" t="0" r="11502" b="2875"/>
            <wp:docPr id="6"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345F0" w:rsidRDefault="00E345F0" w:rsidP="00CA57D2">
      <w:pPr>
        <w:jc w:val="center"/>
        <w:rPr>
          <w:sz w:val="18"/>
          <w:szCs w:val="18"/>
        </w:rPr>
      </w:pPr>
      <w:r w:rsidRPr="00E345F0">
        <w:rPr>
          <w:noProof/>
          <w:sz w:val="18"/>
          <w:szCs w:val="18"/>
          <w:lang w:eastAsia="pl-PL"/>
        </w:rPr>
        <w:drawing>
          <wp:inline distT="0" distB="0" distL="0" distR="0">
            <wp:extent cx="5122294" cy="2372264"/>
            <wp:effectExtent l="19050" t="0" r="21206" b="8986"/>
            <wp:docPr id="8"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45F0" w:rsidRDefault="008D0CCB" w:rsidP="009641F8">
      <w:r>
        <w:lastRenderedPageBreak/>
        <w:t xml:space="preserve">Dla lepszej analizy wyników przedstawiłam na wykresach wyniki dla liter </w:t>
      </w:r>
      <w:proofErr w:type="spellStart"/>
      <w:r>
        <w:t>A-F</w:t>
      </w:r>
      <w:proofErr w:type="spellEnd"/>
      <w:r>
        <w:t xml:space="preserve"> i zmieniających się współczynników uczenia i zapominania.</w:t>
      </w:r>
    </w:p>
    <w:p w:rsidR="00CA57D2" w:rsidRDefault="008D0CCB" w:rsidP="00CA57D2">
      <w:r>
        <w:t>Dla współczynnika uczenia 0.3 wyniki są lepsze, natomiast dla współczynnika uczenia 0.1 wyniki są bardziej ustabilizowane.</w:t>
      </w:r>
      <w:r>
        <w:br/>
        <w:t>Podobnie jest ze współczynnikiem zapominania, dla 0.4 wyniki są większe ale mniej ustabilizowane niż dla współczynnika 0.3. Trzeba więc odpowiednio dobrać współczynniki uczeni</w:t>
      </w:r>
      <w:r w:rsidR="00CA57D2">
        <w:t>a i zapominania, ponieważ wyższe</w:t>
      </w:r>
      <w:r>
        <w:t xml:space="preserve"> współczynnik</w:t>
      </w:r>
      <w:r w:rsidR="00CA57D2">
        <w:t>i powodują, że</w:t>
      </w:r>
      <w:r>
        <w:t xml:space="preserve"> </w:t>
      </w:r>
      <w:r w:rsidR="00CA57D2">
        <w:t>sieć lepiej się uczy</w:t>
      </w:r>
      <w:r>
        <w:t>, ale nie mogą być też zbyt wysokie, bo wyniki są bardziej zróżnicowane.</w:t>
      </w:r>
    </w:p>
    <w:p w:rsidR="00CA57D2" w:rsidRPr="00CA57D2" w:rsidRDefault="00CA57D2" w:rsidP="00CA57D2">
      <w:r>
        <w:t>W</w:t>
      </w:r>
      <w:r w:rsidRPr="00E978EE">
        <w:rPr>
          <w:rFonts w:cstheme="minorHAnsi"/>
        </w:rPr>
        <w:t>raz ze zwiększaniem wartości współczynnika uczenia zmniejsza się liczba iteracji, co ma wpływ na działanie programu i powo</w:t>
      </w:r>
      <w:r>
        <w:rPr>
          <w:rFonts w:cstheme="minorHAnsi"/>
        </w:rPr>
        <w:t>duje uzyskanie błędnych wyników. Aby zredukować liczbę błędnych wyników można zwiększyć liczbę iteracji.</w:t>
      </w:r>
    </w:p>
    <w:p w:rsidR="00DA67FF" w:rsidRPr="006D4B74" w:rsidRDefault="00DA67FF" w:rsidP="00DA67FF">
      <w:pPr>
        <w:rPr>
          <w:b/>
        </w:rPr>
      </w:pPr>
    </w:p>
    <w:p w:rsidR="00241ED9" w:rsidRPr="00241ED9" w:rsidRDefault="00241ED9" w:rsidP="00656E7D">
      <w:pPr>
        <w:jc w:val="center"/>
      </w:pPr>
      <w:r w:rsidRPr="00656E7D">
        <w:rPr>
          <w:b/>
        </w:rPr>
        <w:t>Wnioski</w:t>
      </w:r>
    </w:p>
    <w:p w:rsidR="00241ED9" w:rsidRPr="006D4B74" w:rsidRDefault="00241ED9">
      <w:pPr>
        <w:rPr>
          <w:rFonts w:cs="Courier New"/>
        </w:rPr>
      </w:pPr>
      <w:r w:rsidRPr="00241ED9">
        <w:rPr>
          <w:rFonts w:cs="Courier New"/>
        </w:rPr>
        <w:t xml:space="preserve">Proces </w:t>
      </w:r>
      <w:proofErr w:type="spellStart"/>
      <w:r w:rsidRPr="00241ED9">
        <w:rPr>
          <w:rFonts w:cs="Courier New"/>
        </w:rPr>
        <w:t>samouczenia</w:t>
      </w:r>
      <w:proofErr w:type="spellEnd"/>
      <w:r w:rsidRPr="00241ED9">
        <w:rPr>
          <w:rFonts w:cs="Courier New"/>
        </w:rPr>
        <w:t xml:space="preserve"> ma wady. W porównaniu z procesem uczenia z nauczycielem </w:t>
      </w:r>
      <w:proofErr w:type="spellStart"/>
      <w:r w:rsidRPr="00241ED9">
        <w:rPr>
          <w:rFonts w:cs="Courier New"/>
        </w:rPr>
        <w:t>samouczenie</w:t>
      </w:r>
      <w:proofErr w:type="spellEnd"/>
      <w:r w:rsidRPr="00241ED9">
        <w:rPr>
          <w:rFonts w:cs="Courier New"/>
        </w:rPr>
        <w:t xml:space="preserve"> jest zwykle znacznie powolniejsze. </w:t>
      </w:r>
      <w:r>
        <w:rPr>
          <w:rFonts w:cs="Courier New"/>
        </w:rPr>
        <w:t>B</w:t>
      </w:r>
      <w:r w:rsidRPr="00241ED9">
        <w:rPr>
          <w:rFonts w:cs="Courier New"/>
        </w:rPr>
        <w:t xml:space="preserve">ez nauczyciela nie można z góry określić, który neuron wyspecjalizuje się w rozpoznawania której klasy sygnałów. Stanowi to pewną trudność przy wykorzystywaniu i interpretacji wyników pracy sieci. </w:t>
      </w:r>
      <w:r>
        <w:rPr>
          <w:rFonts w:cs="Courier New"/>
        </w:rPr>
        <w:t xml:space="preserve">W dodatku </w:t>
      </w:r>
      <w:r w:rsidRPr="00241ED9">
        <w:rPr>
          <w:rFonts w:cs="Courier New"/>
        </w:rPr>
        <w:t xml:space="preserve">nie można określić, czy sieć uczona w ten sposób nauczy się wszystkich prezentowanych jej wzorców. Dlatego sieć przeznaczona do </w:t>
      </w:r>
      <w:proofErr w:type="spellStart"/>
      <w:r w:rsidRPr="00241ED9">
        <w:rPr>
          <w:rFonts w:cs="Courier New"/>
        </w:rPr>
        <w:t>samouczenia</w:t>
      </w:r>
      <w:proofErr w:type="spellEnd"/>
      <w:r w:rsidRPr="00241ED9">
        <w:rPr>
          <w:rFonts w:cs="Courier New"/>
        </w:rPr>
        <w:t xml:space="preserve"> musi </w:t>
      </w:r>
      <w:r w:rsidRPr="006D4B74">
        <w:rPr>
          <w:rFonts w:cs="Courier New"/>
        </w:rPr>
        <w:t>być większa niż sieć wykonująca to samo zadanie, ale trenowana w sposób klasyczny, z udziałem nauczyciela. - Szacunkowo sieć powinna mieć co najmniej trzykrotnie więcej elementów warstwy wyjściowej niż wynosi oczekiwana liczba różnych wzorów, które sieć ma rozpoznawać.</w:t>
      </w:r>
    </w:p>
    <w:p w:rsidR="00CA57D2" w:rsidRPr="006D4B74" w:rsidRDefault="006D4B74" w:rsidP="00CA57D2">
      <w:r w:rsidRPr="006D4B74">
        <w:rPr>
          <w:rFonts w:cs="Courier New"/>
        </w:rPr>
        <w:t>Bardzo istotną kwestią jest wybór początkowych wartości wag neuronów sie</w:t>
      </w:r>
      <w:r w:rsidR="00CA57D2">
        <w:rPr>
          <w:rFonts w:cs="Courier New"/>
        </w:rPr>
        <w:t xml:space="preserve">ci przeznaczonej do </w:t>
      </w:r>
      <w:proofErr w:type="spellStart"/>
      <w:r w:rsidR="00CA57D2">
        <w:rPr>
          <w:rFonts w:cs="Courier New"/>
        </w:rPr>
        <w:t>samouczenia</w:t>
      </w:r>
      <w:proofErr w:type="spellEnd"/>
      <w:r w:rsidR="00CA57D2">
        <w:rPr>
          <w:rFonts w:cs="Courier New"/>
        </w:rPr>
        <w:t xml:space="preserve">, </w:t>
      </w:r>
      <w:r w:rsidR="00CA57D2" w:rsidRPr="00E978EE">
        <w:rPr>
          <w:rFonts w:cstheme="minorHAnsi"/>
        </w:rPr>
        <w:t>w zależności od ich wartości zmienia się popra</w:t>
      </w:r>
      <w:r w:rsidR="00CA57D2">
        <w:rPr>
          <w:rFonts w:cstheme="minorHAnsi"/>
        </w:rPr>
        <w:t>wność wyników i liczba iteracji.</w:t>
      </w:r>
    </w:p>
    <w:p w:rsidR="006D4B74" w:rsidRDefault="006D4B74">
      <w:pPr>
        <w:rPr>
          <w:rFonts w:cs="Courier New"/>
        </w:rPr>
      </w:pPr>
      <w:r w:rsidRPr="006D4B74">
        <w:rPr>
          <w:rFonts w:cs="Courier New"/>
        </w:rPr>
        <w:t xml:space="preserve"> Wartości te mają bardzo silny wpływ na ostateczne zachowanie sieci, ponieważ proces uczenia jedynie pogłębia i doskonali pewne tendencje istniejące w sieci od samego początku, </w:t>
      </w:r>
      <w:r>
        <w:rPr>
          <w:rFonts w:cs="Courier New"/>
        </w:rPr>
        <w:t xml:space="preserve">zatem </w:t>
      </w:r>
      <w:r w:rsidRPr="006D4B74">
        <w:rPr>
          <w:rFonts w:cs="Courier New"/>
        </w:rPr>
        <w:t>od jakości tych początkowych, „wrodzonych” właściwości sieci silnie zależy, do czego sieć dojdzie na końcu procesu uczenia.</w:t>
      </w:r>
      <w:r w:rsidR="00CA57D2">
        <w:rPr>
          <w:rFonts w:cs="Courier New"/>
        </w:rPr>
        <w:t xml:space="preserve"> </w:t>
      </w:r>
    </w:p>
    <w:p w:rsidR="00705BF4" w:rsidRDefault="00705BF4">
      <w:pPr>
        <w:rPr>
          <w:rFonts w:cs="Courier New"/>
        </w:rPr>
      </w:pPr>
    </w:p>
    <w:p w:rsidR="00705BF4" w:rsidRDefault="00705BF4">
      <w:pPr>
        <w:rPr>
          <w:rFonts w:cs="Courier New"/>
        </w:rPr>
      </w:pPr>
    </w:p>
    <w:p w:rsidR="00705BF4" w:rsidRPr="006D4B74" w:rsidRDefault="00705BF4">
      <w:r w:rsidRPr="00764562">
        <w:rPr>
          <w:rFonts w:cstheme="minorHAnsi"/>
        </w:rPr>
        <w:t>Cały listing kodu</w:t>
      </w:r>
      <w:r>
        <w:rPr>
          <w:rFonts w:cstheme="minorHAnsi"/>
        </w:rPr>
        <w:t xml:space="preserve"> </w:t>
      </w:r>
      <w:r w:rsidRPr="00764562">
        <w:rPr>
          <w:rFonts w:cstheme="minorHAnsi"/>
        </w:rPr>
        <w:t>został</w:t>
      </w:r>
      <w:r>
        <w:rPr>
          <w:rFonts w:cstheme="minorHAnsi"/>
        </w:rPr>
        <w:t xml:space="preserve"> </w:t>
      </w:r>
      <w:r w:rsidRPr="00764562">
        <w:rPr>
          <w:rFonts w:cstheme="minorHAnsi"/>
        </w:rPr>
        <w:t>umieszony w repozytorium</w:t>
      </w:r>
      <w:r>
        <w:rPr>
          <w:rFonts w:cstheme="minorHAnsi"/>
        </w:rPr>
        <w:t xml:space="preserve"> </w:t>
      </w:r>
      <w:r w:rsidRPr="00764562">
        <w:rPr>
          <w:rFonts w:cstheme="minorHAnsi"/>
        </w:rPr>
        <w:t>Git</w:t>
      </w:r>
      <w:r>
        <w:rPr>
          <w:rFonts w:cstheme="minorHAnsi"/>
        </w:rPr>
        <w:t>.</w:t>
      </w:r>
    </w:p>
    <w:sectPr w:rsidR="00705BF4" w:rsidRPr="006D4B74" w:rsidSect="005B39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26A46"/>
    <w:multiLevelType w:val="hybridMultilevel"/>
    <w:tmpl w:val="79D2F0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417E95"/>
    <w:multiLevelType w:val="hybridMultilevel"/>
    <w:tmpl w:val="F140E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78A6B71"/>
    <w:multiLevelType w:val="hybridMultilevel"/>
    <w:tmpl w:val="BCD604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F8640B1"/>
    <w:multiLevelType w:val="hybridMultilevel"/>
    <w:tmpl w:val="21B6B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1038B9"/>
    <w:rsid w:val="001038B9"/>
    <w:rsid w:val="00241ED9"/>
    <w:rsid w:val="00434240"/>
    <w:rsid w:val="004E0F06"/>
    <w:rsid w:val="005B3965"/>
    <w:rsid w:val="00656E7D"/>
    <w:rsid w:val="006C40C4"/>
    <w:rsid w:val="006D4B74"/>
    <w:rsid w:val="00705BF4"/>
    <w:rsid w:val="007962D7"/>
    <w:rsid w:val="00830EA7"/>
    <w:rsid w:val="008D0CCB"/>
    <w:rsid w:val="0095039C"/>
    <w:rsid w:val="009641F8"/>
    <w:rsid w:val="00B87A41"/>
    <w:rsid w:val="00CA57D2"/>
    <w:rsid w:val="00CB53C2"/>
    <w:rsid w:val="00DA67FF"/>
    <w:rsid w:val="00E345F0"/>
    <w:rsid w:val="00F66EB2"/>
    <w:rsid w:val="00FA6C2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B396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F66EB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66EB2"/>
    <w:rPr>
      <w:rFonts w:ascii="Tahoma" w:hAnsi="Tahoma" w:cs="Tahoma"/>
      <w:sz w:val="16"/>
      <w:szCs w:val="16"/>
    </w:rPr>
  </w:style>
  <w:style w:type="paragraph" w:styleId="Akapitzlist">
    <w:name w:val="List Paragraph"/>
    <w:basedOn w:val="Normalny"/>
    <w:uiPriority w:val="34"/>
    <w:qFormat/>
    <w:rsid w:val="00F66EB2"/>
    <w:pPr>
      <w:ind w:left="720"/>
      <w:contextualSpacing/>
    </w:pPr>
  </w:style>
  <w:style w:type="character" w:styleId="Pogrubienie">
    <w:name w:val="Strong"/>
    <w:basedOn w:val="Domylnaczcionkaakapitu"/>
    <w:uiPriority w:val="22"/>
    <w:qFormat/>
    <w:rsid w:val="006C40C4"/>
    <w:rPr>
      <w:b/>
      <w:bCs/>
    </w:rPr>
  </w:style>
  <w:style w:type="paragraph" w:styleId="HTML-wstpniesformatowany">
    <w:name w:val="HTML Preformatted"/>
    <w:basedOn w:val="Normalny"/>
    <w:link w:val="HTML-wstpniesformatowanyZnak"/>
    <w:uiPriority w:val="99"/>
    <w:semiHidden/>
    <w:unhideWhenUsed/>
    <w:rsid w:val="00DA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A67FF"/>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357319139">
      <w:bodyDiv w:val="1"/>
      <w:marLeft w:val="0"/>
      <w:marRight w:val="0"/>
      <w:marTop w:val="0"/>
      <w:marBottom w:val="0"/>
      <w:divBdr>
        <w:top w:val="none" w:sz="0" w:space="0" w:color="auto"/>
        <w:left w:val="none" w:sz="0" w:space="0" w:color="auto"/>
        <w:bottom w:val="none" w:sz="0" w:space="0" w:color="auto"/>
        <w:right w:val="none" w:sz="0" w:space="0" w:color="auto"/>
      </w:divBdr>
    </w:div>
    <w:div w:id="1212497875">
      <w:bodyDiv w:val="1"/>
      <w:marLeft w:val="0"/>
      <w:marRight w:val="0"/>
      <w:marTop w:val="0"/>
      <w:marBottom w:val="0"/>
      <w:divBdr>
        <w:top w:val="none" w:sz="0" w:space="0" w:color="auto"/>
        <w:left w:val="none" w:sz="0" w:space="0" w:color="auto"/>
        <w:bottom w:val="none" w:sz="0" w:space="0" w:color="auto"/>
        <w:right w:val="none" w:sz="0" w:space="0" w:color="auto"/>
      </w:divBdr>
      <w:divsChild>
        <w:div w:id="993798921">
          <w:marLeft w:val="0"/>
          <w:marRight w:val="0"/>
          <w:marTop w:val="0"/>
          <w:marBottom w:val="0"/>
          <w:divBdr>
            <w:top w:val="none" w:sz="0" w:space="0" w:color="auto"/>
            <w:left w:val="none" w:sz="0" w:space="0" w:color="auto"/>
            <w:bottom w:val="none" w:sz="0" w:space="0" w:color="auto"/>
            <w:right w:val="none" w:sz="0" w:space="0" w:color="auto"/>
          </w:divBdr>
        </w:div>
        <w:div w:id="104008894">
          <w:marLeft w:val="0"/>
          <w:marRight w:val="0"/>
          <w:marTop w:val="0"/>
          <w:marBottom w:val="0"/>
          <w:divBdr>
            <w:top w:val="none" w:sz="0" w:space="0" w:color="auto"/>
            <w:left w:val="none" w:sz="0" w:space="0" w:color="auto"/>
            <w:bottom w:val="none" w:sz="0" w:space="0" w:color="auto"/>
            <w:right w:val="none" w:sz="0" w:space="0" w:color="auto"/>
          </w:divBdr>
        </w:div>
        <w:div w:id="1448500996">
          <w:marLeft w:val="0"/>
          <w:marRight w:val="0"/>
          <w:marTop w:val="0"/>
          <w:marBottom w:val="0"/>
          <w:divBdr>
            <w:top w:val="none" w:sz="0" w:space="0" w:color="auto"/>
            <w:left w:val="none" w:sz="0" w:space="0" w:color="auto"/>
            <w:bottom w:val="none" w:sz="0" w:space="0" w:color="auto"/>
            <w:right w:val="none" w:sz="0" w:space="0" w:color="auto"/>
          </w:divBdr>
        </w:div>
        <w:div w:id="856390280">
          <w:marLeft w:val="0"/>
          <w:marRight w:val="0"/>
          <w:marTop w:val="0"/>
          <w:marBottom w:val="0"/>
          <w:divBdr>
            <w:top w:val="none" w:sz="0" w:space="0" w:color="auto"/>
            <w:left w:val="none" w:sz="0" w:space="0" w:color="auto"/>
            <w:bottom w:val="none" w:sz="0" w:space="0" w:color="auto"/>
            <w:right w:val="none" w:sz="0" w:space="0" w:color="auto"/>
          </w:divBdr>
        </w:div>
        <w:div w:id="1591743745">
          <w:marLeft w:val="0"/>
          <w:marRight w:val="0"/>
          <w:marTop w:val="0"/>
          <w:marBottom w:val="0"/>
          <w:divBdr>
            <w:top w:val="none" w:sz="0" w:space="0" w:color="auto"/>
            <w:left w:val="none" w:sz="0" w:space="0" w:color="auto"/>
            <w:bottom w:val="none" w:sz="0" w:space="0" w:color="auto"/>
            <w:right w:val="none" w:sz="0" w:space="0" w:color="auto"/>
          </w:divBdr>
        </w:div>
        <w:div w:id="1657145003">
          <w:marLeft w:val="0"/>
          <w:marRight w:val="0"/>
          <w:marTop w:val="0"/>
          <w:marBottom w:val="0"/>
          <w:divBdr>
            <w:top w:val="none" w:sz="0" w:space="0" w:color="auto"/>
            <w:left w:val="none" w:sz="0" w:space="0" w:color="auto"/>
            <w:bottom w:val="none" w:sz="0" w:space="0" w:color="auto"/>
            <w:right w:val="none" w:sz="0" w:space="0" w:color="auto"/>
          </w:divBdr>
        </w:div>
        <w:div w:id="1764912278">
          <w:marLeft w:val="0"/>
          <w:marRight w:val="0"/>
          <w:marTop w:val="0"/>
          <w:marBottom w:val="0"/>
          <w:divBdr>
            <w:top w:val="none" w:sz="0" w:space="0" w:color="auto"/>
            <w:left w:val="none" w:sz="0" w:space="0" w:color="auto"/>
            <w:bottom w:val="none" w:sz="0" w:space="0" w:color="auto"/>
            <w:right w:val="none" w:sz="0" w:space="0" w:color="auto"/>
          </w:divBdr>
        </w:div>
        <w:div w:id="1879975254">
          <w:marLeft w:val="0"/>
          <w:marRight w:val="0"/>
          <w:marTop w:val="0"/>
          <w:marBottom w:val="0"/>
          <w:divBdr>
            <w:top w:val="none" w:sz="0" w:space="0" w:color="auto"/>
            <w:left w:val="none" w:sz="0" w:space="0" w:color="auto"/>
            <w:bottom w:val="none" w:sz="0" w:space="0" w:color="auto"/>
            <w:right w:val="none" w:sz="0" w:space="0" w:color="auto"/>
          </w:divBdr>
        </w:div>
        <w:div w:id="1419978768">
          <w:marLeft w:val="0"/>
          <w:marRight w:val="0"/>
          <w:marTop w:val="0"/>
          <w:marBottom w:val="0"/>
          <w:divBdr>
            <w:top w:val="none" w:sz="0" w:space="0" w:color="auto"/>
            <w:left w:val="none" w:sz="0" w:space="0" w:color="auto"/>
            <w:bottom w:val="none" w:sz="0" w:space="0" w:color="auto"/>
            <w:right w:val="none" w:sz="0" w:space="0" w:color="auto"/>
          </w:divBdr>
        </w:div>
        <w:div w:id="200928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barChart>
        <c:barDir val="col"/>
        <c:grouping val="clustered"/>
        <c:ser>
          <c:idx val="0"/>
          <c:order val="0"/>
          <c:tx>
            <c:strRef>
              <c:f>Arkusz1!$A$17</c:f>
              <c:strCache>
                <c:ptCount val="1"/>
                <c:pt idx="0">
                  <c:v>wsp.uczenia 0,1, zapominania 0,1</c:v>
                </c:pt>
              </c:strCache>
            </c:strRef>
          </c:tx>
          <c:dLbls>
            <c:showVal val="1"/>
          </c:dLbls>
          <c:cat>
            <c:strRef>
              <c:f>Arkusz1!$B$16:$G$16</c:f>
              <c:strCache>
                <c:ptCount val="6"/>
                <c:pt idx="0">
                  <c:v>A</c:v>
                </c:pt>
                <c:pt idx="1">
                  <c:v>B</c:v>
                </c:pt>
                <c:pt idx="2">
                  <c:v>C</c:v>
                </c:pt>
                <c:pt idx="3">
                  <c:v>D</c:v>
                </c:pt>
                <c:pt idx="4">
                  <c:v>E</c:v>
                </c:pt>
                <c:pt idx="5">
                  <c:v>F</c:v>
                </c:pt>
              </c:strCache>
            </c:strRef>
          </c:cat>
          <c:val>
            <c:numRef>
              <c:f>Arkusz1!$B$17:$G$17</c:f>
              <c:numCache>
                <c:formatCode>General</c:formatCode>
                <c:ptCount val="6"/>
                <c:pt idx="0">
                  <c:v>4.681</c:v>
                </c:pt>
                <c:pt idx="1">
                  <c:v>5.0060000000000002</c:v>
                </c:pt>
                <c:pt idx="2">
                  <c:v>3.1890000000000001</c:v>
                </c:pt>
                <c:pt idx="3">
                  <c:v>4.6890000000000001</c:v>
                </c:pt>
                <c:pt idx="4">
                  <c:v>4.5649999999999977</c:v>
                </c:pt>
                <c:pt idx="5">
                  <c:v>3.7930000000000001</c:v>
                </c:pt>
              </c:numCache>
            </c:numRef>
          </c:val>
        </c:ser>
        <c:ser>
          <c:idx val="1"/>
          <c:order val="1"/>
          <c:tx>
            <c:strRef>
              <c:f>Arkusz1!$A$18</c:f>
              <c:strCache>
                <c:ptCount val="1"/>
                <c:pt idx="0">
                  <c:v>wsp.uczenia=0.3, zapominania=0.1</c:v>
                </c:pt>
              </c:strCache>
            </c:strRef>
          </c:tx>
          <c:dLbls>
            <c:showVal val="1"/>
          </c:dLbls>
          <c:cat>
            <c:strRef>
              <c:f>Arkusz1!$B$16:$G$16</c:f>
              <c:strCache>
                <c:ptCount val="6"/>
                <c:pt idx="0">
                  <c:v>A</c:v>
                </c:pt>
                <c:pt idx="1">
                  <c:v>B</c:v>
                </c:pt>
                <c:pt idx="2">
                  <c:v>C</c:v>
                </c:pt>
                <c:pt idx="3">
                  <c:v>D</c:v>
                </c:pt>
                <c:pt idx="4">
                  <c:v>E</c:v>
                </c:pt>
                <c:pt idx="5">
                  <c:v>F</c:v>
                </c:pt>
              </c:strCache>
            </c:strRef>
          </c:cat>
          <c:val>
            <c:numRef>
              <c:f>Arkusz1!$B$18:$G$18</c:f>
              <c:numCache>
                <c:formatCode>General</c:formatCode>
                <c:ptCount val="6"/>
                <c:pt idx="0">
                  <c:v>0.31500000000000017</c:v>
                </c:pt>
                <c:pt idx="1">
                  <c:v>0.31600000000000017</c:v>
                </c:pt>
                <c:pt idx="2">
                  <c:v>0.18500000000000008</c:v>
                </c:pt>
                <c:pt idx="3">
                  <c:v>0.27400000000000002</c:v>
                </c:pt>
                <c:pt idx="4">
                  <c:v>0.31400000000000017</c:v>
                </c:pt>
                <c:pt idx="5">
                  <c:v>0.27200000000000002</c:v>
                </c:pt>
              </c:numCache>
            </c:numRef>
          </c:val>
        </c:ser>
        <c:dLbls>
          <c:showVal val="1"/>
        </c:dLbls>
        <c:gapWidth val="75"/>
        <c:axId val="122123776"/>
        <c:axId val="132648320"/>
      </c:barChart>
      <c:catAx>
        <c:axId val="122123776"/>
        <c:scaling>
          <c:orientation val="minMax"/>
        </c:scaling>
        <c:axPos val="b"/>
        <c:majorTickMark val="none"/>
        <c:tickLblPos val="nextTo"/>
        <c:crossAx val="132648320"/>
        <c:crosses val="autoZero"/>
        <c:auto val="1"/>
        <c:lblAlgn val="ctr"/>
        <c:lblOffset val="100"/>
      </c:catAx>
      <c:valAx>
        <c:axId val="132648320"/>
        <c:scaling>
          <c:orientation val="minMax"/>
        </c:scaling>
        <c:axPos val="l"/>
        <c:numFmt formatCode="General" sourceLinked="1"/>
        <c:majorTickMark val="none"/>
        <c:tickLblPos val="nextTo"/>
        <c:crossAx val="122123776"/>
        <c:crosses val="autoZero"/>
        <c:crossBetween val="between"/>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tx>
            <c:strRef>
              <c:f>Arkusz1!$A$21</c:f>
              <c:strCache>
                <c:ptCount val="1"/>
                <c:pt idx="0">
                  <c:v>wsp.uczenia 0,1, zapominania 0,3</c:v>
                </c:pt>
              </c:strCache>
            </c:strRef>
          </c:tx>
          <c:dLbls>
            <c:showVal val="1"/>
          </c:dLbls>
          <c:cat>
            <c:strRef>
              <c:f>Arkusz1!$B$20:$G$20</c:f>
              <c:strCache>
                <c:ptCount val="6"/>
                <c:pt idx="0">
                  <c:v>A</c:v>
                </c:pt>
                <c:pt idx="1">
                  <c:v>B</c:v>
                </c:pt>
                <c:pt idx="2">
                  <c:v>C</c:v>
                </c:pt>
                <c:pt idx="3">
                  <c:v>D</c:v>
                </c:pt>
                <c:pt idx="4">
                  <c:v>E</c:v>
                </c:pt>
                <c:pt idx="5">
                  <c:v>F</c:v>
                </c:pt>
              </c:strCache>
            </c:strRef>
          </c:cat>
          <c:val>
            <c:numRef>
              <c:f>Arkusz1!$B$21:$G$21</c:f>
              <c:numCache>
                <c:formatCode>General</c:formatCode>
                <c:ptCount val="6"/>
                <c:pt idx="0">
                  <c:v>2.3000000000000013E-3</c:v>
                </c:pt>
                <c:pt idx="1">
                  <c:v>2.5999999999999999E-3</c:v>
                </c:pt>
                <c:pt idx="2">
                  <c:v>1.8000000000000013E-3</c:v>
                </c:pt>
                <c:pt idx="3">
                  <c:v>2.5999999999999999E-3</c:v>
                </c:pt>
                <c:pt idx="4">
                  <c:v>2.3000000000000013E-3</c:v>
                </c:pt>
                <c:pt idx="5">
                  <c:v>1.8000000000000013E-3</c:v>
                </c:pt>
              </c:numCache>
            </c:numRef>
          </c:val>
        </c:ser>
        <c:ser>
          <c:idx val="1"/>
          <c:order val="1"/>
          <c:tx>
            <c:strRef>
              <c:f>Arkusz1!$A$22</c:f>
              <c:strCache>
                <c:ptCount val="1"/>
                <c:pt idx="0">
                  <c:v>wsp.uczenia 0,1, zapominania 0,4</c:v>
                </c:pt>
              </c:strCache>
            </c:strRef>
          </c:tx>
          <c:dLbls>
            <c:showVal val="1"/>
          </c:dLbls>
          <c:cat>
            <c:strRef>
              <c:f>Arkusz1!$B$20:$G$20</c:f>
              <c:strCache>
                <c:ptCount val="6"/>
                <c:pt idx="0">
                  <c:v>A</c:v>
                </c:pt>
                <c:pt idx="1">
                  <c:v>B</c:v>
                </c:pt>
                <c:pt idx="2">
                  <c:v>C</c:v>
                </c:pt>
                <c:pt idx="3">
                  <c:v>D</c:v>
                </c:pt>
                <c:pt idx="4">
                  <c:v>E</c:v>
                </c:pt>
                <c:pt idx="5">
                  <c:v>F</c:v>
                </c:pt>
              </c:strCache>
            </c:strRef>
          </c:cat>
          <c:val>
            <c:numRef>
              <c:f>Arkusz1!$B$22:$G$22</c:f>
              <c:numCache>
                <c:formatCode>General</c:formatCode>
                <c:ptCount val="6"/>
                <c:pt idx="0">
                  <c:v>2.07E-2</c:v>
                </c:pt>
                <c:pt idx="1">
                  <c:v>2.3699999999999999E-2</c:v>
                </c:pt>
                <c:pt idx="2">
                  <c:v>1.6299999999999999E-2</c:v>
                </c:pt>
                <c:pt idx="3">
                  <c:v>2.3099999999999999E-2</c:v>
                </c:pt>
                <c:pt idx="4">
                  <c:v>2.0199999999999999E-2</c:v>
                </c:pt>
                <c:pt idx="5">
                  <c:v>1.6199999999999999E-2</c:v>
                </c:pt>
              </c:numCache>
            </c:numRef>
          </c:val>
        </c:ser>
        <c:dLbls>
          <c:showVal val="1"/>
        </c:dLbls>
        <c:gapWidth val="75"/>
        <c:axId val="137241728"/>
        <c:axId val="137243264"/>
      </c:barChart>
      <c:catAx>
        <c:axId val="137241728"/>
        <c:scaling>
          <c:orientation val="minMax"/>
        </c:scaling>
        <c:axPos val="b"/>
        <c:majorTickMark val="none"/>
        <c:tickLblPos val="nextTo"/>
        <c:crossAx val="137243264"/>
        <c:crosses val="autoZero"/>
        <c:auto val="1"/>
        <c:lblAlgn val="ctr"/>
        <c:lblOffset val="100"/>
      </c:catAx>
      <c:valAx>
        <c:axId val="137243264"/>
        <c:scaling>
          <c:orientation val="minMax"/>
        </c:scaling>
        <c:axPos val="l"/>
        <c:numFmt formatCode="General" sourceLinked="1"/>
        <c:majorTickMark val="none"/>
        <c:tickLblPos val="nextTo"/>
        <c:crossAx val="137241728"/>
        <c:crosses val="autoZero"/>
        <c:crossBetween val="between"/>
      </c:valAx>
    </c:plotArea>
    <c:legend>
      <c:legendPos val="b"/>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992</Words>
  <Characters>5954</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MARYSIA</dc:creator>
  <cp:lastModifiedBy>MARYSIA</cp:lastModifiedBy>
  <cp:revision>5</cp:revision>
  <dcterms:created xsi:type="dcterms:W3CDTF">2017-12-01T14:27:00Z</dcterms:created>
  <dcterms:modified xsi:type="dcterms:W3CDTF">2017-12-06T23:44:00Z</dcterms:modified>
</cp:coreProperties>
</file>