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Fixed Coupon Note — Single Stock</w:t>
      </w:r>
    </w:p>
    <w:p>
      <w:r>
        <w:t>Indicative Term Sheet | Standard Chartered Bank | Ref: SCB-EQD-FCN-3391 | Private &amp; Confidential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Issuer</w:t>
            </w:r>
          </w:p>
        </w:tc>
        <w:tc>
          <w:tcPr>
            <w:tcW w:type="dxa" w:w="4320"/>
          </w:tcPr>
          <w:p>
            <w:r>
              <w:t>Standard Chartered Bank (Singapore) Limited</w:t>
            </w:r>
          </w:p>
        </w:tc>
      </w:tr>
      <w:tr>
        <w:tc>
          <w:tcPr>
            <w:tcW w:type="dxa" w:w="4320"/>
          </w:tcPr>
          <w:p>
            <w:r>
              <w:t>Counterparty</w:t>
            </w:r>
          </w:p>
        </w:tc>
        <w:tc>
          <w:tcPr>
            <w:tcW w:type="dxa" w:w="4320"/>
          </w:tcPr>
          <w:p>
            <w:r>
              <w:t>Standard Chartered Bank</w:t>
            </w:r>
          </w:p>
        </w:tc>
      </w:tr>
      <w:tr>
        <w:tc>
          <w:tcPr>
            <w:tcW w:type="dxa" w:w="4320"/>
          </w:tcPr>
          <w:p>
            <w:r>
              <w:t>Product Type</w:t>
            </w:r>
          </w:p>
        </w:tc>
        <w:tc>
          <w:tcPr>
            <w:tcW w:type="dxa" w:w="4320"/>
          </w:tcPr>
          <w:p>
            <w:r>
              <w:t>Fixed Coupon Note with Knock-Out and Knock-In</w:t>
            </w:r>
          </w:p>
        </w:tc>
      </w:tr>
      <w:tr>
        <w:tc>
          <w:tcPr>
            <w:tcW w:type="dxa" w:w="4320"/>
          </w:tcPr>
          <w:p>
            <w:r>
              <w:t>Trade Date</w:t>
            </w:r>
          </w:p>
        </w:tc>
        <w:tc>
          <w:tcPr>
            <w:tcW w:type="dxa" w:w="4320"/>
          </w:tcPr>
          <w:p>
            <w:r>
              <w:t>09 July 2026</w:t>
            </w:r>
          </w:p>
        </w:tc>
      </w:tr>
      <w:tr>
        <w:tc>
          <w:tcPr>
            <w:tcW w:type="dxa" w:w="4320"/>
          </w:tcPr>
          <w:p>
            <w:r>
              <w:t>Initial Fixing Date</w:t>
            </w:r>
          </w:p>
        </w:tc>
        <w:tc>
          <w:tcPr>
            <w:tcW w:type="dxa" w:w="4320"/>
          </w:tcPr>
          <w:p>
            <w:r>
              <w:t>09 July 2026</w:t>
            </w:r>
          </w:p>
        </w:tc>
      </w:tr>
      <w:tr>
        <w:tc>
          <w:tcPr>
            <w:tcW w:type="dxa" w:w="4320"/>
          </w:tcPr>
          <w:p>
            <w:r>
              <w:t>Issue Date</w:t>
            </w:r>
          </w:p>
        </w:tc>
        <w:tc>
          <w:tcPr>
            <w:tcW w:type="dxa" w:w="4320"/>
          </w:tcPr>
          <w:p>
            <w:r>
              <w:t>16 July 2026</w:t>
            </w:r>
          </w:p>
        </w:tc>
      </w:tr>
      <w:tr>
        <w:tc>
          <w:tcPr>
            <w:tcW w:type="dxa" w:w="4320"/>
          </w:tcPr>
          <w:p>
            <w:r>
              <w:t>Final Fixing Date</w:t>
            </w:r>
          </w:p>
        </w:tc>
        <w:tc>
          <w:tcPr>
            <w:tcW w:type="dxa" w:w="4320"/>
          </w:tcPr>
          <w:p>
            <w:r>
              <w:t>09 April 2027</w:t>
            </w:r>
          </w:p>
        </w:tc>
      </w:tr>
      <w:tr>
        <w:tc>
          <w:tcPr>
            <w:tcW w:type="dxa" w:w="4320"/>
          </w:tcPr>
          <w:p>
            <w:r>
              <w:t>Maturity Date</w:t>
            </w:r>
          </w:p>
        </w:tc>
        <w:tc>
          <w:tcPr>
            <w:tcW w:type="dxa" w:w="4320"/>
          </w:tcPr>
          <w:p>
            <w:r>
              <w:t>16 April 2027</w:t>
            </w:r>
          </w:p>
        </w:tc>
      </w:tr>
      <w:tr>
        <w:tc>
          <w:tcPr>
            <w:tcW w:type="dxa" w:w="4320"/>
          </w:tcPr>
          <w:p>
            <w:r>
              <w:t>Notional Amount</w:t>
            </w:r>
          </w:p>
        </w:tc>
        <w:tc>
          <w:tcPr>
            <w:tcW w:type="dxa" w:w="4320"/>
          </w:tcPr>
          <w:p>
            <w:r>
              <w:t>USD 750,000</w:t>
            </w:r>
          </w:p>
        </w:tc>
      </w:tr>
      <w:tr>
        <w:tc>
          <w:tcPr>
            <w:tcW w:type="dxa" w:w="4320"/>
          </w:tcPr>
          <w:p>
            <w:r>
              <w:t>Denomination</w:t>
            </w:r>
          </w:p>
        </w:tc>
        <w:tc>
          <w:tcPr>
            <w:tcW w:type="dxa" w:w="4320"/>
          </w:tcPr>
          <w:p>
            <w:r>
              <w:t>USD 50,000</w:t>
            </w:r>
          </w:p>
        </w:tc>
      </w:tr>
      <w:tr>
        <w:tc>
          <w:tcPr>
            <w:tcW w:type="dxa" w:w="4320"/>
          </w:tcPr>
          <w:p>
            <w:r>
              <w:t>Coupon Rate</w:t>
            </w:r>
          </w:p>
        </w:tc>
        <w:tc>
          <w:tcPr>
            <w:tcW w:type="dxa" w:w="4320"/>
          </w:tcPr>
          <w:p>
            <w:r>
              <w:t>12.75% p.a.</w:t>
            </w:r>
          </w:p>
        </w:tc>
      </w:tr>
      <w:tr>
        <w:tc>
          <w:tcPr>
            <w:tcW w:type="dxa" w:w="4320"/>
          </w:tcPr>
          <w:p>
            <w:r>
              <w:t>Coupon Frequency</w:t>
            </w:r>
          </w:p>
        </w:tc>
        <w:tc>
          <w:tcPr>
            <w:tcW w:type="dxa" w:w="4320"/>
          </w:tcPr>
          <w:p>
            <w:r>
              <w:t>Monthly</w:t>
            </w:r>
          </w:p>
        </w:tc>
      </w:tr>
      <w:tr>
        <w:tc>
          <w:tcPr>
            <w:tcW w:type="dxa" w:w="4320"/>
          </w:tcPr>
          <w:p>
            <w:r>
              <w:t>Strike Level</w:t>
            </w:r>
          </w:p>
        </w:tc>
        <w:tc>
          <w:tcPr>
            <w:tcW w:type="dxa" w:w="4320"/>
          </w:tcPr>
          <w:p>
            <w:r>
              <w:t>85.00% of the Initial Price</w:t>
            </w:r>
          </w:p>
        </w:tc>
      </w:tr>
      <w:tr>
        <w:tc>
          <w:tcPr>
            <w:tcW w:type="dxa" w:w="4320"/>
          </w:tcPr>
          <w:p>
            <w:r>
              <w:t>Knock-Out Barrier</w:t>
            </w:r>
          </w:p>
        </w:tc>
        <w:tc>
          <w:tcPr>
            <w:tcW w:type="dxa" w:w="4320"/>
          </w:tcPr>
          <w:p>
            <w:r>
              <w:t>103.00% of the Initial Price</w:t>
            </w:r>
          </w:p>
        </w:tc>
      </w:tr>
      <w:tr>
        <w:tc>
          <w:tcPr>
            <w:tcW w:type="dxa" w:w="4320"/>
          </w:tcPr>
          <w:p>
            <w:r>
              <w:t>Knock-Out Observation</w:t>
            </w:r>
          </w:p>
        </w:tc>
        <w:tc>
          <w:tcPr>
            <w:tcW w:type="dxa" w:w="4320"/>
          </w:tcPr>
          <w:p>
            <w:r>
              <w:t>Daily Close</w:t>
            </w:r>
          </w:p>
        </w:tc>
      </w:tr>
      <w:tr>
        <w:tc>
          <w:tcPr>
            <w:tcW w:type="dxa" w:w="4320"/>
          </w:tcPr>
          <w:p>
            <w:r>
              <w:t>First Autocall Date</w:t>
            </w:r>
          </w:p>
        </w:tc>
        <w:tc>
          <w:tcPr>
            <w:tcW w:type="dxa" w:w="4320"/>
          </w:tcPr>
          <w:p>
            <w:r>
              <w:t>09 August 2026</w:t>
            </w:r>
          </w:p>
        </w:tc>
      </w:tr>
      <w:tr>
        <w:tc>
          <w:tcPr>
            <w:tcW w:type="dxa" w:w="4320"/>
          </w:tcPr>
          <w:p>
            <w:r>
              <w:t>Knock-In Barrier</w:t>
            </w:r>
          </w:p>
        </w:tc>
        <w:tc>
          <w:tcPr>
            <w:tcW w:type="dxa" w:w="4320"/>
          </w:tcPr>
          <w:p>
            <w:r>
              <w:t>65.00% of the Initial Price</w:t>
            </w:r>
          </w:p>
        </w:tc>
      </w:tr>
      <w:tr>
        <w:tc>
          <w:tcPr>
            <w:tcW w:type="dxa" w:w="4320"/>
          </w:tcPr>
          <w:p>
            <w:r>
              <w:t>Knock-In Observation</w:t>
            </w:r>
          </w:p>
        </w:tc>
        <w:tc>
          <w:tcPr>
            <w:tcW w:type="dxa" w:w="4320"/>
          </w:tcPr>
          <w:p>
            <w:r>
              <w:t>Daily Close</w:t>
            </w:r>
          </w:p>
        </w:tc>
      </w:tr>
      <w:tr>
        <w:tc>
          <w:tcPr>
            <w:tcW w:type="dxa" w:w="4320"/>
          </w:tcPr>
          <w:p>
            <w:r>
              <w:t>Basket Type</w:t>
            </w:r>
          </w:p>
        </w:tc>
        <w:tc>
          <w:tcPr>
            <w:tcW w:type="dxa" w:w="4320"/>
          </w:tcPr>
          <w:p>
            <w:r>
              <w:t>Single</w:t>
            </w:r>
          </w:p>
        </w:tc>
      </w:tr>
      <w:tr>
        <w:tc>
          <w:tcPr>
            <w:tcW w:type="dxa" w:w="4320"/>
          </w:tcPr>
          <w:p>
            <w:r>
              <w:t>Settlement Type</w:t>
            </w:r>
          </w:p>
        </w:tc>
        <w:tc>
          <w:tcPr>
            <w:tcW w:type="dxa" w:w="4320"/>
          </w:tcPr>
          <w:p>
            <w:r>
              <w:t>Cash</w:t>
            </w:r>
          </w:p>
        </w:tc>
      </w:tr>
      <w:tr>
        <w:tc>
          <w:tcPr>
            <w:tcW w:type="dxa" w:w="4320"/>
          </w:tcPr>
          <w:p>
            <w:r>
              <w:t>Settlement Currency</w:t>
            </w:r>
          </w:p>
        </w:tc>
        <w:tc>
          <w:tcPr>
            <w:tcW w:type="dxa" w:w="4320"/>
          </w:tcPr>
          <w:p>
            <w:r>
              <w:t>USD</w:t>
            </w:r>
          </w:p>
        </w:tc>
      </w:tr>
      <w:tr>
        <w:tc>
          <w:tcPr>
            <w:tcW w:type="dxa" w:w="4320"/>
          </w:tcPr>
          <w:p>
            <w:r>
              <w:t>Business Day Convention</w:t>
            </w:r>
          </w:p>
        </w:tc>
        <w:tc>
          <w:tcPr>
            <w:tcW w:type="dxa" w:w="4320"/>
          </w:tcPr>
          <w:p>
            <w:r>
              <w:t>Modified Following</w:t>
            </w:r>
          </w:p>
        </w:tc>
      </w:tr>
      <w:tr>
        <w:tc>
          <w:tcPr>
            <w:tcW w:type="dxa" w:w="4320"/>
          </w:tcPr>
          <w:p>
            <w:r>
              <w:t>Calculation Agent</w:t>
            </w:r>
          </w:p>
        </w:tc>
        <w:tc>
          <w:tcPr>
            <w:tcW w:type="dxa" w:w="4320"/>
          </w:tcPr>
          <w:p>
            <w:r>
              <w:t>Standard Chartered Bank</w:t>
            </w:r>
          </w:p>
        </w:tc>
      </w:tr>
      <w:tr>
        <w:tc>
          <w:tcPr>
            <w:tcW w:type="dxa" w:w="4320"/>
          </w:tcPr>
          <w:p>
            <w:r>
              <w:t>Governing Law</w:t>
            </w:r>
          </w:p>
        </w:tc>
        <w:tc>
          <w:tcPr>
            <w:tcW w:type="dxa" w:w="4320"/>
          </w:tcPr>
          <w:p>
            <w:r>
              <w:t>English Law</w:t>
            </w:r>
          </w:p>
        </w:tc>
      </w:tr>
    </w:tbl>
    <w:p/>
    <w:p>
      <w:r>
        <w:t>Underlying Shares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Underlying</w:t>
            </w:r>
          </w:p>
        </w:tc>
        <w:tc>
          <w:tcPr>
            <w:tcW w:type="dxa" w:w="1728"/>
          </w:tcPr>
          <w:p>
            <w:r>
              <w:t>Ticker</w:t>
            </w:r>
          </w:p>
        </w:tc>
        <w:tc>
          <w:tcPr>
            <w:tcW w:type="dxa" w:w="1728"/>
          </w:tcPr>
          <w:p>
            <w:r>
              <w:t>Exchange</w:t>
            </w:r>
          </w:p>
        </w:tc>
        <w:tc>
          <w:tcPr>
            <w:tcW w:type="dxa" w:w="1728"/>
          </w:tcPr>
          <w:p>
            <w:r>
              <w:t>Initial Price</w:t>
            </w:r>
          </w:p>
        </w:tc>
        <w:tc>
          <w:tcPr>
            <w:tcW w:type="dxa" w:w="1728"/>
          </w:tcPr>
          <w:p>
            <w:r>
              <w:t>Strike Price</w:t>
            </w:r>
          </w:p>
        </w:tc>
      </w:tr>
      <w:tr>
        <w:tc>
          <w:tcPr>
            <w:tcW w:type="dxa" w:w="1728"/>
          </w:tcPr>
          <w:p>
            <w:r>
              <w:t>Tesla Inc</w:t>
            </w:r>
          </w:p>
        </w:tc>
        <w:tc>
          <w:tcPr>
            <w:tcW w:type="dxa" w:w="1728"/>
          </w:tcPr>
          <w:p>
            <w:r>
              <w:t>TSLA UQ</w:t>
            </w:r>
          </w:p>
        </w:tc>
        <w:tc>
          <w:tcPr>
            <w:tcW w:type="dxa" w:w="1728"/>
          </w:tcPr>
          <w:p>
            <w:r>
              <w:t>NASDAQ</w:t>
            </w:r>
          </w:p>
        </w:tc>
        <w:tc>
          <w:tcPr>
            <w:tcW w:type="dxa" w:w="1728"/>
          </w:tcPr>
          <w:p>
            <w:r>
              <w:t>294.50</w:t>
            </w:r>
          </w:p>
        </w:tc>
        <w:tc>
          <w:tcPr>
            <w:tcW w:type="dxa" w:w="1728"/>
          </w:tcPr>
          <w:p>
            <w:r>
              <w:t>250.33</w:t>
            </w:r>
          </w:p>
        </w:tc>
      </w:tr>
    </w:tbl>
    <w:p/>
    <w:p>
      <w:r>
        <w:t>Sales Contact: Priya Nair</w:t>
      </w:r>
    </w:p>
    <w:p>
      <w:r>
        <w:t>Email: priya.nair@scb-desk.example.com</w:t>
      </w:r>
    </w:p>
    <w:p>
      <w:r>
        <w:t>Phone: +65 6596 7000</w:t>
      </w:r>
    </w:p>
    <w:p>
      <w:r>
        <w:t>IBAN: GB29NWBK60161331926819</w:t>
      </w:r>
    </w:p>
    <w:p>
      <w:r>
        <w:t>This document is an indicative term sheet for discussion purposes only and does not constitute an offer to sell or a solicitation to buy any security. Structured products involve risk, including possible loss of principal. Capitalised terms are as defined in the final offering documentation. SYNTHETIC SAMPLE FOR SYSTEM TESTING — NOT A REAL TRADE.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