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EF10B" w14:textId="535EC653" w:rsidR="000D16F7" w:rsidRDefault="000D16F7" w:rsidP="000D16F7">
      <w:pPr>
        <w:pStyle w:val="Title"/>
      </w:pPr>
      <w:r w:rsidRPr="000D16F7">
        <w:t>Killjoys. Praise of Condemn?</w:t>
      </w:r>
    </w:p>
    <w:p w14:paraId="7B8AC45A" w14:textId="32B1475D" w:rsidR="000D16F7" w:rsidRDefault="000D16F7" w:rsidP="000D16F7">
      <w:r>
        <w:t>By ######</w:t>
      </w:r>
    </w:p>
    <w:p w14:paraId="11AB59D5" w14:textId="77777777" w:rsidR="000D16F7" w:rsidRPr="000D16F7" w:rsidRDefault="000D16F7" w:rsidP="000D16F7"/>
    <w:p w14:paraId="22CFA16A" w14:textId="280C859F" w:rsidR="00411461" w:rsidRDefault="00411461" w:rsidP="00411461">
      <w:pPr>
        <w:tabs>
          <w:tab w:val="left" w:pos="1510"/>
        </w:tabs>
      </w:pPr>
      <w:r w:rsidRPr="00A95FDA">
        <w:t>In every society, individuals who disrupt the status quo or challenge established norms—commonly labeled as "killjoys"—pose a complex moral question. These figures vary widely in intent and impact, ranging from those who unintentionally dampen enthusiasm due to personal traits like cynicism or habitual concern-raising, to those who deliberately provoke conflict for self-serving or malicious reasons. While intentional disruptors, such as those exhibiting characteristics of the “Dark Triad” or engaging in harmful trolling, warrant criticism for the damage they cause, not all disruption is inherently negative. Feminist killjoys and morally motivated dissenters demonstrate how challenging norms can expose injustices and promote meaningful societal progress, even within idealized communities. Though some critics argue that killjoys undermine social harmony, their ability to confront conformity and foster equity underscores their importance. This essay examines the multifaceted nature of killjoys, emphasizing the necessity of evaluating their motives, contexts, and outcomes before rendering judgment.</w:t>
      </w:r>
    </w:p>
    <w:p w14:paraId="40EBB3AE" w14:textId="3E0E4AA9" w:rsidR="00411461" w:rsidRPr="00411461" w:rsidRDefault="00411461" w:rsidP="00411461">
      <w:pPr>
        <w:rPr>
          <w:b/>
          <w:bCs/>
          <w:u w:val="single"/>
        </w:rPr>
      </w:pPr>
      <w:r w:rsidRPr="00411461">
        <w:rPr>
          <w:b/>
          <w:bCs/>
          <w:u w:val="single"/>
        </w:rPr>
        <w:t>Types of Killjoys</w:t>
      </w:r>
    </w:p>
    <w:p w14:paraId="2EF6FB45" w14:textId="6A3651C4" w:rsidR="00411461" w:rsidRPr="00411461" w:rsidRDefault="00411461" w:rsidP="00411461">
      <w:r w:rsidRPr="00411461">
        <w:t>Killjoys can be broadly categorized into two groups: unintentional and deliberate disruptors. This distinction helps clarify their roles and the moral implications of their actions.</w:t>
      </w:r>
    </w:p>
    <w:p w14:paraId="54125544" w14:textId="77777777" w:rsidR="00411461" w:rsidRPr="00411461" w:rsidRDefault="00411461" w:rsidP="00411461">
      <w:pPr>
        <w:rPr>
          <w:b/>
          <w:bCs/>
        </w:rPr>
      </w:pPr>
      <w:r w:rsidRPr="00411461">
        <w:rPr>
          <w:b/>
          <w:bCs/>
        </w:rPr>
        <w:t>Unintentional Killjoys</w:t>
      </w:r>
    </w:p>
    <w:p w14:paraId="5E5DEB51" w14:textId="77777777" w:rsidR="00411461" w:rsidRPr="00411461" w:rsidRDefault="00411461" w:rsidP="00411461">
      <w:r w:rsidRPr="00411461">
        <w:t xml:space="preserve">Unintentional killjoys often disrupt enthusiasm or harmony without malicious intent. Their actions stem from personal characteristics, such as cynicism or a habitual tendency to raise concerns, rather than a deliberate desire to cause harm. Cynicism, as explored by </w:t>
      </w:r>
      <w:proofErr w:type="spellStart"/>
      <w:r w:rsidRPr="00411461">
        <w:t>Schutijser</w:t>
      </w:r>
      <w:proofErr w:type="spellEnd"/>
      <w:r w:rsidRPr="00411461">
        <w:t xml:space="preserve"> in </w:t>
      </w:r>
      <w:r w:rsidRPr="00411461">
        <w:rPr>
          <w:i/>
          <w:iCs/>
        </w:rPr>
        <w:t>“Cynicism as a Way of Life”</w:t>
      </w:r>
      <w:r w:rsidRPr="00411461">
        <w:t xml:space="preserve"> (Module 5), is frequently perceived as a negative quality. However, </w:t>
      </w:r>
      <w:proofErr w:type="spellStart"/>
      <w:r w:rsidRPr="00411461">
        <w:t>Schutijser</w:t>
      </w:r>
      <w:proofErr w:type="spellEnd"/>
      <w:r w:rsidRPr="00411461">
        <w:t xml:space="preserve"> argues that it can also offer critical perspectives by encouraging skepticism toward overly optimistic or flawed ideas. Similarly, Kowalski’s </w:t>
      </w:r>
      <w:r w:rsidRPr="00411461">
        <w:rPr>
          <w:i/>
          <w:iCs/>
        </w:rPr>
        <w:t>“Whining, Griping, and Complaining: Positivity in the Negativity”</w:t>
      </w:r>
      <w:r w:rsidRPr="00411461">
        <w:t xml:space="preserve"> (Module 7) highlights the constructive potential of complaints. While habitual complaining might seem disruptive, it can draw attention to overlooked issues or inspire necessary improvements. Thus, while unintentional killjoys may occasionally dampen enthusiasm, their perspectives can contribute to meaningful discussions and decision-making.</w:t>
      </w:r>
    </w:p>
    <w:p w14:paraId="5419658E" w14:textId="77777777" w:rsidR="00411461" w:rsidRPr="00411461" w:rsidRDefault="00411461" w:rsidP="00411461">
      <w:pPr>
        <w:rPr>
          <w:b/>
          <w:bCs/>
        </w:rPr>
      </w:pPr>
      <w:r w:rsidRPr="00411461">
        <w:rPr>
          <w:b/>
          <w:bCs/>
        </w:rPr>
        <w:t>Deliberate Killjoys</w:t>
      </w:r>
    </w:p>
    <w:p w14:paraId="6D59DE56" w14:textId="77777777" w:rsidR="00411461" w:rsidRPr="00411461" w:rsidRDefault="00411461" w:rsidP="00411461">
      <w:r w:rsidRPr="00411461">
        <w:t xml:space="preserve">Deliberate killjoys, on the other hand, intentionally disrupt or provoke conflict. These individuals often exhibit traits linked to selfishness, malice, or a desire for personal gain, aligning with characteristics of the “Dark Triad.” Koehn et al., in </w:t>
      </w:r>
      <w:r w:rsidRPr="00411461">
        <w:rPr>
          <w:i/>
          <w:iCs/>
        </w:rPr>
        <w:t>“A Primer on the Dark Triad Traits”</w:t>
      </w:r>
      <w:r w:rsidRPr="00411461">
        <w:t xml:space="preserve"> (Module 2), describe how traits like narcissism and psychopathy fuel behaviors aimed at causing harm or chaos, making these killjoys particularly damaging. James, in </w:t>
      </w:r>
      <w:r w:rsidRPr="00411461">
        <w:rPr>
          <w:i/>
          <w:iCs/>
        </w:rPr>
        <w:t>Assholes</w:t>
      </w:r>
      <w:r w:rsidRPr="00411461">
        <w:t xml:space="preserve"> (Chapters 1–2) (Module 3), further explores the motivations behind such individuals, describing them as people who disregard others’ needs to achieve their own goals. Unlike unintentional killjoys, their actions lack the </w:t>
      </w:r>
      <w:r w:rsidRPr="00411461">
        <w:lastRenderedPageBreak/>
        <w:t>potential for constructive dialogue or societal progress, as their intent is rooted in self-interest or disruption for its own sake.</w:t>
      </w:r>
    </w:p>
    <w:p w14:paraId="09645F57" w14:textId="45531860" w:rsidR="003449D9" w:rsidRDefault="00411461">
      <w:r w:rsidRPr="00411461">
        <w:t>In sum, unintentional killjoys may contribute positively to society despite their disruptive tendencies, whereas deliberate killjoys are often harmful, driven by traits and motivations that undermine trust and cohesion. Understanding these distinctions is crucial for evaluating their moral and social significance.</w:t>
      </w:r>
    </w:p>
    <w:p w14:paraId="7A7C6F8C" w14:textId="77777777" w:rsidR="00411461" w:rsidRPr="00411461" w:rsidRDefault="00411461" w:rsidP="00411461">
      <w:pPr>
        <w:rPr>
          <w:b/>
          <w:bCs/>
          <w:u w:val="single"/>
        </w:rPr>
      </w:pPr>
      <w:r w:rsidRPr="00411461">
        <w:rPr>
          <w:b/>
          <w:bCs/>
          <w:u w:val="single"/>
        </w:rPr>
        <w:t>The Harm of Deliberate Killjoys</w:t>
      </w:r>
    </w:p>
    <w:p w14:paraId="42F66772" w14:textId="77777777" w:rsidR="007B5501" w:rsidRPr="007B5501" w:rsidRDefault="007B5501" w:rsidP="007B5501">
      <w:r w:rsidRPr="007B5501">
        <w:t>Deliberate killjoys, driven by malicious intent or selfish motives, pose significant risks to social cohesion and interpersonal relationships. Their actions, often characterized by calculated disruption or incivility, create harmful environments that erode trust, harmony, and collective progress.</w:t>
      </w:r>
    </w:p>
    <w:p w14:paraId="01EB693E" w14:textId="77777777" w:rsidR="007B5501" w:rsidRPr="007B5501" w:rsidRDefault="007B5501" w:rsidP="007B5501">
      <w:pPr>
        <w:rPr>
          <w:b/>
          <w:bCs/>
        </w:rPr>
      </w:pPr>
      <w:r w:rsidRPr="007B5501">
        <w:rPr>
          <w:b/>
          <w:bCs/>
        </w:rPr>
        <w:t>Trolling and Bullying</w:t>
      </w:r>
    </w:p>
    <w:p w14:paraId="3F31276C" w14:textId="77777777" w:rsidR="007B5501" w:rsidRPr="007B5501" w:rsidRDefault="007B5501" w:rsidP="007B5501">
      <w:r w:rsidRPr="007B5501">
        <w:t xml:space="preserve">One prominent example of deliberate killjoys is online trolls, whose behaviors are designed to provoke, upset, or harm others. As explored in </w:t>
      </w:r>
      <w:r w:rsidRPr="007B5501">
        <w:rPr>
          <w:i/>
          <w:iCs/>
        </w:rPr>
        <w:t>“Trolls Just Want to Have Fun”</w:t>
      </w:r>
      <w:r w:rsidRPr="007B5501">
        <w:t xml:space="preserve"> (Module 4), trolls thrive on the chaos they create, deriving personal satisfaction from their victims' distress. Social media platforms amplify their reach, enabling a single disruptive individual to affect thousands, if not millions, of people. Algorithms designed to promote engagement inadvertently reward polarizing or inflammatory content, allowing trolls to gain visibility and further escalate tensions. This amplification transforms localized disruptions into widespread toxicity, affecting broader online communities.</w:t>
      </w:r>
    </w:p>
    <w:p w14:paraId="5BC2210B" w14:textId="77777777" w:rsidR="007B5501" w:rsidRPr="007B5501" w:rsidRDefault="007B5501" w:rsidP="007B5501">
      <w:r w:rsidRPr="007B5501">
        <w:t>The ethical implications of online anonymity further compound the problem. Anonymity provides a shield that allows trolls to act without fear of accountability, enabling harmful behaviors that might otherwise be restrained in face-to-face interactions. This lack of accountability raises critical ethical questions: Should platforms enforce stricter identity verification measures, or does such enforcement infringe on privacy? By protecting harmful actors under the guise of anonymity, social media platforms inadvertently create spaces where malicious behaviors can flourish unchecked.</w:t>
      </w:r>
    </w:p>
    <w:p w14:paraId="417A866D" w14:textId="77777777" w:rsidR="007B5501" w:rsidRPr="007B5501" w:rsidRDefault="007B5501" w:rsidP="007B5501">
      <w:r w:rsidRPr="007B5501">
        <w:t xml:space="preserve">Similarly, Smith’s </w:t>
      </w:r>
      <w:r w:rsidRPr="007B5501">
        <w:rPr>
          <w:i/>
          <w:iCs/>
        </w:rPr>
        <w:t>“Bullying: Definition, Types, Causes, Consequences, and Intervention”</w:t>
      </w:r>
      <w:r w:rsidRPr="007B5501">
        <w:t xml:space="preserve"> (Module 4) highlights the long-term consequences of bullying, such as damaged self-esteem, anxiety, and social withdrawal. Bullying in digital spaces, often exacerbated by anonymity, allows for relentless harassment that victims struggle to escape. Both trolling and bullying demonstrate how deliberate acts of disruption can lead to widespread harm, both individually and collectively.</w:t>
      </w:r>
    </w:p>
    <w:p w14:paraId="1483DEDD" w14:textId="77777777" w:rsidR="007B5501" w:rsidRPr="007B5501" w:rsidRDefault="007B5501" w:rsidP="007B5501">
      <w:pPr>
        <w:rPr>
          <w:b/>
          <w:bCs/>
        </w:rPr>
      </w:pPr>
      <w:r w:rsidRPr="007B5501">
        <w:rPr>
          <w:b/>
          <w:bCs/>
        </w:rPr>
        <w:t>Impact on Social Cohesion</w:t>
      </w:r>
    </w:p>
    <w:p w14:paraId="220980E8" w14:textId="77777777" w:rsidR="007B5501" w:rsidRPr="007B5501" w:rsidRDefault="007B5501" w:rsidP="007B5501">
      <w:r w:rsidRPr="007B5501">
        <w:t xml:space="preserve">Deliberate incivility further undermines the trust and harmony necessary for thriving communities. </w:t>
      </w:r>
      <w:r w:rsidRPr="007B5501">
        <w:rPr>
          <w:i/>
          <w:iCs/>
        </w:rPr>
        <w:t>The Wrong of Rudeness</w:t>
      </w:r>
      <w:r w:rsidRPr="007B5501">
        <w:t xml:space="preserve"> (Chapters 1–2) (Module 6) examines how behaviors like persistent rudeness damage interpersonal relationships, fostering resentment and isolation. When deliberate killjoys act with a lack of regard for social norms or others' well-being, they weaken the foundational bonds that hold communities together.</w:t>
      </w:r>
    </w:p>
    <w:p w14:paraId="61A2F5BB" w14:textId="77777777" w:rsidR="007B5501" w:rsidRPr="007B5501" w:rsidRDefault="007B5501" w:rsidP="007B5501">
      <w:r w:rsidRPr="007B5501">
        <w:t xml:space="preserve">The long-term impact of persistent incivility extends beyond individual relationships, affecting mental health and organizational productivity. Studies indicate that exposure to toxic </w:t>
      </w:r>
      <w:r w:rsidRPr="007B5501">
        <w:lastRenderedPageBreak/>
        <w:t>environments, whether online or offline, increases rates of depression, burnout, and disengagement. For instance, workplace cultures marked by incivility see declines in creativity, collaboration, and overall morale. Real-world case studies from corporate environments show how unchecked rudeness can lead to high employee turnover and diminished organizational success. Similarly, communities plagued by persistent negativity or hostility experience a loss of collective goodwill, as individuals withdraw from engagement and collaboration.</w:t>
      </w:r>
    </w:p>
    <w:p w14:paraId="43BA02A4" w14:textId="77777777" w:rsidR="007B5501" w:rsidRPr="007B5501" w:rsidRDefault="007B5501" w:rsidP="007B5501">
      <w:r w:rsidRPr="007B5501">
        <w:t xml:space="preserve">Deliberate killjoys differ significantly from their unintentional counterparts in that their harm is purposeful and often irreparable. While some forms of dissent or disruption can spark positive change, deliberate killjoys lack constructive intent, instead prioritizing their own satisfaction or agenda at the expense of others' well-being. Recognizing the </w:t>
      </w:r>
      <w:proofErr w:type="gramStart"/>
      <w:r w:rsidRPr="007B5501">
        <w:t>harm</w:t>
      </w:r>
      <w:proofErr w:type="gramEnd"/>
      <w:r w:rsidRPr="007B5501">
        <w:t xml:space="preserve"> they inflict is essential for mitigating their impact on both individuals and society. By addressing the mechanisms that enable and amplify their behavior, such as social media algorithms and online anonymity, communities can work to foster healthier, more constructive environments.</w:t>
      </w:r>
    </w:p>
    <w:p w14:paraId="5FD33781" w14:textId="77777777" w:rsidR="00B84089" w:rsidRPr="00B84089" w:rsidRDefault="00B84089" w:rsidP="00B84089">
      <w:pPr>
        <w:rPr>
          <w:b/>
          <w:bCs/>
          <w:u w:val="single"/>
        </w:rPr>
      </w:pPr>
      <w:r w:rsidRPr="00B84089">
        <w:rPr>
          <w:b/>
          <w:bCs/>
          <w:u w:val="single"/>
        </w:rPr>
        <w:t>The Value of Disruption</w:t>
      </w:r>
    </w:p>
    <w:p w14:paraId="45053431" w14:textId="77777777" w:rsidR="00B84089" w:rsidRPr="00B84089" w:rsidRDefault="00B84089" w:rsidP="00B84089">
      <w:r w:rsidRPr="00B84089">
        <w:t>While deliberate killjoys often inflict harm, not all disruptions to societal norms or harmony are detrimental. In fact, certain forms of disruption, such as those championed by feminist killjoys and morally motivated dissenters, serve an essential role in challenging oppressive systems, fostering equity, and driving societal progress.</w:t>
      </w:r>
    </w:p>
    <w:p w14:paraId="73B01DF4" w14:textId="77777777" w:rsidR="00B84089" w:rsidRPr="00B84089" w:rsidRDefault="00B84089" w:rsidP="00B84089">
      <w:pPr>
        <w:rPr>
          <w:b/>
          <w:bCs/>
        </w:rPr>
      </w:pPr>
      <w:r w:rsidRPr="00B84089">
        <w:rPr>
          <w:b/>
          <w:bCs/>
        </w:rPr>
        <w:t>Feminist Killjoys and Challenging Oppression</w:t>
      </w:r>
    </w:p>
    <w:p w14:paraId="467A17E5" w14:textId="77777777" w:rsidR="00B84089" w:rsidRPr="00B84089" w:rsidRDefault="00B84089" w:rsidP="00B84089">
      <w:r w:rsidRPr="00B84089">
        <w:t xml:space="preserve">Feminist killjoys, as Sara Ahmed outlines in </w:t>
      </w:r>
      <w:r w:rsidRPr="00B84089">
        <w:rPr>
          <w:i/>
          <w:iCs/>
        </w:rPr>
        <w:t>The Feminist Killjoy Handbook</w:t>
      </w:r>
      <w:r w:rsidRPr="00B84089">
        <w:t xml:space="preserve"> (Chapters 1–2) (Module 9), deliberately disrupt social norms to expose and challenge injustices. Ahmed describes how feminist killjoys refuse to maintain the illusion of societal harmony when it comes at the expense of marginalized groups. By questioning patriarchal values, rejecting complicity in oppressive practices, and demanding accountability, these individuals bring hidden inequities to light. Though often criticized as being overly negative or divisive, their actions are vital in creating more inclusive and equitable societies. Ahmed’s analysis highlights how feminist killjoys embody moral courage, using their disruption as a tool for systemic change rather than personal gain.</w:t>
      </w:r>
    </w:p>
    <w:p w14:paraId="54F38894" w14:textId="77777777" w:rsidR="00B84089" w:rsidRPr="00B84089" w:rsidRDefault="00B84089" w:rsidP="00B84089">
      <w:pPr>
        <w:rPr>
          <w:b/>
          <w:bCs/>
        </w:rPr>
      </w:pPr>
      <w:r w:rsidRPr="00B84089">
        <w:rPr>
          <w:b/>
          <w:bCs/>
        </w:rPr>
        <w:t>The Role of Morally Motivated Dissenters</w:t>
      </w:r>
    </w:p>
    <w:p w14:paraId="1DCB6E2F" w14:textId="77777777" w:rsidR="00B84089" w:rsidRPr="00B84089" w:rsidRDefault="00B84089" w:rsidP="00B84089">
      <w:r w:rsidRPr="00B84089">
        <w:t xml:space="preserve">Disruption also plays a crucial role in fostering innovation and progress through dissent. Nemeth and Goncalo’s </w:t>
      </w:r>
      <w:r w:rsidRPr="00B84089">
        <w:rPr>
          <w:i/>
          <w:iCs/>
        </w:rPr>
        <w:t>“Rogues and Heroes: Finding Value in Dissent”</w:t>
      </w:r>
      <w:r w:rsidRPr="00B84089">
        <w:t xml:space="preserve"> (Module 8) argue that dissenters, even in idealized or harmonious communities, challenge conformity and stimulate critical thinking. By presenting alternative perspectives, morally motivated dissenters encourage groups to reevaluate entrenched beliefs and practices, often leading to more effective decision-making and creative problem-solving. This form of disruption, unlike the selfish motivations of deliberate killjoys, prioritizes collective benefit and aligns with principles of moral integrity.</w:t>
      </w:r>
    </w:p>
    <w:p w14:paraId="204EC171" w14:textId="77777777" w:rsidR="00B84089" w:rsidRPr="00B84089" w:rsidRDefault="00B84089" w:rsidP="00B84089">
      <w:pPr>
        <w:rPr>
          <w:b/>
          <w:bCs/>
        </w:rPr>
      </w:pPr>
      <w:r w:rsidRPr="00B84089">
        <w:rPr>
          <w:b/>
          <w:bCs/>
        </w:rPr>
        <w:t>Disruption in Utopian Communities</w:t>
      </w:r>
    </w:p>
    <w:p w14:paraId="085FC0A7" w14:textId="77777777" w:rsidR="00B84089" w:rsidRPr="00B84089" w:rsidRDefault="00B84089" w:rsidP="00B84089">
      <w:r w:rsidRPr="00B84089">
        <w:t xml:space="preserve">Even in hypothetical utopian societies, dissent remains crucial. Utopias often depend on unexamined assumptions about harmony and consensus, which can mask systemic inequalities or suppress individual freedoms. By refusing to conform, feminist killjoys and dissenters reveal these </w:t>
      </w:r>
      <w:r w:rsidRPr="00B84089">
        <w:lastRenderedPageBreak/>
        <w:t>flaws, ensuring that the community evolves to address hidden or emerging injustices. Their willingness to disrupt the status quo underscores the importance of continuous self-reflection and growth, even in seemingly perfect systems.</w:t>
      </w:r>
    </w:p>
    <w:p w14:paraId="5C6E8DC6" w14:textId="77777777" w:rsidR="00B84089" w:rsidRPr="00B84089" w:rsidRDefault="00B84089" w:rsidP="00B84089">
      <w:r w:rsidRPr="00B84089">
        <w:t>In essence, the value of disruption lies in its potential to drive positive change. Feminist killjoys and morally motivated dissenters challenge oppressive systems, inspire critical thinking, and ensure that societies remain adaptable and just. Their disruptions are not acts of destruction but rather acts of creation—building a foundation for equity, innovation, and progress.</w:t>
      </w:r>
    </w:p>
    <w:p w14:paraId="05D0498D" w14:textId="77777777" w:rsidR="00E41F70" w:rsidRPr="00E41F70" w:rsidRDefault="00E41F70" w:rsidP="00E41F70">
      <w:pPr>
        <w:rPr>
          <w:b/>
          <w:bCs/>
          <w:u w:val="single"/>
        </w:rPr>
      </w:pPr>
      <w:r w:rsidRPr="00E41F70">
        <w:rPr>
          <w:b/>
          <w:bCs/>
          <w:u w:val="single"/>
        </w:rPr>
        <w:t>Counterarguments</w:t>
      </w:r>
    </w:p>
    <w:p w14:paraId="22A25428" w14:textId="77777777" w:rsidR="00E41F70" w:rsidRPr="00E41F70" w:rsidRDefault="00E41F70" w:rsidP="00E41F70">
      <w:r w:rsidRPr="00E41F70">
        <w:t>While the disruptive nature of killjoys can lead to meaningful societal change, critics argue that their actions often undermine harmony and cohesion within communities. This perspective highlights the potential downsides of challenging the status quo, emphasizing the risks of alienation, social instability, and excessive negativity.</w:t>
      </w:r>
    </w:p>
    <w:p w14:paraId="48834345" w14:textId="77777777" w:rsidR="00E41F70" w:rsidRPr="00E41F70" w:rsidRDefault="00E41F70" w:rsidP="00E41F70">
      <w:pPr>
        <w:rPr>
          <w:b/>
          <w:bCs/>
        </w:rPr>
      </w:pPr>
      <w:r w:rsidRPr="00E41F70">
        <w:rPr>
          <w:b/>
          <w:bCs/>
        </w:rPr>
        <w:t>Disruption as a Threat to Social Harmony</w:t>
      </w:r>
    </w:p>
    <w:p w14:paraId="6EB88581" w14:textId="77777777" w:rsidR="00E41F70" w:rsidRPr="00E41F70" w:rsidRDefault="00E41F70" w:rsidP="00E41F70">
      <w:r w:rsidRPr="00E41F70">
        <w:t xml:space="preserve">Critics contend that killjoys, regardless of intent, jeopardize the trust and unity essential for healthy relationships and communities. Smith’s </w:t>
      </w:r>
      <w:r w:rsidRPr="00E41F70">
        <w:rPr>
          <w:i/>
          <w:iCs/>
        </w:rPr>
        <w:t>“Bullying: Definition, Types, Causes, Consequences, and Intervention”</w:t>
      </w:r>
      <w:r w:rsidRPr="00E41F70">
        <w:t xml:space="preserve"> (Module 4) outlines how behaviors that deviate from social norms, like bullying or persistent negativity, can cause significant harm to individuals and the collective well-being of groups. By focusing on disruption, killjoys may unintentionally create an environment of hostility or fear, hindering collaboration and inclusivity. Such criticisms suggest that even morally motivated dissent can have unintended consequences, alienating allies or fostering divisiveness rather than constructive dialogue.</w:t>
      </w:r>
    </w:p>
    <w:p w14:paraId="37E6A518" w14:textId="77777777" w:rsidR="00E41F70" w:rsidRPr="00E41F70" w:rsidRDefault="00E41F70" w:rsidP="00E41F70">
      <w:pPr>
        <w:rPr>
          <w:b/>
          <w:bCs/>
        </w:rPr>
      </w:pPr>
      <w:r w:rsidRPr="00E41F70">
        <w:rPr>
          <w:b/>
          <w:bCs/>
        </w:rPr>
        <w:t>Excessive Disruption as a Barrier to Progress</w:t>
      </w:r>
    </w:p>
    <w:p w14:paraId="63B28E7C" w14:textId="77777777" w:rsidR="007B5501" w:rsidRPr="007B5501" w:rsidRDefault="007B5501" w:rsidP="007B5501">
      <w:r w:rsidRPr="007B5501">
        <w:t>Another counterpoint is that frequent or extreme disruptions can stifle progress rather than facilitate it. Persistent dissent, especially if perceived as overly critical or uncompromising, risks creating resistance among those who might otherwise be open to change. This phenomenon, often referred to as the "paradox of change," suggests that excessive or unrelenting disruption can exhaust public resolve and generate backlash, thereby hindering the very progress it seeks to achieve. For instance, when individuals or groups consistently challenge every aspect of a system, they may inadvertently alienate potential allies or reinforce the status quo by overwhelming others with criticism.</w:t>
      </w:r>
    </w:p>
    <w:p w14:paraId="54111AD7" w14:textId="77777777" w:rsidR="007B5501" w:rsidRPr="007B5501" w:rsidRDefault="007B5501" w:rsidP="007B5501">
      <w:r w:rsidRPr="007B5501">
        <w:rPr>
          <w:i/>
          <w:iCs/>
        </w:rPr>
        <w:t>The Wrong of Rudeness</w:t>
      </w:r>
      <w:r w:rsidRPr="007B5501">
        <w:t xml:space="preserve"> (Chapters 1–2) (Module 6) illustrates how incivility, even when well-intentioned, can backfire by alienating those whose support is necessary for meaningful reform. Social and political movements provide a poignant example of this dynamic. Movements reliant on continuous disruption often face diminishing returns as fatigue sets in among participants and supporters. For instance, public demonstrations or protests that become too frequent or aggressive may prompt the broader population to view the movement as antagonistic rather than aspirational, weakening its legitimacy.</w:t>
      </w:r>
    </w:p>
    <w:p w14:paraId="2F3F843F" w14:textId="77777777" w:rsidR="007B5501" w:rsidRPr="007B5501" w:rsidRDefault="007B5501" w:rsidP="007B5501">
      <w:r w:rsidRPr="007B5501">
        <w:t xml:space="preserve">Moreover, the energy required to sustain perpetual resistance can lead to burnout among activists and dissenters themselves. This burnout, combined with public desensitization, can stall </w:t>
      </w:r>
      <w:r w:rsidRPr="007B5501">
        <w:lastRenderedPageBreak/>
        <w:t xml:space="preserve">momentum and delay progress. Political movements, in particular, risk losing credibility when opposition to established norms appears </w:t>
      </w:r>
      <w:proofErr w:type="spellStart"/>
      <w:r w:rsidRPr="007B5501">
        <w:t>unstrategic</w:t>
      </w:r>
      <w:proofErr w:type="spellEnd"/>
      <w:r w:rsidRPr="007B5501">
        <w:t xml:space="preserve"> or excessive, as opponents can frame such resistance as unproductive or purely obstructive.</w:t>
      </w:r>
    </w:p>
    <w:p w14:paraId="32C12C12" w14:textId="77777777" w:rsidR="007B5501" w:rsidRPr="007B5501" w:rsidRDefault="007B5501" w:rsidP="007B5501">
      <w:r w:rsidRPr="007B5501">
        <w:t>Critics argue that fostering progress requires a balance between challenging norms and maintaining respect and cooperation, which some killjoys fail to achieve. Effective disruption must carefully target specific injustices while remaining mindful of preserving goodwill and collaboration among stakeholders. Without this balance, excessive disruption not only impedes progress but also risks cementing opposition to future reform efforts, creating a cycle where change becomes increasingly difficult to realize.</w:t>
      </w:r>
    </w:p>
    <w:p w14:paraId="24A8DC63" w14:textId="77777777" w:rsidR="00E41F70" w:rsidRPr="00E41F70" w:rsidRDefault="00E41F70" w:rsidP="00E41F70">
      <w:pPr>
        <w:rPr>
          <w:b/>
          <w:bCs/>
          <w:u w:val="single"/>
        </w:rPr>
      </w:pPr>
      <w:r w:rsidRPr="00E41F70">
        <w:rPr>
          <w:b/>
          <w:bCs/>
          <w:u w:val="single"/>
        </w:rPr>
        <w:t>Response to Criticism</w:t>
      </w:r>
    </w:p>
    <w:p w14:paraId="625B20D9" w14:textId="77777777" w:rsidR="007B5501" w:rsidRPr="007B5501" w:rsidRDefault="007B5501" w:rsidP="007B5501">
      <w:r w:rsidRPr="007B5501">
        <w:t xml:space="preserve">While these concerns are valid, they often overlook the intent behind a killjoy’s actions and the broader context of their disruptions. Feminist killjoys and morally motivated dissenters, for instance, act not out of malice but a desire to address systemic injustices and provoke essential conversations. Nemeth and Goncalo’s </w:t>
      </w:r>
      <w:r w:rsidRPr="007B5501">
        <w:rPr>
          <w:i/>
          <w:iCs/>
        </w:rPr>
        <w:t>“Rogues and Heroes: Finding Value in Dissent”</w:t>
      </w:r>
      <w:r w:rsidRPr="007B5501">
        <w:t xml:space="preserve"> (Module 8) demonstrate how dissent can spark innovation and reveal blind spots in group thinking, even if initially perceived as disruptive. Similarly, Ahmed’s work on feminist killjoys emphasizes the moral imperative to prioritize justice over superficial harmony, arguing that lasting cohesion is only possible when underlying inequities are resolved.</w:t>
      </w:r>
    </w:p>
    <w:p w14:paraId="5D08130D" w14:textId="77777777" w:rsidR="007B5501" w:rsidRPr="007B5501" w:rsidRDefault="007B5501" w:rsidP="007B5501">
      <w:r w:rsidRPr="007B5501">
        <w:t>Despite these noble intentions, the role of compromise and balance becomes critical. Killjoys, particularly those striving to create meaningful change, must navigate the tension between advocating for justice and alienating potential allies. Excessive negativity or relentless critique may risk overshadowing their message, causing others to disengage or resist. To counter this, killjoys might respond to accusations of alienation by emphasizing the necessity of their actions while acknowledging the value of mutual understanding. For instance, they could actively frame their dissent as constructive criticism, focused on improvement rather than division, and remain open to dialogue and collaboration where possible.</w:t>
      </w:r>
    </w:p>
    <w:p w14:paraId="19CFBAFB" w14:textId="77777777" w:rsidR="007B5501" w:rsidRPr="007B5501" w:rsidRDefault="007B5501" w:rsidP="007B5501">
      <w:r w:rsidRPr="007B5501">
        <w:t>Ahmed’s feminist killjoys highlight a common defense against claims of negativity: they disrupt not to destroy but to uncover hidden truths that are uncomfortable yet vital for progress. This framing aligns with the idea that disruption is not inherently negative but can be a tool for transformation when wielded thoughtfully. Similarly, morally motivated dissenters often view their work as filling an ethical void, pointing out that silence or complacency in the face of injustice is a far greater harm.</w:t>
      </w:r>
    </w:p>
    <w:p w14:paraId="5145002E" w14:textId="77777777" w:rsidR="007B5501" w:rsidRPr="007B5501" w:rsidRDefault="007B5501" w:rsidP="007B5501">
      <w:r w:rsidRPr="007B5501">
        <w:t>Ultimately, while the disruptive nature of killjoys may appear counterproductive, it is often a necessary catalyst for progress. Critics’ concerns underscore the importance of evaluating intent and context, ensuring that disruption serves a constructive purpose rather than descending into harm or chaos. By striking a balance between persistence and adaptability, killjoys can maintain their ethical grounding while minimizing unnecessary division. This nuanced understanding allows society to balance the need for harmony with the imperative for equity and growth, appreciating that meaningful progress often requires uncomfortable but necessary challenges to the status quo.</w:t>
      </w:r>
    </w:p>
    <w:p w14:paraId="0E2418A8" w14:textId="77777777" w:rsidR="00E41F70" w:rsidRPr="00E41F70" w:rsidRDefault="00E41F70" w:rsidP="00E41F70">
      <w:pPr>
        <w:rPr>
          <w:b/>
          <w:bCs/>
          <w:u w:val="single"/>
        </w:rPr>
      </w:pPr>
      <w:r w:rsidRPr="00E41F70">
        <w:rPr>
          <w:b/>
          <w:bCs/>
          <w:u w:val="single"/>
        </w:rPr>
        <w:t>Conclusion</w:t>
      </w:r>
    </w:p>
    <w:p w14:paraId="19D2AB64" w14:textId="77777777" w:rsidR="00E41F70" w:rsidRPr="00E41F70" w:rsidRDefault="00E41F70" w:rsidP="00E41F70">
      <w:r w:rsidRPr="00E41F70">
        <w:lastRenderedPageBreak/>
        <w:t>Killjoys occupy a complex and often controversial role in society, straddling the line between disruptors of harmony and agents of progress. While deliberate killjoys who act out of selfishness or malice undoubtedly inflict harm and deserve condemnation, unintentional killjoys, feminist killjoys, and morally motivated dissenters reveal a more constructive side to disruption. Figures like feminist killjoys challenge oppressive systems, exposing hidden injustices and advocating for equity, while dissenters bring innovation and critical thinking to stagnant communities.</w:t>
      </w:r>
    </w:p>
    <w:p w14:paraId="4205E44F" w14:textId="77777777" w:rsidR="00E41F70" w:rsidRPr="00E41F70" w:rsidRDefault="00E41F70" w:rsidP="00E41F70">
      <w:r w:rsidRPr="00E41F70">
        <w:t>Critics rightly point out that disruption can undermine social cohesion, alienating individuals and hindering collaboration. However, these concerns fail to account for the intent and outcomes of constructive dissent. Disruption, when motivated by moral integrity and a desire for justice, is essential for addressing systemic flaws and ensuring societal growth. Even in idealized communities or utopian visions, dissent remains necessary to maintain fairness and adaptability.</w:t>
      </w:r>
    </w:p>
    <w:p w14:paraId="77148163" w14:textId="77777777" w:rsidR="00E41F70" w:rsidRPr="00E41F70" w:rsidRDefault="00E41F70" w:rsidP="00E41F70">
      <w:r w:rsidRPr="00E41F70">
        <w:t>In the end, the morality of killjoys cannot be universally praised or condemned. Each case must be evaluated based on its intent, context, and impact. By embracing the constructive potential of killjoys while mitigating their harmful tendencies, society can harness their unique perspectives to build more equitable, innovative, and resilient communities.</w:t>
      </w:r>
    </w:p>
    <w:p w14:paraId="2D9D45A5" w14:textId="77777777" w:rsidR="00411461" w:rsidRDefault="00411461"/>
    <w:p w14:paraId="7B373A1F" w14:textId="2ECF9D94" w:rsidR="002B26E8" w:rsidRDefault="002B26E8">
      <w:pPr>
        <w:rPr>
          <w:u w:val="single"/>
        </w:rPr>
      </w:pPr>
      <w:r w:rsidRPr="002B26E8">
        <w:rPr>
          <w:u w:val="single"/>
        </w:rPr>
        <w:t>References</w:t>
      </w:r>
    </w:p>
    <w:p w14:paraId="7B27B605" w14:textId="77777777" w:rsidR="002B26E8" w:rsidRDefault="002B26E8"/>
    <w:p w14:paraId="3D5AB86F" w14:textId="609CD1C1" w:rsidR="002B26E8" w:rsidRDefault="002B26E8">
      <w:r w:rsidRPr="002B26E8">
        <w:t xml:space="preserve">Koehn, M. A., Okan, C., &amp; Jonason, P. K. (2019). A primer on the Dark Triad traits. </w:t>
      </w:r>
      <w:r w:rsidRPr="002B26E8">
        <w:rPr>
          <w:i/>
          <w:iCs/>
        </w:rPr>
        <w:t>Australian Journal of Psychology, 71</w:t>
      </w:r>
      <w:r w:rsidRPr="002B26E8">
        <w:t xml:space="preserve">(1), 7–15. </w:t>
      </w:r>
      <w:hyperlink r:id="rId4" w:tgtFrame="_new" w:history="1">
        <w:r w:rsidRPr="002B26E8">
          <w:rPr>
            <w:rStyle w:val="Hyperlink"/>
            <w:u w:val="none"/>
          </w:rPr>
          <w:t>https://doi.org/10.1111/ajpy.12198</w:t>
        </w:r>
      </w:hyperlink>
    </w:p>
    <w:p w14:paraId="4871280B" w14:textId="0E5F8F47" w:rsidR="002B26E8" w:rsidRDefault="002B26E8">
      <w:r w:rsidRPr="002B26E8">
        <w:t xml:space="preserve">James, A. (2014). </w:t>
      </w:r>
      <w:r w:rsidRPr="002B26E8">
        <w:rPr>
          <w:i/>
          <w:iCs/>
        </w:rPr>
        <w:t>Assholes: A theory</w:t>
      </w:r>
      <w:r w:rsidRPr="002B26E8">
        <w:t>. Anchor Books. ISBN: 978-0804171359</w:t>
      </w:r>
    </w:p>
    <w:p w14:paraId="6D9175DE" w14:textId="37D78D44" w:rsidR="002B26E8" w:rsidRDefault="002B26E8">
      <w:r w:rsidRPr="002B26E8">
        <w:t>Smith, P. K. (2016). Bullying: Definition, types, causes, consequences and intervention. </w:t>
      </w:r>
      <w:r w:rsidRPr="002B26E8">
        <w:rPr>
          <w:i/>
          <w:iCs/>
        </w:rPr>
        <w:t>Social and Personality Psychology Compass, 10</w:t>
      </w:r>
      <w:r w:rsidRPr="002B26E8">
        <w:t>(9), 519–532. </w:t>
      </w:r>
      <w:hyperlink r:id="rId5" w:tgtFrame="_blank" w:history="1">
        <w:r w:rsidRPr="002B26E8">
          <w:rPr>
            <w:rStyle w:val="Hyperlink"/>
          </w:rPr>
          <w:t>https://doi.org/10.1111/spc3.12266</w:t>
        </w:r>
      </w:hyperlink>
    </w:p>
    <w:p w14:paraId="2DCDD6E9" w14:textId="1630132A" w:rsidR="002B26E8" w:rsidRDefault="002B26E8">
      <w:r w:rsidRPr="002B26E8">
        <w:t>Buckels, E. E., Trapnell, P. D., &amp; Paulhus, D. L. (2014). Trolls just want to have fun. </w:t>
      </w:r>
      <w:r w:rsidRPr="002B26E8">
        <w:rPr>
          <w:i/>
          <w:iCs/>
        </w:rPr>
        <w:t>Personality and Individual Differences, 67,</w:t>
      </w:r>
      <w:r w:rsidRPr="002B26E8">
        <w:t> 97–102. </w:t>
      </w:r>
      <w:hyperlink r:id="rId6" w:tgtFrame="_blank" w:history="1">
        <w:r w:rsidRPr="002B26E8">
          <w:rPr>
            <w:rStyle w:val="Hyperlink"/>
          </w:rPr>
          <w:t>https://doi.org/10.1016/j.paid.2014.01.016</w:t>
        </w:r>
      </w:hyperlink>
    </w:p>
    <w:p w14:paraId="5AEA5E70" w14:textId="68601D6F" w:rsidR="002B26E8" w:rsidRDefault="002B26E8">
      <w:proofErr w:type="spellStart"/>
      <w:r w:rsidRPr="002B26E8">
        <w:t>Schutijser</w:t>
      </w:r>
      <w:proofErr w:type="spellEnd"/>
      <w:r w:rsidRPr="002B26E8">
        <w:t xml:space="preserve">, Dennis. (2017). </w:t>
      </w:r>
      <w:r w:rsidRPr="00DB72E2">
        <w:rPr>
          <w:i/>
          <w:iCs/>
        </w:rPr>
        <w:t>Cynicism as a way of life: From the Classical Cynic to a New Cynicism</w:t>
      </w:r>
      <w:r w:rsidRPr="002B26E8">
        <w:t xml:space="preserve">. </w:t>
      </w:r>
      <w:proofErr w:type="spellStart"/>
      <w:r w:rsidRPr="002B26E8">
        <w:t>Akropolis</w:t>
      </w:r>
      <w:proofErr w:type="spellEnd"/>
      <w:r w:rsidRPr="002B26E8">
        <w:t>: Journal of Hellenic Studies. 1. 33-54. 10.35296/jhs.v1i0.2.</w:t>
      </w:r>
    </w:p>
    <w:p w14:paraId="64D6C279" w14:textId="4C4A2BFB" w:rsidR="002B26E8" w:rsidRDefault="002B26E8">
      <w:r w:rsidRPr="002B26E8">
        <w:t>Kowalski, R. M. (2002). Whining, griping, and complaining: Positivity in the negativity. </w:t>
      </w:r>
      <w:r w:rsidRPr="002B26E8">
        <w:rPr>
          <w:i/>
          <w:iCs/>
        </w:rPr>
        <w:t>Journal of Clinical Psychology, 58</w:t>
      </w:r>
      <w:r w:rsidRPr="002B26E8">
        <w:t>(9), 1023–1035. </w:t>
      </w:r>
      <w:hyperlink r:id="rId7" w:tgtFrame="_blank" w:history="1">
        <w:r w:rsidRPr="002B26E8">
          <w:rPr>
            <w:rStyle w:val="Hyperlink"/>
          </w:rPr>
          <w:t>https://doi.org/10.1002/jclp.10095</w:t>
        </w:r>
      </w:hyperlink>
    </w:p>
    <w:p w14:paraId="7DD0DC83" w14:textId="32C75EEA" w:rsidR="00DB72E2" w:rsidRDefault="00DB72E2">
      <w:r w:rsidRPr="00DB72E2">
        <w:t>Nemeth, C. J., &amp; Goncalo, J. A. (2011). Rogues and heroes: Finding value in dissent. In J. Jetten &amp; M. J. Hornsey (Eds.), </w:t>
      </w:r>
      <w:r w:rsidRPr="00DB72E2">
        <w:rPr>
          <w:i/>
          <w:iCs/>
        </w:rPr>
        <w:t>Rebels in groups: Dissent, deviance, difference and defiance</w:t>
      </w:r>
      <w:r w:rsidRPr="00DB72E2">
        <w:t> (pp. 17–35). Wiley Blackwell.</w:t>
      </w:r>
    </w:p>
    <w:p w14:paraId="6223A23A" w14:textId="1BACC798" w:rsidR="00DB72E2" w:rsidRDefault="00DB72E2">
      <w:r w:rsidRPr="00DB72E2">
        <w:t>Kinkaid, E. (2023). The Feminist Killjoy Handbook: Sara Ahmed. Dublin, Ireland: Allen Lane, 2023. 323 pp., notes, bibliography, index. £20.00 paper (ISBN 978-1541603752). </w:t>
      </w:r>
      <w:r w:rsidRPr="00DB72E2">
        <w:rPr>
          <w:i/>
          <w:iCs/>
        </w:rPr>
        <w:t>The AAG Review of Books</w:t>
      </w:r>
      <w:r w:rsidRPr="00DB72E2">
        <w:t>, </w:t>
      </w:r>
      <w:r w:rsidRPr="00DB72E2">
        <w:rPr>
          <w:i/>
          <w:iCs/>
        </w:rPr>
        <w:t>11</w:t>
      </w:r>
      <w:r w:rsidRPr="00DB72E2">
        <w:t xml:space="preserve">(4), 1–2. </w:t>
      </w:r>
      <w:hyperlink r:id="rId8" w:history="1">
        <w:r w:rsidRPr="00284BA3">
          <w:rPr>
            <w:rStyle w:val="Hyperlink"/>
          </w:rPr>
          <w:t>https://doi.org/10.1080/2325</w:t>
        </w:r>
        <w:r w:rsidRPr="00284BA3">
          <w:rPr>
            <w:rStyle w:val="Hyperlink"/>
          </w:rPr>
          <w:t>5</w:t>
        </w:r>
        <w:r w:rsidRPr="00284BA3">
          <w:rPr>
            <w:rStyle w:val="Hyperlink"/>
          </w:rPr>
          <w:t>48X.2023.2240974</w:t>
        </w:r>
      </w:hyperlink>
      <w:r>
        <w:t xml:space="preserve"> </w:t>
      </w:r>
    </w:p>
    <w:p w14:paraId="01D08571" w14:textId="52DAE321" w:rsidR="007C0DB1" w:rsidRPr="002B26E8" w:rsidRDefault="007C0DB1">
      <w:r>
        <w:t>ChatGPT</w:t>
      </w:r>
    </w:p>
    <w:sectPr w:rsidR="007C0DB1" w:rsidRPr="002B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61"/>
    <w:rsid w:val="000D16F7"/>
    <w:rsid w:val="001B7AA5"/>
    <w:rsid w:val="002737D4"/>
    <w:rsid w:val="002B26E8"/>
    <w:rsid w:val="003449D9"/>
    <w:rsid w:val="00411461"/>
    <w:rsid w:val="007B5501"/>
    <w:rsid w:val="007C0DB1"/>
    <w:rsid w:val="00B84089"/>
    <w:rsid w:val="00DB72E2"/>
    <w:rsid w:val="00E4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426E"/>
  <w15:chartTrackingRefBased/>
  <w15:docId w15:val="{19A0317A-90DA-488F-B042-3B597E52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461"/>
  </w:style>
  <w:style w:type="paragraph" w:styleId="Heading1">
    <w:name w:val="heading 1"/>
    <w:basedOn w:val="Normal"/>
    <w:next w:val="Normal"/>
    <w:link w:val="Heading1Char"/>
    <w:uiPriority w:val="9"/>
    <w:qFormat/>
    <w:rsid w:val="00411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461"/>
    <w:rPr>
      <w:rFonts w:eastAsiaTheme="majorEastAsia" w:cstheme="majorBidi"/>
      <w:color w:val="272727" w:themeColor="text1" w:themeTint="D8"/>
    </w:rPr>
  </w:style>
  <w:style w:type="paragraph" w:styleId="Title">
    <w:name w:val="Title"/>
    <w:basedOn w:val="Normal"/>
    <w:next w:val="Normal"/>
    <w:link w:val="TitleChar"/>
    <w:uiPriority w:val="10"/>
    <w:qFormat/>
    <w:rsid w:val="00411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461"/>
    <w:pPr>
      <w:spacing w:before="160"/>
      <w:jc w:val="center"/>
    </w:pPr>
    <w:rPr>
      <w:i/>
      <w:iCs/>
      <w:color w:val="404040" w:themeColor="text1" w:themeTint="BF"/>
    </w:rPr>
  </w:style>
  <w:style w:type="character" w:customStyle="1" w:styleId="QuoteChar">
    <w:name w:val="Quote Char"/>
    <w:basedOn w:val="DefaultParagraphFont"/>
    <w:link w:val="Quote"/>
    <w:uiPriority w:val="29"/>
    <w:rsid w:val="00411461"/>
    <w:rPr>
      <w:i/>
      <w:iCs/>
      <w:color w:val="404040" w:themeColor="text1" w:themeTint="BF"/>
    </w:rPr>
  </w:style>
  <w:style w:type="paragraph" w:styleId="ListParagraph">
    <w:name w:val="List Paragraph"/>
    <w:basedOn w:val="Normal"/>
    <w:uiPriority w:val="34"/>
    <w:qFormat/>
    <w:rsid w:val="00411461"/>
    <w:pPr>
      <w:ind w:left="720"/>
      <w:contextualSpacing/>
    </w:pPr>
  </w:style>
  <w:style w:type="character" w:styleId="IntenseEmphasis">
    <w:name w:val="Intense Emphasis"/>
    <w:basedOn w:val="DefaultParagraphFont"/>
    <w:uiPriority w:val="21"/>
    <w:qFormat/>
    <w:rsid w:val="00411461"/>
    <w:rPr>
      <w:i/>
      <w:iCs/>
      <w:color w:val="0F4761" w:themeColor="accent1" w:themeShade="BF"/>
    </w:rPr>
  </w:style>
  <w:style w:type="paragraph" w:styleId="IntenseQuote">
    <w:name w:val="Intense Quote"/>
    <w:basedOn w:val="Normal"/>
    <w:next w:val="Normal"/>
    <w:link w:val="IntenseQuoteChar"/>
    <w:uiPriority w:val="30"/>
    <w:qFormat/>
    <w:rsid w:val="00411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461"/>
    <w:rPr>
      <w:i/>
      <w:iCs/>
      <w:color w:val="0F4761" w:themeColor="accent1" w:themeShade="BF"/>
    </w:rPr>
  </w:style>
  <w:style w:type="character" w:styleId="IntenseReference">
    <w:name w:val="Intense Reference"/>
    <w:basedOn w:val="DefaultParagraphFont"/>
    <w:uiPriority w:val="32"/>
    <w:qFormat/>
    <w:rsid w:val="00411461"/>
    <w:rPr>
      <w:b/>
      <w:bCs/>
      <w:smallCaps/>
      <w:color w:val="0F4761" w:themeColor="accent1" w:themeShade="BF"/>
      <w:spacing w:val="5"/>
    </w:rPr>
  </w:style>
  <w:style w:type="character" w:styleId="Hyperlink">
    <w:name w:val="Hyperlink"/>
    <w:basedOn w:val="DefaultParagraphFont"/>
    <w:uiPriority w:val="99"/>
    <w:unhideWhenUsed/>
    <w:rsid w:val="002B26E8"/>
    <w:rPr>
      <w:color w:val="467886" w:themeColor="hyperlink"/>
      <w:u w:val="single"/>
    </w:rPr>
  </w:style>
  <w:style w:type="character" w:styleId="UnresolvedMention">
    <w:name w:val="Unresolved Mention"/>
    <w:basedOn w:val="DefaultParagraphFont"/>
    <w:uiPriority w:val="99"/>
    <w:semiHidden/>
    <w:unhideWhenUsed/>
    <w:rsid w:val="002B26E8"/>
    <w:rPr>
      <w:color w:val="605E5C"/>
      <w:shd w:val="clear" w:color="auto" w:fill="E1DFDD"/>
    </w:rPr>
  </w:style>
  <w:style w:type="character" w:styleId="FollowedHyperlink">
    <w:name w:val="FollowedHyperlink"/>
    <w:basedOn w:val="DefaultParagraphFont"/>
    <w:uiPriority w:val="99"/>
    <w:semiHidden/>
    <w:unhideWhenUsed/>
    <w:rsid w:val="00DB72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5038">
      <w:bodyDiv w:val="1"/>
      <w:marLeft w:val="0"/>
      <w:marRight w:val="0"/>
      <w:marTop w:val="0"/>
      <w:marBottom w:val="0"/>
      <w:divBdr>
        <w:top w:val="none" w:sz="0" w:space="0" w:color="auto"/>
        <w:left w:val="none" w:sz="0" w:space="0" w:color="auto"/>
        <w:bottom w:val="none" w:sz="0" w:space="0" w:color="auto"/>
        <w:right w:val="none" w:sz="0" w:space="0" w:color="auto"/>
      </w:divBdr>
    </w:div>
    <w:div w:id="539780390">
      <w:bodyDiv w:val="1"/>
      <w:marLeft w:val="0"/>
      <w:marRight w:val="0"/>
      <w:marTop w:val="0"/>
      <w:marBottom w:val="0"/>
      <w:divBdr>
        <w:top w:val="none" w:sz="0" w:space="0" w:color="auto"/>
        <w:left w:val="none" w:sz="0" w:space="0" w:color="auto"/>
        <w:bottom w:val="none" w:sz="0" w:space="0" w:color="auto"/>
        <w:right w:val="none" w:sz="0" w:space="0" w:color="auto"/>
      </w:divBdr>
    </w:div>
    <w:div w:id="569659232">
      <w:bodyDiv w:val="1"/>
      <w:marLeft w:val="0"/>
      <w:marRight w:val="0"/>
      <w:marTop w:val="0"/>
      <w:marBottom w:val="0"/>
      <w:divBdr>
        <w:top w:val="none" w:sz="0" w:space="0" w:color="auto"/>
        <w:left w:val="none" w:sz="0" w:space="0" w:color="auto"/>
        <w:bottom w:val="none" w:sz="0" w:space="0" w:color="auto"/>
        <w:right w:val="none" w:sz="0" w:space="0" w:color="auto"/>
      </w:divBdr>
    </w:div>
    <w:div w:id="592476173">
      <w:bodyDiv w:val="1"/>
      <w:marLeft w:val="0"/>
      <w:marRight w:val="0"/>
      <w:marTop w:val="0"/>
      <w:marBottom w:val="0"/>
      <w:divBdr>
        <w:top w:val="none" w:sz="0" w:space="0" w:color="auto"/>
        <w:left w:val="none" w:sz="0" w:space="0" w:color="auto"/>
        <w:bottom w:val="none" w:sz="0" w:space="0" w:color="auto"/>
        <w:right w:val="none" w:sz="0" w:space="0" w:color="auto"/>
      </w:divBdr>
    </w:div>
    <w:div w:id="685329868">
      <w:bodyDiv w:val="1"/>
      <w:marLeft w:val="0"/>
      <w:marRight w:val="0"/>
      <w:marTop w:val="0"/>
      <w:marBottom w:val="0"/>
      <w:divBdr>
        <w:top w:val="none" w:sz="0" w:space="0" w:color="auto"/>
        <w:left w:val="none" w:sz="0" w:space="0" w:color="auto"/>
        <w:bottom w:val="none" w:sz="0" w:space="0" w:color="auto"/>
        <w:right w:val="none" w:sz="0" w:space="0" w:color="auto"/>
      </w:divBdr>
    </w:div>
    <w:div w:id="723679616">
      <w:bodyDiv w:val="1"/>
      <w:marLeft w:val="0"/>
      <w:marRight w:val="0"/>
      <w:marTop w:val="0"/>
      <w:marBottom w:val="0"/>
      <w:divBdr>
        <w:top w:val="none" w:sz="0" w:space="0" w:color="auto"/>
        <w:left w:val="none" w:sz="0" w:space="0" w:color="auto"/>
        <w:bottom w:val="none" w:sz="0" w:space="0" w:color="auto"/>
        <w:right w:val="none" w:sz="0" w:space="0" w:color="auto"/>
      </w:divBdr>
    </w:div>
    <w:div w:id="886651356">
      <w:bodyDiv w:val="1"/>
      <w:marLeft w:val="0"/>
      <w:marRight w:val="0"/>
      <w:marTop w:val="0"/>
      <w:marBottom w:val="0"/>
      <w:divBdr>
        <w:top w:val="none" w:sz="0" w:space="0" w:color="auto"/>
        <w:left w:val="none" w:sz="0" w:space="0" w:color="auto"/>
        <w:bottom w:val="none" w:sz="0" w:space="0" w:color="auto"/>
        <w:right w:val="none" w:sz="0" w:space="0" w:color="auto"/>
      </w:divBdr>
    </w:div>
    <w:div w:id="936329164">
      <w:bodyDiv w:val="1"/>
      <w:marLeft w:val="0"/>
      <w:marRight w:val="0"/>
      <w:marTop w:val="0"/>
      <w:marBottom w:val="0"/>
      <w:divBdr>
        <w:top w:val="none" w:sz="0" w:space="0" w:color="auto"/>
        <w:left w:val="none" w:sz="0" w:space="0" w:color="auto"/>
        <w:bottom w:val="none" w:sz="0" w:space="0" w:color="auto"/>
        <w:right w:val="none" w:sz="0" w:space="0" w:color="auto"/>
      </w:divBdr>
    </w:div>
    <w:div w:id="1138380981">
      <w:bodyDiv w:val="1"/>
      <w:marLeft w:val="0"/>
      <w:marRight w:val="0"/>
      <w:marTop w:val="0"/>
      <w:marBottom w:val="0"/>
      <w:divBdr>
        <w:top w:val="none" w:sz="0" w:space="0" w:color="auto"/>
        <w:left w:val="none" w:sz="0" w:space="0" w:color="auto"/>
        <w:bottom w:val="none" w:sz="0" w:space="0" w:color="auto"/>
        <w:right w:val="none" w:sz="0" w:space="0" w:color="auto"/>
      </w:divBdr>
    </w:div>
    <w:div w:id="1158377402">
      <w:bodyDiv w:val="1"/>
      <w:marLeft w:val="0"/>
      <w:marRight w:val="0"/>
      <w:marTop w:val="0"/>
      <w:marBottom w:val="0"/>
      <w:divBdr>
        <w:top w:val="none" w:sz="0" w:space="0" w:color="auto"/>
        <w:left w:val="none" w:sz="0" w:space="0" w:color="auto"/>
        <w:bottom w:val="none" w:sz="0" w:space="0" w:color="auto"/>
        <w:right w:val="none" w:sz="0" w:space="0" w:color="auto"/>
      </w:divBdr>
    </w:div>
    <w:div w:id="1233197182">
      <w:bodyDiv w:val="1"/>
      <w:marLeft w:val="0"/>
      <w:marRight w:val="0"/>
      <w:marTop w:val="0"/>
      <w:marBottom w:val="0"/>
      <w:divBdr>
        <w:top w:val="none" w:sz="0" w:space="0" w:color="auto"/>
        <w:left w:val="none" w:sz="0" w:space="0" w:color="auto"/>
        <w:bottom w:val="none" w:sz="0" w:space="0" w:color="auto"/>
        <w:right w:val="none" w:sz="0" w:space="0" w:color="auto"/>
      </w:divBdr>
    </w:div>
    <w:div w:id="1336952311">
      <w:bodyDiv w:val="1"/>
      <w:marLeft w:val="0"/>
      <w:marRight w:val="0"/>
      <w:marTop w:val="0"/>
      <w:marBottom w:val="0"/>
      <w:divBdr>
        <w:top w:val="none" w:sz="0" w:space="0" w:color="auto"/>
        <w:left w:val="none" w:sz="0" w:space="0" w:color="auto"/>
        <w:bottom w:val="none" w:sz="0" w:space="0" w:color="auto"/>
        <w:right w:val="none" w:sz="0" w:space="0" w:color="auto"/>
      </w:divBdr>
    </w:div>
    <w:div w:id="1348370016">
      <w:bodyDiv w:val="1"/>
      <w:marLeft w:val="0"/>
      <w:marRight w:val="0"/>
      <w:marTop w:val="0"/>
      <w:marBottom w:val="0"/>
      <w:divBdr>
        <w:top w:val="none" w:sz="0" w:space="0" w:color="auto"/>
        <w:left w:val="none" w:sz="0" w:space="0" w:color="auto"/>
        <w:bottom w:val="none" w:sz="0" w:space="0" w:color="auto"/>
        <w:right w:val="none" w:sz="0" w:space="0" w:color="auto"/>
      </w:divBdr>
    </w:div>
    <w:div w:id="1446121617">
      <w:bodyDiv w:val="1"/>
      <w:marLeft w:val="0"/>
      <w:marRight w:val="0"/>
      <w:marTop w:val="0"/>
      <w:marBottom w:val="0"/>
      <w:divBdr>
        <w:top w:val="none" w:sz="0" w:space="0" w:color="auto"/>
        <w:left w:val="none" w:sz="0" w:space="0" w:color="auto"/>
        <w:bottom w:val="none" w:sz="0" w:space="0" w:color="auto"/>
        <w:right w:val="none" w:sz="0" w:space="0" w:color="auto"/>
      </w:divBdr>
    </w:div>
    <w:div w:id="1529105796">
      <w:bodyDiv w:val="1"/>
      <w:marLeft w:val="0"/>
      <w:marRight w:val="0"/>
      <w:marTop w:val="0"/>
      <w:marBottom w:val="0"/>
      <w:divBdr>
        <w:top w:val="none" w:sz="0" w:space="0" w:color="auto"/>
        <w:left w:val="none" w:sz="0" w:space="0" w:color="auto"/>
        <w:bottom w:val="none" w:sz="0" w:space="0" w:color="auto"/>
        <w:right w:val="none" w:sz="0" w:space="0" w:color="auto"/>
      </w:divBdr>
    </w:div>
    <w:div w:id="18090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2325548X.2023.2240974" TargetMode="External"/><Relationship Id="rId3" Type="http://schemas.openxmlformats.org/officeDocument/2006/relationships/webSettings" Target="webSettings.xml"/><Relationship Id="rId7" Type="http://schemas.openxmlformats.org/officeDocument/2006/relationships/hyperlink" Target="https://psycnet.apa.org/doi/10.1002/jclp.100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sycnet.apa.org/doi/10.1016/j.paid.2014.01.016" TargetMode="External"/><Relationship Id="rId5" Type="http://schemas.openxmlformats.org/officeDocument/2006/relationships/hyperlink" Target="https://psycnet.apa.org/doi/10.1111/spc3.12266" TargetMode="External"/><Relationship Id="rId10" Type="http://schemas.openxmlformats.org/officeDocument/2006/relationships/theme" Target="theme/theme1.xml"/><Relationship Id="rId4" Type="http://schemas.openxmlformats.org/officeDocument/2006/relationships/hyperlink" Target="https://doi.org/10.1111/ajpy.1219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Michael</dc:creator>
  <cp:keywords/>
  <dc:description/>
  <cp:lastModifiedBy>Porter, Michael</cp:lastModifiedBy>
  <cp:revision>1</cp:revision>
  <dcterms:created xsi:type="dcterms:W3CDTF">2024-12-06T14:14:00Z</dcterms:created>
  <dcterms:modified xsi:type="dcterms:W3CDTF">2024-12-06T20:32:00Z</dcterms:modified>
</cp:coreProperties>
</file>