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AURA — Lablab Competition</w:t>
        <w:br/>
      </w:r>
      <w:r>
        <w:rPr>
          <w:sz w:val="30"/>
        </w:rPr>
        <w:t>Complete Project Context, Architecture, Current State &amp; Remaining Work</w:t>
      </w:r>
    </w:p>
    <w:p>
      <w:pPr>
        <w:jc w:val="center"/>
      </w:pPr>
      <w:r>
        <w:rPr>
          <w:i/>
        </w:rPr>
        <w:t>Working brief for the Autonomous AI Trading Agent</w:t>
      </w:r>
    </w:p>
    <w:p>
      <w:r>
        <w:t>Date: 2 September 2026</w:t>
      </w:r>
    </w:p>
    <w:p>
      <w:r>
        <w:t>Primary objective: get AURA reliably running in Alpaca PAPER for the Lablab/Alpaca AI Trading Agents Hackathon before expanding the feature set.</w:t>
      </w:r>
    </w:p>
    <w:p>
      <w:pPr>
        <w:pStyle w:val="Heading1"/>
      </w:pPr>
      <w:r>
        <w:t>1. Executive Summary</w:t>
      </w:r>
    </w:p>
    <w:p>
      <w:r>
        <w:t>AURA is being built as an AI-assisted quantitative trading research and execution platform, with the immediate competition objective of becoming a safe, autonomous Alpaca PAPER trading agent. AI may research, analyze and propose, but the execution boundary remains deterministic.</w:t>
      </w:r>
    </w:p>
    <w:p>
      <w:r>
        <w:t>The current priority is not feature expansion. It is to finish the existing .22 Alpaca PAPER execution path, prove the complete end-to-end contract, run the relevant tests, and only then expand selection/context capabilities.</w:t>
      </w:r>
    </w:p>
    <w:p>
      <w:pPr>
        <w:pStyle w:val="Heading1"/>
      </w:pPr>
      <w:r>
        <w:t>2. What We Are Building</w:t>
      </w:r>
    </w:p>
    <w:p>
      <w:pPr>
        <w:pStyle w:val="ListBullet"/>
      </w:pPr>
      <w:r>
        <w:t>AURA — Autonomous AI Trading Agent for the Alpaca AI Trading Agents Hackathon.</w:t>
      </w:r>
    </w:p>
    <w:p>
      <w:pPr>
        <w:pStyle w:val="ListBullet"/>
      </w:pPr>
      <w:r>
        <w:t>Repository: mpoubot/aura-autonomous-trading-agent.</w:t>
      </w:r>
    </w:p>
    <w:p>
      <w:pPr>
        <w:pStyle w:val="ListBullet"/>
      </w:pPr>
      <w:r>
        <w:t>Competition mode: Alpaca PAPER; live execution remains disabled during development/validation.</w:t>
      </w:r>
    </w:p>
    <w:p>
      <w:pPr>
        <w:pStyle w:val="ListBullet"/>
      </w:pPr>
      <w:r>
        <w:t>The existing MEXC live-trading workflow is separate and must not be modified as part of this Alpaca work.</w:t>
      </w:r>
    </w:p>
    <w:p>
      <w:r>
        <w:t>Longer-term vision:</w:t>
      </w:r>
    </w:p>
    <w:p>
      <w:pPr>
        <w:pStyle w:val="ListBullet"/>
      </w:pPr>
      <w:r>
        <w:t>An AI-assisted quantitative research platform that discovers, tests, validates and monitors trading opportunities.</w:t>
      </w:r>
    </w:p>
    <w:p>
      <w:pPr>
        <w:pStyle w:val="ListBullet"/>
      </w:pPr>
      <w:r>
        <w:t>Automated execution only after an idea survives research/validation.</w:t>
      </w:r>
    </w:p>
    <w:p>
      <w:pPr>
        <w:pStyle w:val="ListBullet"/>
      </w:pPr>
      <w:r>
        <w:t>Execution remains deterministic and fail-closed.</w:t>
      </w:r>
    </w:p>
    <w:p>
      <w:pPr>
        <w:pStyle w:val="Heading1"/>
      </w:pPr>
      <w:r>
        <w:t>3. Target Architecture</w:t>
      </w:r>
    </w:p>
    <w:p>
      <w:pPr>
        <w:ind w:left="360"/>
      </w:pPr>
      <w:r>
        <w:rPr>
          <w:rFonts w:ascii="Consolas" w:hAnsi="Consolas"/>
          <w:sz w:val="18"/>
        </w:rPr>
        <w:t>Market Data</w:t>
        <w:br/>
        <w:t xml:space="preserve">    ↓</w:t>
        <w:br/>
        <w:t>Market State</w:t>
        <w:br/>
        <w:t xml:space="preserve">    ↓</w:t>
        <w:br/>
        <w:t>Signal Decision</w:t>
        <w:br/>
        <w:t xml:space="preserve">    ↓</w:t>
        <w:br/>
        <w:t>Risk Gate</w:t>
        <w:br/>
        <w:t xml:space="preserve">    ↓</w:t>
        <w:br/>
        <w:t>Position State</w:t>
        <w:br/>
        <w:t xml:space="preserve">    ↓</w:t>
        <w:br/>
        <w:t>Execution Specification</w:t>
        <w:br/>
        <w:t xml:space="preserve">    ↓</w:t>
        <w:br/>
        <w:t>Alpaca PAPER Adapter (.22)</w:t>
        <w:br/>
        <w:t xml:space="preserve">    ↓</w:t>
        <w:br/>
        <w:t>Alpaca PAPER</w:t>
        <w:br/>
        <w:t xml:space="preserve">    ↓</w:t>
        <w:br/>
        <w:t>Reconciliation</w:t>
        <w:br/>
        <w:t xml:space="preserve">    ↓</w:t>
        <w:br/>
        <w:t>Decision / Execution Ledger</w:t>
      </w:r>
    </w:p>
    <w:p>
      <w:pPr>
        <w:pStyle w:val="Heading1"/>
      </w:pPr>
      <w:r>
        <w:t>4. Deterministic Execution Boundary</w:t>
      </w:r>
    </w:p>
    <w:p>
      <w:pPr>
        <w:pStyle w:val="ListBullet"/>
      </w:pPr>
      <w:r>
        <w:t>AI/research components may propose a signal or opportunity.</w:t>
      </w:r>
    </w:p>
    <w:p>
      <w:pPr>
        <w:pStyle w:val="ListBullet"/>
      </w:pPr>
      <w:r>
        <w:t>Risk Gate decides whether the proposed action is authorized.</w:t>
      </w:r>
    </w:p>
    <w:p>
      <w:pPr>
        <w:pStyle w:val="ListBullet"/>
      </w:pPr>
      <w:r>
        <w:t>Position State determines current position context.</w:t>
      </w:r>
    </w:p>
    <w:p>
      <w:pPr>
        <w:pStyle w:val="ListBullet"/>
      </w:pPr>
      <w:r>
        <w:t>Execution Specification converts an already-authorized state into an explicit executable order specification.</w:t>
      </w:r>
    </w:p>
    <w:p>
      <w:pPr>
        <w:pStyle w:val="ListBullet"/>
      </w:pPr>
      <w:r>
        <w:t>Alpaca adapter validates and submits only supported PAPER orders.</w:t>
      </w:r>
    </w:p>
    <w:p>
      <w:pPr>
        <w:pStyle w:val="ListBullet"/>
      </w:pPr>
      <w:r>
        <w:t>Reconciliation verifies what actually happened.</w:t>
      </w:r>
    </w:p>
    <w:p>
      <w:pPr>
        <w:pStyle w:val="ListBullet"/>
      </w:pPr>
      <w:r>
        <w:t>Ledger records the decision and execution trail.</w:t>
      </w:r>
    </w:p>
    <w:p>
      <w:pPr>
        <w:pStyle w:val="ListBullet"/>
      </w:pPr>
      <w:r>
        <w:t>Kill switch and safety controls remain authoritative.</w:t>
      </w:r>
    </w:p>
    <w:p>
      <w:r>
        <w:t>Critical example:</w:t>
      </w:r>
    </w:p>
    <w:p>
      <w:pPr>
        <w:ind w:left="360"/>
      </w:pPr>
      <w:r>
        <w:rPr>
          <w:rFonts w:ascii="Consolas" w:hAnsi="Consolas"/>
          <w:sz w:val="18"/>
        </w:rPr>
        <w:t>BEAR</w:t>
        <w:br/>
        <w:t xml:space="preserve">  ≠ automatically SELL</w:t>
        <w:br/>
        <w:br/>
        <w:t>Only an explicit supported execution direction:</w:t>
        <w:br/>
        <w:t xml:space="preserve">  BUY</w:t>
        <w:br/>
        <w:t xml:space="preserve">  SELL</w:t>
        <w:br/>
        <w:t>may reach the execution specification.</w:t>
      </w:r>
    </w:p>
    <w:p>
      <w:pPr>
        <w:pStyle w:val="Heading1"/>
      </w:pPr>
      <w:r>
        <w:t>5. The .22 Problem / Current Focus</w:t>
      </w:r>
    </w:p>
    <w:p>
      <w:r>
        <w:t>The immediate technical issue is the contract between upstream AURA state and .22. Earlier testing produced an upstream validation failure and a fail-closed response. The correct response is to fix the contract, not weaken validation.</w:t>
      </w:r>
    </w:p>
    <w:p>
      <w:pPr>
        <w:pStyle w:val="ListBullet"/>
      </w:pPr>
      <w:r>
        <w:t>Do not silently translate BEAR into SELL.</w:t>
      </w:r>
    </w:p>
    <w:p>
      <w:pPr>
        <w:pStyle w:val="ListBullet"/>
      </w:pPr>
      <w:r>
        <w:t>Require an explicit supported side/direction.</w:t>
      </w:r>
    </w:p>
    <w:p>
      <w:pPr>
        <w:pStyle w:val="ListBullet"/>
      </w:pPr>
      <w:r>
        <w:t>Calculate quantity only from an explicit risk policy.</w:t>
      </w:r>
    </w:p>
    <w:p>
      <w:pPr>
        <w:pStyle w:val="ListBullet"/>
      </w:pPr>
      <w:r>
        <w:t>Reject unsupported directions.</w:t>
      </w:r>
    </w:p>
    <w:p>
      <w:pPr>
        <w:pStyle w:val="ListBullet"/>
      </w:pPr>
      <w:r>
        <w:t>Produce exactly the contract expected by .22.</w:t>
      </w:r>
    </w:p>
    <w:p>
      <w:pPr>
        <w:pStyle w:val="ListBullet"/>
      </w:pPr>
      <w:r>
        <w:t>Keep actual broker submission behind the PAPER feature flag.</w:t>
      </w:r>
    </w:p>
    <w:p>
      <w:pPr>
        <w:pStyle w:val="ListBullet"/>
      </w:pPr>
      <w:r>
        <w:t>Use the official alpaca-py contract rather than guessing request fields.</w:t>
      </w:r>
    </w:p>
    <w:p>
      <w:pPr>
        <w:ind w:left="360"/>
      </w:pPr>
      <w:r>
        <w:rPr>
          <w:rFonts w:ascii="Consolas" w:hAnsi="Consolas"/>
          <w:sz w:val="18"/>
        </w:rPr>
        <w:t>AURA Signal</w:t>
        <w:br/>
        <w:t xml:space="preserve">    ↓</w:t>
        <w:br/>
        <w:t>Risk Gate</w:t>
        <w:br/>
        <w:t xml:space="preserve">    ↓</w:t>
        <w:br/>
        <w:t>Position State</w:t>
        <w:br/>
        <w:t xml:space="preserve">    ↓</w:t>
        <w:br/>
        <w:t>Execution Specification</w:t>
        <w:br/>
        <w:t xml:space="preserve">    ↓</w:t>
        <w:br/>
        <w:t>.22 Alpaca PAPER Adapter</w:t>
        <w:br/>
        <w:t xml:space="preserve">    ↓</w:t>
        <w:br/>
        <w:t>Alpaca PAPER</w:t>
      </w:r>
    </w:p>
    <w:p>
      <w:pPr>
        <w:pStyle w:val="Heading1"/>
      </w:pPr>
      <w:r>
        <w:t>6. What Has Already Been Established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Established state</w:t>
            </w:r>
          </w:p>
        </w:tc>
      </w:tr>
      <w:tr>
        <w:tc>
          <w:tcPr>
            <w:tcW w:type="dxa" w:w="5112"/>
            <w:vAlign w:val="top"/>
          </w:tcPr>
          <w:p>
            <w:r>
              <w:t>Market data</w:t>
            </w:r>
          </w:p>
        </w:tc>
        <w:tc>
          <w:tcPr>
            <w:tcW w:type="dxa" w:w="5112"/>
            <w:vAlign w:val="top"/>
          </w:tcPr>
          <w:p>
            <w:r>
              <w:t>Alpaca closed 1H data path exists; contract validation covers required bars, pagination, frozen warmup and exclusion of the current/in-progress hour.</w:t>
            </w:r>
          </w:p>
        </w:tc>
      </w:tr>
      <w:tr>
        <w:tc>
          <w:tcPr>
            <w:tcW w:type="dxa" w:w="5112"/>
            <w:vAlign w:val="top"/>
          </w:tcPr>
          <w:p>
            <w:r>
              <w:t>Runtime safety</w:t>
            </w:r>
          </w:p>
        </w:tc>
        <w:tc>
          <w:tcPr>
            <w:tcW w:type="dxa" w:w="5112"/>
            <w:vAlign w:val="top"/>
          </w:tcPr>
          <w:p>
            <w:r>
              <w:t>Runtime has explicit safety boundaries and must hard-block live execution.</w:t>
            </w:r>
          </w:p>
        </w:tc>
      </w:tr>
      <w:tr>
        <w:tc>
          <w:tcPr>
            <w:tcW w:type="dxa" w:w="5112"/>
            <w:vAlign w:val="top"/>
          </w:tcPr>
          <w:p>
            <w:r>
              <w:t>Paper execution</w:t>
            </w:r>
          </w:p>
        </w:tc>
        <w:tc>
          <w:tcPr>
            <w:tcW w:type="dxa" w:w="5112"/>
            <w:vAlign w:val="top"/>
          </w:tcPr>
          <w:p>
            <w:r>
              <w:t>.22 work includes a PAPER-only adapter path and safety tests.</w:t>
            </w:r>
          </w:p>
        </w:tc>
      </w:tr>
      <w:tr>
        <w:tc>
          <w:tcPr>
            <w:tcW w:type="dxa" w:w="5112"/>
            <w:vAlign w:val="top"/>
          </w:tcPr>
          <w:p>
            <w:r>
              <w:t>Alpaca SDK</w:t>
            </w:r>
          </w:p>
        </w:tc>
        <w:tc>
          <w:tcPr>
            <w:tcW w:type="dxa" w:w="5112"/>
            <w:vAlign w:val="top"/>
          </w:tcPr>
          <w:p>
            <w:r>
              <w:t>Target the official alpaca-py SDK contract; an Alpaca plugin is also installed for additional data/reference validation.</w:t>
            </w:r>
          </w:p>
        </w:tc>
      </w:tr>
      <w:tr>
        <w:tc>
          <w:tcPr>
            <w:tcW w:type="dxa" w:w="5112"/>
            <w:vAlign w:val="top"/>
          </w:tcPr>
          <w:p>
            <w:r>
              <w:t>Ledger</w:t>
            </w:r>
          </w:p>
        </w:tc>
        <w:tc>
          <w:tcPr>
            <w:tcW w:type="dxa" w:w="5112"/>
            <w:vAlign w:val="top"/>
          </w:tcPr>
          <w:p>
            <w:r>
              <w:t>Decision / Execution Ledger concept and fail-closed behavior exist.</w:t>
            </w:r>
          </w:p>
        </w:tc>
      </w:tr>
      <w:tr>
        <w:tc>
          <w:tcPr>
            <w:tcW w:type="dxa" w:w="5112"/>
            <w:vAlign w:val="top"/>
          </w:tcPr>
          <w:p>
            <w:r>
              <w:t>Testing</w:t>
            </w:r>
          </w:p>
        </w:tc>
        <w:tc>
          <w:tcPr>
            <w:tcW w:type="dxa" w:w="5112"/>
            <w:vAlign w:val="top"/>
          </w:tcPr>
          <w:p>
            <w:r>
              <w:t>A runtime contract validation run reported 12 PASS / 0 FAIL.</w:t>
            </w:r>
          </w:p>
        </w:tc>
      </w:tr>
      <w:tr>
        <w:tc>
          <w:tcPr>
            <w:tcW w:type="dxa" w:w="5112"/>
            <w:vAlign w:val="top"/>
          </w:tcPr>
          <w:p>
            <w:r>
              <w:t>Git workflow</w:t>
            </w:r>
          </w:p>
        </w:tc>
        <w:tc>
          <w:tcPr>
            <w:tcW w:type="dxa" w:w="5112"/>
            <w:vAlign w:val="top"/>
          </w:tcPr>
          <w:p>
            <w:r>
              <w:t>The .22 work is on a paper/runtime branch rather than merged into main.</w:t>
            </w:r>
          </w:p>
        </w:tc>
      </w:tr>
    </w:tbl>
    <w:p>
      <w:pPr>
        <w:pStyle w:val="Heading1"/>
      </w:pPr>
      <w:r>
        <w:t>7. Test Evidence From the Development Cycle</w:t>
      </w:r>
    </w:p>
    <w:p>
      <w:pPr>
        <w:pStyle w:val="ListBullet"/>
      </w:pPr>
      <w:r>
        <w:t>Runtime contract validation: 12 passed, 0 failed.</w:t>
      </w:r>
    </w:p>
    <w:p>
      <w:pPr>
        <w:pStyle w:val="ListBullet"/>
      </w:pPr>
      <w:r>
        <w:t>Alpaca closed-data run: BTC/USD and ETH/USD each returned 240 closed 1H bars.</w:t>
      </w:r>
    </w:p>
    <w:p>
      <w:pPr>
        <w:pStyle w:val="ListBullet"/>
      </w:pPr>
      <w:r>
        <w:t>Data adapter reported no order submission.</w:t>
      </w:r>
    </w:p>
    <w:p>
      <w:pPr>
        <w:pStyle w:val="ListBullet"/>
      </w:pPr>
      <w:r>
        <w:t>Decision / Execution Ledger showed BLOCKED states when upstream validation was not satisfied.</w:t>
      </w:r>
    </w:p>
    <w:p>
      <w:pPr>
        <w:pStyle w:val="ListBullet"/>
      </w:pPr>
      <w:r>
        <w:t>Fail-closed simulator refused to generate simulated output when the upstream ledger was invalid.</w:t>
      </w:r>
    </w:p>
    <w:p>
      <w:pPr>
        <w:pStyle w:val="ListBullet"/>
      </w:pPr>
      <w:r>
        <w:t>These safety behaviors are desirable; the upstream contract now needs to be made valid for a legitimate PAPER path.</w:t>
      </w:r>
    </w:p>
    <w:p>
      <w:pPr>
        <w:pStyle w:val="Heading1"/>
      </w:pPr>
      <w:r>
        <w:t>8. Current Git / Repository Situation</w:t>
      </w:r>
    </w:p>
    <w:p>
      <w:r>
        <w:t>The GitHub repository's main branch is not necessarily the latest development state. The GitHub front page showed main as approximately two days old, while the .22 work exists on a runtime/paper branch. Therefore a stale-looking main page does not mean the .22 work is lost.</w:t>
      </w:r>
    </w:p>
    <w:p>
      <w:pPr>
        <w:pStyle w:val="ListBullet"/>
      </w:pPr>
      <w:r>
        <w:t>Do not merge unfinished .22 work into main merely to make the repository look current.</w:t>
      </w:r>
    </w:p>
    <w:p>
      <w:pPr>
        <w:pStyle w:val="ListBullet"/>
      </w:pPr>
      <w:r>
        <w:t>Finish and validate the branch first.</w:t>
      </w:r>
    </w:p>
    <w:p>
      <w:pPr>
        <w:pStyle w:val="ListBullet"/>
      </w:pPr>
      <w:r>
        <w:t>Review the diff and test results before merging.</w:t>
      </w:r>
    </w:p>
    <w:p>
      <w:pPr>
        <w:pStyle w:val="ListBullet"/>
      </w:pPr>
      <w:r>
        <w:t>Keep main as the competition-ready integration target.</w:t>
      </w:r>
    </w:p>
    <w:p>
      <w:pPr>
        <w:pStyle w:val="Heading1"/>
      </w:pPr>
      <w:r>
        <w:t>9. What Is Still Missing — Competition Critical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w:t>
            </w:r>
          </w:p>
        </w:tc>
        <w:tc>
          <w:tcPr>
            <w:tcW w:type="dxa" w:w="2556"/>
            <w:shd w:fill="D9EAF7"/>
          </w:tcPr>
          <w:p>
            <w:r>
              <w:rPr>
                <w:b/>
              </w:rPr>
              <w:t>Work item</w:t>
            </w:r>
          </w:p>
        </w:tc>
        <w:tc>
          <w:tcPr>
            <w:tcW w:type="dxa" w:w="2556"/>
            <w:shd w:fill="D9EAF7"/>
          </w:tcPr>
          <w:p>
            <w:r>
              <w:rPr>
                <w:b/>
              </w:rPr>
              <w:t>Definition of done</w:t>
            </w:r>
          </w:p>
        </w:tc>
        <w:tc>
          <w:tcPr>
            <w:tcW w:type="dxa" w:w="2556"/>
            <w:shd w:fill="D9EAF7"/>
          </w:tcPr>
          <w:p>
            <w:r>
              <w:rPr>
                <w:b/>
              </w:rPr>
              <w:t>Priority</w:t>
            </w:r>
          </w:p>
        </w:tc>
      </w:tr>
      <w:tr>
        <w:tc>
          <w:tcPr>
            <w:tcW w:type="dxa" w:w="2556"/>
            <w:vAlign w:val="top"/>
          </w:tcPr>
          <w:p>
            <w:r>
              <w:t>1</w:t>
            </w:r>
          </w:p>
        </w:tc>
        <w:tc>
          <w:tcPr>
            <w:tcW w:type="dxa" w:w="2556"/>
            <w:vAlign w:val="top"/>
          </w:tcPr>
          <w:p>
            <w:r>
              <w:t>Finish .22 execution contract</w:t>
            </w:r>
          </w:p>
        </w:tc>
        <w:tc>
          <w:tcPr>
            <w:tcW w:type="dxa" w:w="2556"/>
            <w:vAlign w:val="top"/>
          </w:tcPr>
          <w:p>
            <w:r>
              <w:t>Trace Signal → Risk → Position into .22 and make mapping explicit.</w:t>
            </w:r>
          </w:p>
        </w:tc>
        <w:tc>
          <w:tcPr>
            <w:tcW w:type="dxa" w:w="2556"/>
            <w:vAlign w:val="top"/>
          </w:tcPr>
          <w:p>
            <w:r>
              <w:t>CRITICAL</w:t>
            </w:r>
          </w:p>
        </w:tc>
      </w:tr>
      <w:tr>
        <w:tc>
          <w:tcPr>
            <w:tcW w:type="dxa" w:w="2556"/>
            <w:vAlign w:val="top"/>
          </w:tcPr>
          <w:p>
            <w:r>
              <w:t>2</w:t>
            </w:r>
          </w:p>
        </w:tc>
        <w:tc>
          <w:tcPr>
            <w:tcW w:type="dxa" w:w="2556"/>
            <w:vAlign w:val="top"/>
          </w:tcPr>
          <w:p>
            <w:r>
              <w:t>.22 regression + safety tests</w:t>
            </w:r>
          </w:p>
        </w:tc>
        <w:tc>
          <w:tcPr>
            <w:tcW w:type="dxa" w:w="2556"/>
            <w:vAlign w:val="top"/>
          </w:tcPr>
          <w:p>
            <w:r>
              <w:t>Valid BUY/SELL plus invalid/ambiguous directions all behave correctly.</w:t>
            </w:r>
          </w:p>
        </w:tc>
        <w:tc>
          <w:tcPr>
            <w:tcW w:type="dxa" w:w="2556"/>
            <w:vAlign w:val="top"/>
          </w:tcPr>
          <w:p>
            <w:r>
              <w:t>CRITICAL</w:t>
            </w:r>
          </w:p>
        </w:tc>
      </w:tr>
      <w:tr>
        <w:tc>
          <w:tcPr>
            <w:tcW w:type="dxa" w:w="2556"/>
            <w:vAlign w:val="top"/>
          </w:tcPr>
          <w:p>
            <w:r>
              <w:t>3</w:t>
            </w:r>
          </w:p>
        </w:tc>
        <w:tc>
          <w:tcPr>
            <w:tcW w:type="dxa" w:w="2556"/>
            <w:vAlign w:val="top"/>
          </w:tcPr>
          <w:p>
            <w:r>
              <w:t>Verify sizing</w:t>
            </w:r>
          </w:p>
        </w:tc>
        <w:tc>
          <w:tcPr>
            <w:tcW w:type="dxa" w:w="2556"/>
            <w:vAlign w:val="top"/>
          </w:tcPr>
          <w:p>
            <w:r>
              <w:t>Quantity derives only from explicit risk policy and valid instrument/account constraints.</w:t>
            </w:r>
          </w:p>
        </w:tc>
        <w:tc>
          <w:tcPr>
            <w:tcW w:type="dxa" w:w="2556"/>
            <w:vAlign w:val="top"/>
          </w:tcPr>
          <w:p>
            <w:r>
              <w:t>CRITICAL</w:t>
            </w:r>
          </w:p>
        </w:tc>
      </w:tr>
      <w:tr>
        <w:tc>
          <w:tcPr>
            <w:tcW w:type="dxa" w:w="2556"/>
            <w:vAlign w:val="top"/>
          </w:tcPr>
          <w:p>
            <w:r>
              <w:t>4</w:t>
            </w:r>
          </w:p>
        </w:tc>
        <w:tc>
          <w:tcPr>
            <w:tcW w:type="dxa" w:w="2556"/>
            <w:vAlign w:val="top"/>
          </w:tcPr>
          <w:p>
            <w:r>
              <w:t>Verify PAPER submission</w:t>
            </w:r>
          </w:p>
        </w:tc>
        <w:tc>
          <w:tcPr>
            <w:tcW w:type="dxa" w:w="2556"/>
            <w:vAlign w:val="top"/>
          </w:tcPr>
          <w:p>
            <w:r>
              <w:t>Valid order can be formed/submitted without enabling live execution.</w:t>
            </w:r>
          </w:p>
        </w:tc>
        <w:tc>
          <w:tcPr>
            <w:tcW w:type="dxa" w:w="2556"/>
            <w:vAlign w:val="top"/>
          </w:tcPr>
          <w:p>
            <w:r>
              <w:t>CRITICAL</w:t>
            </w:r>
          </w:p>
        </w:tc>
      </w:tr>
      <w:tr>
        <w:tc>
          <w:tcPr>
            <w:tcW w:type="dxa" w:w="2556"/>
            <w:vAlign w:val="top"/>
          </w:tcPr>
          <w:p>
            <w:r>
              <w:t>5</w:t>
            </w:r>
          </w:p>
        </w:tc>
        <w:tc>
          <w:tcPr>
            <w:tcW w:type="dxa" w:w="2556"/>
            <w:vAlign w:val="top"/>
          </w:tcPr>
          <w:p>
            <w:r>
              <w:t>Reconciliation</w:t>
            </w:r>
          </w:p>
        </w:tc>
        <w:tc>
          <w:tcPr>
            <w:tcW w:type="dxa" w:w="2556"/>
            <w:vAlign w:val="top"/>
          </w:tcPr>
          <w:p>
            <w:r>
              <w:t>Order/fill response updates position state correctly.</w:t>
            </w:r>
          </w:p>
        </w:tc>
        <w:tc>
          <w:tcPr>
            <w:tcW w:type="dxa" w:w="2556"/>
            <w:vAlign w:val="top"/>
          </w:tcPr>
          <w:p>
            <w:r>
              <w:t>CRITICAL</w:t>
            </w:r>
          </w:p>
        </w:tc>
      </w:tr>
      <w:tr>
        <w:tc>
          <w:tcPr>
            <w:tcW w:type="dxa" w:w="2556"/>
            <w:vAlign w:val="top"/>
          </w:tcPr>
          <w:p>
            <w:r>
              <w:t>6</w:t>
            </w:r>
          </w:p>
        </w:tc>
        <w:tc>
          <w:tcPr>
            <w:tcW w:type="dxa" w:w="2556"/>
            <w:vAlign w:val="top"/>
          </w:tcPr>
          <w:p>
            <w:r>
              <w:t>End-to-end dry run</w:t>
            </w:r>
          </w:p>
        </w:tc>
        <w:tc>
          <w:tcPr>
            <w:tcW w:type="dxa" w:w="2556"/>
            <w:vAlign w:val="top"/>
          </w:tcPr>
          <w:p>
            <w:r>
              <w:t>Signal → Risk → Position → .22 → PAPER → reconciliation → ledger.</w:t>
            </w:r>
          </w:p>
        </w:tc>
        <w:tc>
          <w:tcPr>
            <w:tcW w:type="dxa" w:w="2556"/>
            <w:vAlign w:val="top"/>
          </w:tcPr>
          <w:p>
            <w:r>
              <w:t>CRITICAL</w:t>
            </w:r>
          </w:p>
        </w:tc>
      </w:tr>
      <w:tr>
        <w:tc>
          <w:tcPr>
            <w:tcW w:type="dxa" w:w="2556"/>
            <w:vAlign w:val="top"/>
          </w:tcPr>
          <w:p>
            <w:r>
              <w:t>7</w:t>
            </w:r>
          </w:p>
        </w:tc>
        <w:tc>
          <w:tcPr>
            <w:tcW w:type="dxa" w:w="2556"/>
            <w:vAlign w:val="top"/>
          </w:tcPr>
          <w:p>
            <w:r>
              <w:t>Failure injection</w:t>
            </w:r>
          </w:p>
        </w:tc>
        <w:tc>
          <w:tcPr>
            <w:tcW w:type="dxa" w:w="2556"/>
            <w:vAlign w:val="top"/>
          </w:tcPr>
          <w:p>
            <w:r>
              <w:t>Invalid direction, missing state, kill switch, live flag, invalid sizing and ledger mismatch fail closed.</w:t>
            </w:r>
          </w:p>
        </w:tc>
        <w:tc>
          <w:tcPr>
            <w:tcW w:type="dxa" w:w="2556"/>
            <w:vAlign w:val="top"/>
          </w:tcPr>
          <w:p>
            <w:r>
              <w:t>CRITICAL</w:t>
            </w:r>
          </w:p>
        </w:tc>
      </w:tr>
      <w:tr>
        <w:tc>
          <w:tcPr>
            <w:tcW w:type="dxa" w:w="2556"/>
            <w:vAlign w:val="top"/>
          </w:tcPr>
          <w:p>
            <w:r>
              <w:t>8</w:t>
            </w:r>
          </w:p>
        </w:tc>
        <w:tc>
          <w:tcPr>
            <w:tcW w:type="dxa" w:w="2556"/>
            <w:vAlign w:val="top"/>
          </w:tcPr>
          <w:p>
            <w:r>
              <w:t>Competition runbook</w:t>
            </w:r>
          </w:p>
        </w:tc>
        <w:tc>
          <w:tcPr>
            <w:tcW w:type="dxa" w:w="2556"/>
            <w:vAlign w:val="top"/>
          </w:tcPr>
          <w:p>
            <w:r>
              <w:t>Document start, monitoring, stop and recovery procedures.</w:t>
            </w:r>
          </w:p>
        </w:tc>
        <w:tc>
          <w:tcPr>
            <w:tcW w:type="dxa" w:w="2556"/>
            <w:vAlign w:val="top"/>
          </w:tcPr>
          <w:p>
            <w:r>
              <w:t>HIGH</w:t>
            </w:r>
          </w:p>
        </w:tc>
      </w:tr>
    </w:tbl>
    <w:p>
      <w:pPr>
        <w:pStyle w:val="Heading1"/>
      </w:pPr>
      <w:r>
        <w:t>10. Not the Immediate Priority</w:t>
      </w:r>
    </w:p>
    <w:p>
      <w:pPr>
        <w:pStyle w:val="ListBullet"/>
      </w:pPr>
      <w:r>
        <w:t>CoinGlass integration</w:t>
      </w:r>
    </w:p>
    <w:p>
      <w:pPr>
        <w:pStyle w:val="ListBullet"/>
      </w:pPr>
      <w:r>
        <w:t>News feeds/news-context enrichment</w:t>
      </w:r>
    </w:p>
    <w:p>
      <w:pPr>
        <w:pStyle w:val="ListBullet"/>
      </w:pPr>
      <w:r>
        <w:t>Smart-money/order-flow expansion</w:t>
      </w:r>
    </w:p>
    <w:p>
      <w:pPr>
        <w:pStyle w:val="ListBullet"/>
      </w:pPr>
      <w:r>
        <w:t>Additional indicators</w:t>
      </w:r>
    </w:p>
    <w:p>
      <w:pPr>
        <w:pStyle w:val="ListBullet"/>
      </w:pPr>
      <w:r>
        <w:t>Further strategy optimization before execution is proven</w:t>
      </w:r>
    </w:p>
    <w:p>
      <w:pPr>
        <w:pStyle w:val="ListBullet"/>
      </w:pPr>
      <w:r>
        <w:t>Live MEXC changes</w:t>
      </w:r>
    </w:p>
    <w:p>
      <w:r>
        <w:t>These are valuable, but they must not delay competition readiness.</w:t>
      </w:r>
    </w:p>
    <w:p>
      <w:pPr>
        <w:pStyle w:val="Heading1"/>
      </w:pPr>
      <w:r>
        <w:t>11. Future Research Input — CoinGlass Spot Netflow</w:t>
      </w:r>
    </w:p>
    <w:p>
      <w:r>
        <w:t>CoinGlass Spot Inflow/Outflow was identified as a potentially useful future selection/evidence feature. The design decision is to treat it as evidence, not a direct BUY/SELL trigger.</w:t>
      </w:r>
    </w:p>
    <w:p>
      <w:pPr>
        <w:ind w:left="360"/>
      </w:pPr>
      <w:r>
        <w:rPr>
          <w:rFonts w:ascii="Consolas" w:hAnsi="Consolas"/>
          <w:sz w:val="18"/>
        </w:rPr>
        <w:t>Crypto Universe</w:t>
        <w:br/>
        <w:t xml:space="preserve">    ↓</w:t>
        <w:br/>
        <w:t>Liquidity Filter</w:t>
        <w:br/>
        <w:t xml:space="preserve">    ↓</w:t>
        <w:br/>
        <w:t>Market Regime</w:t>
        <w:br/>
        <w:t xml:space="preserve">    ↓</w:t>
        <w:br/>
        <w:t>Technical Signal</w:t>
        <w:br/>
        <w:t xml:space="preserve">    ↓</w:t>
        <w:br/>
        <w:t>Spot Netflow / CVD / OI / Funding</w:t>
        <w:br/>
        <w:t xml:space="preserve">    ↓</w:t>
        <w:br/>
        <w:t>Evidence State</w:t>
        <w:br/>
        <w:t xml:space="preserve">    ↓</w:t>
        <w:br/>
        <w:t>Candidate Ranking</w:t>
        <w:br/>
        <w:t xml:space="preserve">    ↓</w:t>
        <w:br/>
        <w:t>Risk Gate</w:t>
      </w:r>
    </w:p>
    <w:p>
      <w:pPr>
        <w:pStyle w:val="ListBullet"/>
      </w:pPr>
      <w:r>
        <w:t>Potential fields: spot netflow over multiple horizons, taker buy/sell volume, acceleration and persistence.</w:t>
      </w:r>
    </w:p>
    <w:p>
      <w:pPr>
        <w:pStyle w:val="ListBullet"/>
      </w:pPr>
      <w:r>
        <w:t>Test whether netflow adds incremental predictive information rather than assuming it does.</w:t>
      </w:r>
    </w:p>
    <w:p>
      <w:pPr>
        <w:pStyle w:val="ListBullet"/>
      </w:pPr>
      <w:r>
        <w:t>Compare baseline vs baseline + netflow.</w:t>
      </w:r>
    </w:p>
    <w:p>
      <w:pPr>
        <w:pStyle w:val="ListBullet"/>
      </w:pPr>
      <w:r>
        <w:t>Then test netflow + OI and netflow + OI + funding.</w:t>
      </w:r>
    </w:p>
    <w:p>
      <w:pPr>
        <w:pStyle w:val="ListBullet"/>
      </w:pPr>
      <w:r>
        <w:t>Use randomized controls/permutation tests to avoid mistaking correlation for edge.</w:t>
      </w:r>
    </w:p>
    <w:p>
      <w:pPr>
        <w:pStyle w:val="Heading1"/>
      </w:pPr>
      <w:r>
        <w:t>12. Research Philosophy</w:t>
      </w:r>
    </w:p>
    <w:p>
      <w:r>
        <w:t>AURA should behave more like a quantitative research laboratory with a deterministic execution engine than an unrestricted LLM trading bot.</w:t>
      </w:r>
    </w:p>
    <w:p>
      <w:pPr>
        <w:ind w:left="360"/>
      </w:pPr>
      <w:r>
        <w:rPr>
          <w:rFonts w:ascii="Consolas" w:hAnsi="Consolas"/>
          <w:sz w:val="18"/>
        </w:rPr>
        <w:t>Idea</w:t>
        <w:br/>
        <w:t xml:space="preserve"> ↓</w:t>
        <w:br/>
        <w:t>Hypothesis</w:t>
        <w:br/>
        <w:t xml:space="preserve"> ↓</w:t>
        <w:br/>
        <w:t>Historical test</w:t>
        <w:br/>
        <w:t xml:space="preserve"> ↓</w:t>
        <w:br/>
        <w:t>Out-of-sample / walk-forward validation</w:t>
        <w:br/>
        <w:t xml:space="preserve"> ↓</w:t>
        <w:br/>
        <w:t>Robustness / permutation testing</w:t>
        <w:br/>
        <w:t xml:space="preserve"> ↓</w:t>
        <w:br/>
        <w:t>Paper forward test</w:t>
        <w:br/>
        <w:t xml:space="preserve"> ↓</w:t>
        <w:br/>
        <w:t>Promotion decision</w:t>
        <w:br/>
        <w:t xml:space="preserve"> ↓</w:t>
        <w:br/>
        <w:t>Controlled execution</w:t>
      </w:r>
    </w:p>
    <w:p>
      <w:pPr>
        <w:pStyle w:val="ListBullet"/>
      </w:pPr>
      <w:r>
        <w:t>Avoid ranking strategies solely on raw expectancy.</w:t>
      </w:r>
    </w:p>
    <w:p>
      <w:pPr>
        <w:pStyle w:val="ListBullet"/>
      </w:pPr>
      <w:r>
        <w:t>Track MAE/MFE and execution realism.</w:t>
      </w:r>
    </w:p>
    <w:p>
      <w:pPr>
        <w:pStyle w:val="ListBullet"/>
      </w:pPr>
      <w:r>
        <w:t>Model fees, slippage and funding where relevant.</w:t>
      </w:r>
    </w:p>
    <w:p>
      <w:pPr>
        <w:pStyle w:val="ListBullet"/>
      </w:pPr>
      <w:r>
        <w:t>Use out-of-sample and walk-forward validation.</w:t>
      </w:r>
    </w:p>
    <w:p>
      <w:pPr>
        <w:pStyle w:val="ListBullet"/>
      </w:pPr>
      <w:r>
        <w:t>Test whether a new feature adds information beyond the existing strategy.</w:t>
      </w:r>
    </w:p>
    <w:p>
      <w:pPr>
        <w:pStyle w:val="ListBullet"/>
      </w:pPr>
      <w:r>
        <w:t>Keep execution deterministic even when research is AI-assisted.</w:t>
      </w:r>
    </w:p>
    <w:p>
      <w:pPr>
        <w:pStyle w:val="Heading1"/>
      </w:pPr>
      <w:r>
        <w:t>13. Codex vs ChatGPT Workflow</w:t>
      </w:r>
    </w:p>
    <w:p>
      <w:r>
        <w:t>For the current .22 phase, Codex is likely the faster implementation environment because it can operate directly on the repository workspace, search the codebase, edit related files and repeatedly run tests.</w:t>
      </w:r>
    </w:p>
    <w:p>
      <w:pPr>
        <w:ind w:left="360"/>
      </w:pPr>
      <w:r>
        <w:rPr>
          <w:rFonts w:ascii="Consolas" w:hAnsi="Consolas"/>
          <w:sz w:val="18"/>
        </w:rPr>
        <w:t>Recommended division of labor</w:t>
        <w:br/>
        <w:br/>
        <w:t>Codex:</w:t>
        <w:br/>
        <w:t xml:space="preserve">  inspect → edit → test → inspect failure → fix → retest → commit</w:t>
        <w:br/>
        <w:br/>
        <w:t>ChatGPT:</w:t>
        <w:br/>
        <w:t xml:space="preserve">  architecture → requirements → review → challenge assumptions → validate design</w:t>
      </w:r>
    </w:p>
    <w:p>
      <w:r>
        <w:t>Suggested Codex instruction:</w:t>
      </w:r>
    </w:p>
    <w:p>
      <w:pPr>
        <w:ind w:left="360"/>
      </w:pPr>
      <w:r>
        <w:rPr>
          <w:rFonts w:ascii="Consolas" w:hAnsi="Consolas"/>
          <w:sz w:val="18"/>
        </w:rPr>
        <w:t>Continue AURA .22 on the existing paper/runtime branch.</w:t>
        <w:br/>
        <w:t>Trace Signal Decision → Risk Gate → Position State → Execution Specification → Alpaca PAPER.</w:t>
        <w:br/>
        <w:br/>
        <w:t>Do not bypass any safety boundary.</w:t>
        <w:br/>
        <w:t>Do not infer BEAR → SELL.</w:t>
        <w:br/>
        <w:t>Require explicit supported BUY/SELL execution direction.</w:t>
        <w:br/>
        <w:t>Fix remaining integration/test failures.</w:t>
        <w:br/>
        <w:t>Run the complete relevant test suite.</w:t>
        <w:br/>
        <w:t>Verify PAPER-only behavior, sizing, kill switch, invalid-direction handling,</w:t>
        <w:br/>
        <w:t>reconciliation and ledger behavior.</w:t>
        <w:br/>
        <w:t>Do not merge to main.</w:t>
        <w:br/>
        <w:t>Report exact changes and test results.</w:t>
      </w:r>
    </w:p>
    <w:p>
      <w:pPr>
        <w:pStyle w:val="Heading1"/>
      </w:pPr>
      <w:r>
        <w:t>14. Competition Readiness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Gate</w:t>
            </w:r>
          </w:p>
        </w:tc>
        <w:tc>
          <w:tcPr>
            <w:tcW w:type="dxa" w:w="3408"/>
            <w:shd w:fill="D9EAF7"/>
          </w:tcPr>
          <w:p>
            <w:r>
              <w:rPr>
                <w:b/>
              </w:rPr>
              <w:t>Area</w:t>
            </w:r>
          </w:p>
        </w:tc>
        <w:tc>
          <w:tcPr>
            <w:tcW w:type="dxa" w:w="3408"/>
            <w:shd w:fill="D9EAF7"/>
          </w:tcPr>
          <w:p>
            <w:r>
              <w:rPr>
                <w:b/>
              </w:rPr>
              <w:t>Pass condition</w:t>
            </w:r>
          </w:p>
        </w:tc>
      </w:tr>
      <w:tr>
        <w:tc>
          <w:tcPr>
            <w:tcW w:type="dxa" w:w="3408"/>
            <w:vAlign w:val="top"/>
          </w:tcPr>
          <w:p>
            <w:r>
              <w:t>A</w:t>
            </w:r>
          </w:p>
        </w:tc>
        <w:tc>
          <w:tcPr>
            <w:tcW w:type="dxa" w:w="3408"/>
            <w:vAlign w:val="top"/>
          </w:tcPr>
          <w:p>
            <w:r>
              <w:t>Code integrity</w:t>
            </w:r>
          </w:p>
        </w:tc>
        <w:tc>
          <w:tcPr>
            <w:tcW w:type="dxa" w:w="3408"/>
            <w:vAlign w:val="top"/>
          </w:tcPr>
          <w:p>
            <w:r>
              <w:t>Correct branch, reproducible checkout, no unreviewed local-only changes.</w:t>
            </w:r>
          </w:p>
        </w:tc>
      </w:tr>
      <w:tr>
        <w:tc>
          <w:tcPr>
            <w:tcW w:type="dxa" w:w="3408"/>
            <w:vAlign w:val="top"/>
          </w:tcPr>
          <w:p>
            <w:r>
              <w:t>B</w:t>
            </w:r>
          </w:p>
        </w:tc>
        <w:tc>
          <w:tcPr>
            <w:tcW w:type="dxa" w:w="3408"/>
            <w:vAlign w:val="top"/>
          </w:tcPr>
          <w:p>
            <w:r>
              <w:t>Unit/contract tests</w:t>
            </w:r>
          </w:p>
        </w:tc>
        <w:tc>
          <w:tcPr>
            <w:tcW w:type="dxa" w:w="3408"/>
            <w:vAlign w:val="top"/>
          </w:tcPr>
          <w:p>
            <w:r>
              <w:t>All relevant .22 and upstream contract tests pass.</w:t>
            </w:r>
          </w:p>
        </w:tc>
      </w:tr>
      <w:tr>
        <w:tc>
          <w:tcPr>
            <w:tcW w:type="dxa" w:w="3408"/>
            <w:vAlign w:val="top"/>
          </w:tcPr>
          <w:p>
            <w:r>
              <w:t>C</w:t>
            </w:r>
          </w:p>
        </w:tc>
        <w:tc>
          <w:tcPr>
            <w:tcW w:type="dxa" w:w="3408"/>
            <w:vAlign w:val="top"/>
          </w:tcPr>
          <w:p>
            <w:r>
              <w:t>Safety</w:t>
            </w:r>
          </w:p>
        </w:tc>
        <w:tc>
          <w:tcPr>
            <w:tcW w:type="dxa" w:w="3408"/>
            <w:vAlign w:val="top"/>
          </w:tcPr>
          <w:p>
            <w:r>
              <w:t>Live execution remains impossible through competition configuration.</w:t>
            </w:r>
          </w:p>
        </w:tc>
      </w:tr>
      <w:tr>
        <w:tc>
          <w:tcPr>
            <w:tcW w:type="dxa" w:w="3408"/>
            <w:vAlign w:val="top"/>
          </w:tcPr>
          <w:p>
            <w:r>
              <w:t>D</w:t>
            </w:r>
          </w:p>
        </w:tc>
        <w:tc>
          <w:tcPr>
            <w:tcW w:type="dxa" w:w="3408"/>
            <w:vAlign w:val="top"/>
          </w:tcPr>
          <w:p>
            <w:r>
              <w:t>Paper order</w:t>
            </w:r>
          </w:p>
        </w:tc>
        <w:tc>
          <w:tcPr>
            <w:tcW w:type="dxa" w:w="3408"/>
            <w:vAlign w:val="top"/>
          </w:tcPr>
          <w:p>
            <w:r>
              <w:t>At least one legitimate path produces a valid Alpaca PAPER order.</w:t>
            </w:r>
          </w:p>
        </w:tc>
      </w:tr>
      <w:tr>
        <w:tc>
          <w:tcPr>
            <w:tcW w:type="dxa" w:w="3408"/>
            <w:vAlign w:val="top"/>
          </w:tcPr>
          <w:p>
            <w:r>
              <w:t>E</w:t>
            </w:r>
          </w:p>
        </w:tc>
        <w:tc>
          <w:tcPr>
            <w:tcW w:type="dxa" w:w="3408"/>
            <w:vAlign w:val="top"/>
          </w:tcPr>
          <w:p>
            <w:r>
              <w:t>Reconciliation</w:t>
            </w:r>
          </w:p>
        </w:tc>
        <w:tc>
          <w:tcPr>
            <w:tcW w:type="dxa" w:w="3408"/>
            <w:vAlign w:val="top"/>
          </w:tcPr>
          <w:p>
            <w:r>
              <w:t>Returned order/fill state updates position state correctly.</w:t>
            </w:r>
          </w:p>
        </w:tc>
      </w:tr>
      <w:tr>
        <w:tc>
          <w:tcPr>
            <w:tcW w:type="dxa" w:w="3408"/>
            <w:vAlign w:val="top"/>
          </w:tcPr>
          <w:p>
            <w:r>
              <w:t>F</w:t>
            </w:r>
          </w:p>
        </w:tc>
        <w:tc>
          <w:tcPr>
            <w:tcW w:type="dxa" w:w="3408"/>
            <w:vAlign w:val="top"/>
          </w:tcPr>
          <w:p>
            <w:r>
              <w:t>Ledger</w:t>
            </w:r>
          </w:p>
        </w:tc>
        <w:tc>
          <w:tcPr>
            <w:tcW w:type="dxa" w:w="3408"/>
            <w:vAlign w:val="top"/>
          </w:tcPr>
          <w:p>
            <w:r>
              <w:t>Decision and execution events are complete and consistent.</w:t>
            </w:r>
          </w:p>
        </w:tc>
      </w:tr>
      <w:tr>
        <w:tc>
          <w:tcPr>
            <w:tcW w:type="dxa" w:w="3408"/>
            <w:vAlign w:val="top"/>
          </w:tcPr>
          <w:p>
            <w:r>
              <w:t>G</w:t>
            </w:r>
          </w:p>
        </w:tc>
        <w:tc>
          <w:tcPr>
            <w:tcW w:type="dxa" w:w="3408"/>
            <w:vAlign w:val="top"/>
          </w:tcPr>
          <w:p>
            <w:r>
              <w:t>Autonomous paper cycle</w:t>
            </w:r>
          </w:p>
        </w:tc>
        <w:tc>
          <w:tcPr>
            <w:tcW w:type="dxa" w:w="3408"/>
            <w:vAlign w:val="top"/>
          </w:tcPr>
          <w:p>
            <w:r>
              <w:t>Agent can operate without manual intervention while obeying Risk Gate and kill switch.</w:t>
            </w:r>
          </w:p>
        </w:tc>
      </w:tr>
      <w:tr>
        <w:tc>
          <w:tcPr>
            <w:tcW w:type="dxa" w:w="3408"/>
            <w:vAlign w:val="top"/>
          </w:tcPr>
          <w:p>
            <w:r>
              <w:t>H</w:t>
            </w:r>
          </w:p>
        </w:tc>
        <w:tc>
          <w:tcPr>
            <w:tcW w:type="dxa" w:w="3408"/>
            <w:vAlign w:val="top"/>
          </w:tcPr>
          <w:p>
            <w:r>
              <w:t>Monitoring</w:t>
            </w:r>
          </w:p>
        </w:tc>
        <w:tc>
          <w:tcPr>
            <w:tcW w:type="dxa" w:w="3408"/>
            <w:vAlign w:val="top"/>
          </w:tcPr>
          <w:p>
            <w:r>
              <w:t>Operator can see state, orders, errors and stop conditions.</w:t>
            </w:r>
          </w:p>
        </w:tc>
      </w:tr>
    </w:tbl>
    <w:p>
      <w:pPr>
        <w:pStyle w:val="Heading1"/>
      </w:pPr>
      <w:r>
        <w:t>15. Proposed Roadmap From Here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Phase</w:t>
            </w:r>
          </w:p>
        </w:tc>
        <w:tc>
          <w:tcPr>
            <w:tcW w:type="dxa" w:w="3408"/>
            <w:shd w:fill="D9EAF7"/>
          </w:tcPr>
          <w:p>
            <w:r>
              <w:rPr>
                <w:b/>
              </w:rPr>
              <w:t>Focus</w:t>
            </w:r>
          </w:p>
        </w:tc>
        <w:tc>
          <w:tcPr>
            <w:tcW w:type="dxa" w:w="3408"/>
            <w:shd w:fill="D9EAF7"/>
          </w:tcPr>
          <w:p>
            <w:r>
              <w:rPr>
                <w:b/>
              </w:rPr>
              <w:t>Goal</w:t>
            </w:r>
          </w:p>
        </w:tc>
      </w:tr>
      <w:tr>
        <w:tc>
          <w:tcPr>
            <w:tcW w:type="dxa" w:w="3408"/>
            <w:vAlign w:val="top"/>
          </w:tcPr>
          <w:p>
            <w:r>
              <w:t>1 — NOW</w:t>
            </w:r>
          </w:p>
        </w:tc>
        <w:tc>
          <w:tcPr>
            <w:tcW w:type="dxa" w:w="3408"/>
            <w:vAlign w:val="top"/>
          </w:tcPr>
          <w:p>
            <w:r>
              <w:t>.22 contract completion</w:t>
            </w:r>
          </w:p>
        </w:tc>
        <w:tc>
          <w:tcPr>
            <w:tcW w:type="dxa" w:w="3408"/>
            <w:vAlign w:val="top"/>
          </w:tcPr>
          <w:p>
            <w:r>
              <w:t>Finish deterministic execution specification and adapter contract.</w:t>
            </w:r>
          </w:p>
        </w:tc>
      </w:tr>
      <w:tr>
        <w:tc>
          <w:tcPr>
            <w:tcW w:type="dxa" w:w="3408"/>
            <w:vAlign w:val="top"/>
          </w:tcPr>
          <w:p>
            <w:r>
              <w:t>2</w:t>
            </w:r>
          </w:p>
        </w:tc>
        <w:tc>
          <w:tcPr>
            <w:tcW w:type="dxa" w:w="3408"/>
            <w:vAlign w:val="top"/>
          </w:tcPr>
          <w:p>
            <w:r>
              <w:t>.22 regression + safety</w:t>
            </w:r>
          </w:p>
        </w:tc>
        <w:tc>
          <w:tcPr>
            <w:tcW w:type="dxa" w:w="3408"/>
            <w:vAlign w:val="top"/>
          </w:tcPr>
          <w:p>
            <w:r>
              <w:t>Run positive/negative tests and prove fail-closed behavior.</w:t>
            </w:r>
          </w:p>
        </w:tc>
      </w:tr>
      <w:tr>
        <w:tc>
          <w:tcPr>
            <w:tcW w:type="dxa" w:w="3408"/>
            <w:vAlign w:val="top"/>
          </w:tcPr>
          <w:p>
            <w:r>
              <w:t>3</w:t>
            </w:r>
          </w:p>
        </w:tc>
        <w:tc>
          <w:tcPr>
            <w:tcW w:type="dxa" w:w="3408"/>
            <w:vAlign w:val="top"/>
          </w:tcPr>
          <w:p>
            <w:r>
              <w:t>End-to-end PAPER</w:t>
            </w:r>
          </w:p>
        </w:tc>
        <w:tc>
          <w:tcPr>
            <w:tcW w:type="dxa" w:w="3408"/>
            <w:vAlign w:val="top"/>
          </w:tcPr>
          <w:p>
            <w:r>
              <w:t>Signal → Risk → Position → .22 → Alpaca PAPER → reconciliation → ledger.</w:t>
            </w:r>
          </w:p>
        </w:tc>
      </w:tr>
      <w:tr>
        <w:tc>
          <w:tcPr>
            <w:tcW w:type="dxa" w:w="3408"/>
            <w:vAlign w:val="top"/>
          </w:tcPr>
          <w:p>
            <w:r>
              <w:t>4</w:t>
            </w:r>
          </w:p>
        </w:tc>
        <w:tc>
          <w:tcPr>
            <w:tcW w:type="dxa" w:w="3408"/>
            <w:vAlign w:val="top"/>
          </w:tcPr>
          <w:p>
            <w:r>
              <w:t>Autonomous paper run</w:t>
            </w:r>
          </w:p>
        </w:tc>
        <w:tc>
          <w:tcPr>
            <w:tcW w:type="dxa" w:w="3408"/>
            <w:vAlign w:val="top"/>
          </w:tcPr>
          <w:p>
            <w:r>
              <w:t>Let AURA run repeatedly in PAPER and monitor decisions/executions.</w:t>
            </w:r>
          </w:p>
        </w:tc>
      </w:tr>
      <w:tr>
        <w:tc>
          <w:tcPr>
            <w:tcW w:type="dxa" w:w="3408"/>
            <w:vAlign w:val="top"/>
          </w:tcPr>
          <w:p>
            <w:r>
              <w:t>5</w:t>
            </w:r>
          </w:p>
        </w:tc>
        <w:tc>
          <w:tcPr>
            <w:tcW w:type="dxa" w:w="3408"/>
            <w:vAlign w:val="top"/>
          </w:tcPr>
          <w:p>
            <w:r>
              <w:t>Competition hardening</w:t>
            </w:r>
          </w:p>
        </w:tc>
        <w:tc>
          <w:tcPr>
            <w:tcW w:type="dxa" w:w="3408"/>
            <w:vAlign w:val="top"/>
          </w:tcPr>
          <w:p>
            <w:r>
              <w:t>Runbook, logging, observability, recovery and demo stability.</w:t>
            </w:r>
          </w:p>
        </w:tc>
      </w:tr>
      <w:tr>
        <w:tc>
          <w:tcPr>
            <w:tcW w:type="dxa" w:w="3408"/>
            <w:vAlign w:val="top"/>
          </w:tcPr>
          <w:p>
            <w:r>
              <w:t>6</w:t>
            </w:r>
          </w:p>
        </w:tc>
        <w:tc>
          <w:tcPr>
            <w:tcW w:type="dxa" w:w="3408"/>
            <w:vAlign w:val="top"/>
          </w:tcPr>
          <w:p>
            <w:r>
              <w:t>Research expansion</w:t>
            </w:r>
          </w:p>
        </w:tc>
        <w:tc>
          <w:tcPr>
            <w:tcW w:type="dxa" w:w="3408"/>
            <w:vAlign w:val="top"/>
          </w:tcPr>
          <w:p>
            <w:r>
              <w:t>Add CoinGlass, news and other evidence sources as research inputs.</w:t>
            </w:r>
          </w:p>
        </w:tc>
      </w:tr>
      <w:tr>
        <w:tc>
          <w:tcPr>
            <w:tcW w:type="dxa" w:w="3408"/>
            <w:vAlign w:val="top"/>
          </w:tcPr>
          <w:p>
            <w:r>
              <w:t>7</w:t>
            </w:r>
          </w:p>
        </w:tc>
        <w:tc>
          <w:tcPr>
            <w:tcW w:type="dxa" w:w="3408"/>
            <w:vAlign w:val="top"/>
          </w:tcPr>
          <w:p>
            <w:r>
              <w:t>Strategy validation</w:t>
            </w:r>
          </w:p>
        </w:tc>
        <w:tc>
          <w:tcPr>
            <w:tcW w:type="dxa" w:w="3408"/>
            <w:vAlign w:val="top"/>
          </w:tcPr>
          <w:p>
            <w:r>
              <w:t>Backtest, walk-forward, permutation tests and feature ablations.</w:t>
            </w:r>
          </w:p>
        </w:tc>
      </w:tr>
    </w:tbl>
    <w:p>
      <w:pPr>
        <w:pStyle w:val="Heading1"/>
      </w:pPr>
      <w:r>
        <w:t>16. Definition of Ready</w:t>
      </w:r>
    </w:p>
    <w:p>
      <w:pPr>
        <w:pStyle w:val="ListBullet"/>
      </w:pPr>
      <w:r>
        <w:t>The Alpaca PAPER connection works with the intended configuration.</w:t>
      </w:r>
    </w:p>
    <w:p>
      <w:pPr>
        <w:pStyle w:val="ListBullet"/>
      </w:pPr>
      <w:r>
        <w:t>The market-data contract is valid and reproducible.</w:t>
      </w:r>
    </w:p>
    <w:p>
      <w:pPr>
        <w:pStyle w:val="ListBullet"/>
      </w:pPr>
      <w:r>
        <w:t>AURA can generate a legitimate signal.</w:t>
      </w:r>
    </w:p>
    <w:p>
      <w:pPr>
        <w:pStyle w:val="ListBullet"/>
      </w:pPr>
      <w:r>
        <w:t>Risk Gate explicitly authorizes the action.</w:t>
      </w:r>
    </w:p>
    <w:p>
      <w:pPr>
        <w:pStyle w:val="ListBullet"/>
      </w:pPr>
      <w:r>
        <w:t>Position State is consistent.</w:t>
      </w:r>
    </w:p>
    <w:p>
      <w:pPr>
        <w:pStyle w:val="ListBullet"/>
      </w:pPr>
      <w:r>
        <w:t>Execution Specification contains an explicit supported side and deterministic quantity.</w:t>
      </w:r>
    </w:p>
    <w:p>
      <w:pPr>
        <w:pStyle w:val="ListBullet"/>
      </w:pPr>
      <w:r>
        <w:t>.22 validates and submits a PAPER order.</w:t>
      </w:r>
    </w:p>
    <w:p>
      <w:pPr>
        <w:pStyle w:val="ListBullet"/>
      </w:pPr>
      <w:r>
        <w:t>The system reconciles the order/fill.</w:t>
      </w:r>
    </w:p>
    <w:p>
      <w:pPr>
        <w:pStyle w:val="ListBullet"/>
      </w:pPr>
      <w:r>
        <w:t>The Decision / Execution Ledger records the full chain.</w:t>
      </w:r>
    </w:p>
    <w:p>
      <w:pPr>
        <w:pStyle w:val="ListBullet"/>
      </w:pPr>
      <w:r>
        <w:t>Kill switch and safety gates have been tested.</w:t>
      </w:r>
    </w:p>
    <w:p>
      <w:pPr>
        <w:pStyle w:val="ListBullet"/>
      </w:pPr>
      <w:r>
        <w:t>Invalid/ambiguous inputs fail closed.</w:t>
      </w:r>
    </w:p>
    <w:p>
      <w:pPr>
        <w:pStyle w:val="ListBullet"/>
      </w:pPr>
      <w:r>
        <w:t>No code path accidentally enables live trading.</w:t>
      </w:r>
    </w:p>
    <w:p>
      <w:pPr>
        <w:pStyle w:val="ListBullet"/>
      </w:pPr>
      <w:r>
        <w:t>The complete cycle can run repeatedly without manual correction.</w:t>
      </w:r>
    </w:p>
    <w:p>
      <w:pPr>
        <w:pStyle w:val="Heading1"/>
      </w:pPr>
      <w:r>
        <w:t>17. Guiding Principles</w:t>
      </w:r>
    </w:p>
    <w:p>
      <w:pPr>
        <w:pStyle w:val="ListBullet"/>
      </w:pPr>
      <w:r>
        <w:t>Safety before autonomy.</w:t>
      </w:r>
    </w:p>
    <w:p>
      <w:pPr>
        <w:pStyle w:val="ListBullet"/>
      </w:pPr>
      <w:r>
        <w:t>Determinism at the execution boundary.</w:t>
      </w:r>
    </w:p>
    <w:p>
      <w:pPr>
        <w:pStyle w:val="ListBullet"/>
      </w:pPr>
      <w:r>
        <w:t>Research before promotion.</w:t>
      </w:r>
    </w:p>
    <w:p>
      <w:pPr>
        <w:pStyle w:val="ListBullet"/>
      </w:pPr>
      <w:r>
        <w:t>Evidence before conviction.</w:t>
      </w:r>
    </w:p>
    <w:p>
      <w:pPr>
        <w:pStyle w:val="ListBullet"/>
      </w:pPr>
      <w:r>
        <w:t>Fail closed rather than guess.</w:t>
      </w:r>
    </w:p>
    <w:p>
      <w:pPr>
        <w:pStyle w:val="ListBullet"/>
      </w:pPr>
      <w:r>
        <w:t>Paper before live.</w:t>
      </w:r>
    </w:p>
    <w:p>
      <w:pPr>
        <w:pStyle w:val="ListBullet"/>
      </w:pPr>
      <w:r>
        <w:t>Test the contracts, not just individual functions.</w:t>
      </w:r>
    </w:p>
    <w:p>
      <w:pPr>
        <w:pStyle w:val="ListBullet"/>
      </w:pPr>
      <w:r>
        <w:t>Do not let feature expansion delay competition readiness.</w:t>
      </w:r>
    </w:p>
    <w:p>
      <w:pPr>
        <w:pStyle w:val="ListBullet"/>
      </w:pPr>
      <w:r>
        <w:t>AI can propose; AURA's deterministic controls decide whether anything may execute.</w:t>
      </w:r>
    </w:p>
    <w:p>
      <w:pPr>
        <w:pStyle w:val="Heading1"/>
      </w:pPr>
      <w:r>
        <w:t>18. Current Bottom Line</w:t>
      </w:r>
    </w:p>
    <w:p>
      <w:r>
        <w:t>AURA is not starting from zero. Market-data validation, runtime safety, ledger concepts and parts of the Alpaca PAPER adapter are already established. The principal remaining blocker is closing and proving the contract between upstream AURA decision/position state and .22, followed by one complete paper execution cycle including reconciliation and ledger recording.</w:t>
      </w:r>
    </w:p>
    <w:p>
      <w:r>
        <w:t>After that milestone, CoinGlass spot netflow, news/context, smart-money signals and other research features can be introduced as evidence sources without compromising the execution boundary.</w:t>
      </w:r>
    </w:p>
    <w:p>
      <w:pPr>
        <w:pStyle w:val="Heading1"/>
      </w:pPr>
      <w:r>
        <w:t>Appendix — References</w:t>
      </w:r>
    </w:p>
    <w:p>
      <w:pPr>
        <w:pStyle w:val="ListBullet"/>
      </w:pPr>
      <w:r>
        <w:t>GitHub: https://github.com/mpoubot/aura-autonomous-trading-agent</w:t>
      </w:r>
    </w:p>
    <w:p>
      <w:pPr>
        <w:pStyle w:val="ListBullet"/>
      </w:pPr>
      <w:r>
        <w:t>Alpaca SDKs and Tools: https://docs.alpaca.markets/us/docs/sdks-and-tools</w:t>
      </w:r>
    </w:p>
    <w:p>
      <w:pPr>
        <w:pStyle w:val="ListBullet"/>
      </w:pPr>
      <w:r>
        <w:t>alpaca-py: https://pypi.org/project/alpaca-py/</w:t>
      </w:r>
    </w:p>
    <w:p>
      <w:pPr>
        <w:pStyle w:val="ListBullet"/>
      </w:pPr>
      <w:r>
        <w:t>CoinGlass Spot Inflow/Outflow: https://www.coinglass.com/spot-inflow-outflow</w:t>
      </w:r>
    </w:p>
    <w:p>
      <w:r>
        <w:t>Source note: This is a working project brief compiled from the AURA development context and the repository state examined during this conversation. Where conversational plans and code differ, current code, tests and branch state should be treated as implementation truth.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AURA — Lablab Competition Working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