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AURA</w:t>
        <w:br/>
        <w:t>Market Signal &amp; Earnings Gates</w:t>
      </w:r>
    </w:p>
    <w:p>
      <w:pPr>
        <w:jc w:val="center"/>
      </w:pPr>
      <w:r>
        <w:rPr>
          <w:i/>
          <w:sz w:val="26"/>
        </w:rPr>
        <w:t>Findings, Architectural Integration &amp; Recommendations</w:t>
      </w:r>
    </w:p>
    <w:p>
      <w:pPr>
        <w:jc w:val="center"/>
      </w:pPr>
      <w:r>
        <w:rPr>
          <w:sz w:val="20"/>
        </w:rPr>
        <w:t>Prepared 1 September 2026</w:t>
      </w:r>
    </w:p>
    <w:p/>
    <w:p>
      <w:pPr>
        <w:pStyle w:val="Heading1"/>
      </w:pPr>
      <w:r>
        <w:t>1. Source Material &amp; Scope</w:t>
      </w:r>
    </w:p>
    <w:p>
      <w:r>
        <w:t>This document evaluates the two AURA components supplied for review: the Market Signal Gates (Stock Signal Gate and Crypto Signal Gate) and the Earnings Gate. The supplied material describes the Market Signal Gates as standalone signal/alert layers and the Earnings Gate as a hard-blocking event-risk layer. The recommendations below preserve that framing and define how these components can fit into AURA's deterministic research-and-execution architecture.</w:t>
      </w:r>
    </w:p>
    <w:p>
      <w:r>
        <w:t>The supplied Market Signal Gates document states that the stock gate scans approximately 600 deduplicated S&amp;P 500, Nasdaq 100 and Dow 30 tickers using Unusual Whales data, while the crypto gate tracks BTC, ETH, SOL and other configured pairs using CoinGlass data. Both currently operate as log/alert-only components and do not place, block or resize trades.</w:t>
      </w:r>
    </w:p>
    <w:p>
      <w:r>
        <w:t>The supplied Earnings Gate update describes a Financial Modeling Prep-based earnings calendar, earnings surprise calculation, trading-calendar-aware blackout windows and a live blocklist. Its intended behavior is different: it is designed to hard-block new trading around scheduled earnings risk.</w:t>
      </w:r>
    </w:p>
    <w:p>
      <w:pPr>
        <w:pStyle w:val="Heading1"/>
      </w:pPr>
      <w:r>
        <w:t>2. Overall Assessment</w:t>
      </w:r>
    </w:p>
    <w:p>
      <w:r>
        <w:t>Both additions should be incorporated into AURA. However, they should not be treated as equivalent components. The Market Signal Gates should initially remain evidence/context providers, while the Earnings Gate should become a deterministic event-risk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Recommended AURA role</w:t>
            </w:r>
          </w:p>
        </w:tc>
        <w:tc>
          <w:tcPr>
            <w:tcW w:type="dxa" w:w="3360"/>
          </w:tcPr>
          <w:p>
            <w:r>
              <w:t>Initial authority</w:t>
            </w:r>
          </w:p>
        </w:tc>
      </w:tr>
      <w:tr>
        <w:tc>
          <w:tcPr>
            <w:tcW w:type="dxa" w:w="3360"/>
            <w:vAlign w:val="top"/>
          </w:tcPr>
          <w:p>
            <w:r>
              <w:t>Crypto Signal Gate</w:t>
            </w:r>
          </w:p>
        </w:tc>
        <w:tc>
          <w:tcPr>
            <w:tcW w:type="dxa" w:w="3360"/>
            <w:vAlign w:val="top"/>
          </w:tcPr>
          <w:p>
            <w:r>
              <w:t>Research / market evidence</w:t>
            </w:r>
          </w:p>
        </w:tc>
        <w:tc>
          <w:tcPr>
            <w:tcW w:type="dxa" w:w="3360"/>
            <w:vAlign w:val="top"/>
          </w:tcPr>
          <w:p>
            <w:r>
              <w:t>Inform only</w:t>
            </w:r>
          </w:p>
        </w:tc>
      </w:tr>
      <w:tr>
        <w:tc>
          <w:tcPr>
            <w:tcW w:type="dxa" w:w="3360"/>
            <w:vAlign w:val="top"/>
          </w:tcPr>
          <w:p>
            <w:r>
              <w:t>Stock Signal Gate</w:t>
            </w:r>
          </w:p>
        </w:tc>
        <w:tc>
          <w:tcPr>
            <w:tcW w:type="dxa" w:w="3360"/>
            <w:vAlign w:val="top"/>
          </w:tcPr>
          <w:p>
            <w:r>
              <w:t>Research / market evidence</w:t>
            </w:r>
          </w:p>
        </w:tc>
        <w:tc>
          <w:tcPr>
            <w:tcW w:type="dxa" w:w="3360"/>
            <w:vAlign w:val="top"/>
          </w:tcPr>
          <w:p>
            <w:r>
              <w:t>Inform only</w:t>
            </w:r>
          </w:p>
        </w:tc>
      </w:tr>
      <w:tr>
        <w:tc>
          <w:tcPr>
            <w:tcW w:type="dxa" w:w="3360"/>
            <w:vAlign w:val="top"/>
          </w:tcPr>
          <w:p>
            <w:r>
              <w:t>Earnings Gate</w:t>
            </w:r>
          </w:p>
        </w:tc>
        <w:tc>
          <w:tcPr>
            <w:tcW w:type="dxa" w:w="3360"/>
            <w:vAlign w:val="top"/>
          </w:tcPr>
          <w:p>
            <w:r>
              <w:t>Scheduled event-risk protection</w:t>
            </w:r>
          </w:p>
        </w:tc>
        <w:tc>
          <w:tcPr>
            <w:tcW w:type="dxa" w:w="3360"/>
            <w:vAlign w:val="top"/>
          </w:tcPr>
          <w:p>
            <w:r>
              <w:t>Hard block</w:t>
            </w:r>
          </w:p>
        </w:tc>
      </w:tr>
      <w:tr>
        <w:tc>
          <w:tcPr>
            <w:tcW w:type="dxa" w:w="3360"/>
            <w:vAlign w:val="top"/>
          </w:tcPr>
          <w:p>
            <w:r>
              <w:t>Risk Gate</w:t>
            </w:r>
          </w:p>
        </w:tc>
        <w:tc>
          <w:tcPr>
            <w:tcW w:type="dxa" w:w="3360"/>
            <w:vAlign w:val="top"/>
          </w:tcPr>
          <w:p>
            <w:r>
              <w:t>Trade/account/portfolio authorization</w:t>
            </w:r>
          </w:p>
        </w:tc>
        <w:tc>
          <w:tcPr>
            <w:tcW w:type="dxa" w:w="3360"/>
            <w:vAlign w:val="top"/>
          </w:tcPr>
          <w:p>
            <w:r>
              <w:t>Hard block</w:t>
            </w:r>
          </w:p>
        </w:tc>
      </w:tr>
      <w:tr>
        <w:tc>
          <w:tcPr>
            <w:tcW w:type="dxa" w:w="3360"/>
            <w:vAlign w:val="top"/>
          </w:tcPr>
          <w:p>
            <w:r>
              <w:t>Position State</w:t>
            </w:r>
          </w:p>
        </w:tc>
        <w:tc>
          <w:tcPr>
            <w:tcW w:type="dxa" w:w="3360"/>
            <w:vAlign w:val="top"/>
          </w:tcPr>
          <w:p>
            <w:r>
              <w:t>State authorization</w:t>
            </w:r>
          </w:p>
        </w:tc>
        <w:tc>
          <w:tcPr>
            <w:tcW w:type="dxa" w:w="3360"/>
            <w:vAlign w:val="top"/>
          </w:tcPr>
          <w:p>
            <w:r>
              <w:t>Hard block</w:t>
            </w:r>
          </w:p>
        </w:tc>
      </w:tr>
      <w:tr>
        <w:tc>
          <w:tcPr>
            <w:tcW w:type="dxa" w:w="3360"/>
            <w:vAlign w:val="top"/>
          </w:tcPr>
          <w:p>
            <w:r>
              <w:t>Reconciliation</w:t>
            </w:r>
          </w:p>
        </w:tc>
        <w:tc>
          <w:tcPr>
            <w:tcW w:type="dxa" w:w="3360"/>
            <w:vAlign w:val="top"/>
          </w:tcPr>
          <w:p>
            <w:r>
              <w:t>Authoritative reality check</w:t>
            </w:r>
          </w:p>
        </w:tc>
        <w:tc>
          <w:tcPr>
            <w:tcW w:type="dxa" w:w="3360"/>
            <w:vAlign w:val="top"/>
          </w:tcPr>
          <w:p>
            <w:r>
              <w:t>Hard block</w:t>
            </w:r>
          </w:p>
        </w:tc>
      </w:tr>
      <w:tr>
        <w:tc>
          <w:tcPr>
            <w:tcW w:type="dxa" w:w="3360"/>
            <w:vAlign w:val="top"/>
          </w:tcPr>
          <w:p>
            <w:r>
              <w:t>Kill Switch</w:t>
            </w:r>
          </w:p>
        </w:tc>
        <w:tc>
          <w:tcPr>
            <w:tcW w:type="dxa" w:w="3360"/>
            <w:vAlign w:val="top"/>
          </w:tcPr>
          <w:p>
            <w:r>
              <w:t>Emergency safety control</w:t>
            </w:r>
          </w:p>
        </w:tc>
        <w:tc>
          <w:tcPr>
            <w:tcW w:type="dxa" w:w="3360"/>
            <w:vAlign w:val="top"/>
          </w:tcPr>
          <w:p>
            <w:r>
              <w:t>Hard block</w:t>
            </w:r>
          </w:p>
        </w:tc>
      </w:tr>
      <w:tr>
        <w:tc>
          <w:tcPr>
            <w:tcW w:type="dxa" w:w="3360"/>
            <w:vAlign w:val="top"/>
          </w:tcPr>
          <w:p>
            <w:r>
              <w:t>AI</w:t>
            </w:r>
          </w:p>
        </w:tc>
        <w:tc>
          <w:tcPr>
            <w:tcW w:type="dxa" w:w="3360"/>
            <w:vAlign w:val="top"/>
          </w:tcPr>
          <w:p>
            <w:r>
              <w:t>Research, analysis and hypothesis generation</w:t>
            </w:r>
          </w:p>
        </w:tc>
        <w:tc>
          <w:tcPr>
            <w:tcW w:type="dxa" w:w="3360"/>
            <w:vAlign w:val="top"/>
          </w:tcPr>
          <w:p>
            <w:r>
              <w:t>Never execution authority</w:t>
            </w:r>
          </w:p>
        </w:tc>
      </w:tr>
    </w:tbl>
    <w:p>
      <w:pPr>
        <w:pStyle w:val="Heading1"/>
      </w:pPr>
      <w:r>
        <w:t>3. Recommended Integration Architecture</w:t>
      </w:r>
    </w:p>
    <w:p>
      <w:r>
        <w:t>The gates should sit around Signal Decision rather than becoming alternative execution paths:</w:t>
      </w:r>
    </w:p>
    <w:p>
      <w:pPr>
        <w:pStyle w:val="ListNumber"/>
      </w:pPr>
      <w:r>
        <w:t>AI / Research Plane generates hypotheses and candidate strategies.</w:t>
      </w:r>
    </w:p>
    <w:p>
      <w:pPr>
        <w:pStyle w:val="ListNumber"/>
      </w:pPr>
      <w:r>
        <w:t>Canonical Market State supplies authoritative runtime market data.</w:t>
      </w:r>
    </w:p>
    <w:p>
      <w:pPr>
        <w:pStyle w:val="ListNumber"/>
      </w:pPr>
      <w:r>
        <w:t>Market Signal Gates provide independently sourced contextual evidence.</w:t>
      </w:r>
    </w:p>
    <w:p>
      <w:pPr>
        <w:pStyle w:val="ListNumber"/>
      </w:pPr>
      <w:r>
        <w:t>Earnings/Event Gate evaluates scheduled event risk for applicable equities.</w:t>
      </w:r>
    </w:p>
    <w:p>
      <w:pPr>
        <w:pStyle w:val="ListNumber"/>
      </w:pPr>
      <w:r>
        <w:t>Signal Decision evaluates the frozen strategy using canonical state plus permitted evidence.</w:t>
      </w:r>
    </w:p>
    <w:p>
      <w:pPr>
        <w:pStyle w:val="ListNumber"/>
      </w:pPr>
      <w:r>
        <w:t>Risk Gate performs deterministic trade and portfolio risk authorization.</w:t>
      </w:r>
    </w:p>
    <w:p>
      <w:pPr>
        <w:pStyle w:val="ListNumber"/>
      </w:pPr>
      <w:r>
        <w:t>Position State and reconciliation verify that the proposed action is compatible with actual state.</w:t>
      </w:r>
    </w:p>
    <w:p>
      <w:pPr>
        <w:pStyle w:val="ListNumber"/>
      </w:pPr>
      <w:r>
        <w:t>Execution Preflight performs the final deterministic checks.</w:t>
      </w:r>
    </w:p>
    <w:p>
      <w:pPr>
        <w:pStyle w:val="ListNumber"/>
      </w:pPr>
      <w:r>
        <w:t>Only then may the privileged paper/live execution adapter be called.</w:t>
      </w:r>
    </w:p>
    <w:p>
      <w:pPr>
        <w:pStyle w:val="ListNumber"/>
      </w:pPr>
      <w:r>
        <w:t>All decisions, blocks, evidence and execution outcomes are recorded in the Decision / Execution Ledger.</w:t>
      </w:r>
    </w:p>
    <w:p>
      <w:r>
        <w:t>This preserves the key AURA principle: adding more intelligence must not create another route around the deterministic execution boundary.</w:t>
      </w:r>
    </w:p>
    <w:p>
      <w:pPr>
        <w:pStyle w:val="Heading1"/>
      </w:pPr>
      <w:r>
        <w:t>4. Market Signal Gates</w:t>
      </w:r>
    </w:p>
    <w:p>
      <w:pPr>
        <w:pStyle w:val="Heading2"/>
      </w:pPr>
      <w:r>
        <w:t>4.1 What They Already Provide</w:t>
      </w:r>
    </w:p>
    <w:p>
      <w:pPr>
        <w:pStyle w:val="ListBullet"/>
      </w:pPr>
      <w:r>
        <w:t>Stock options-flow anomalies, premium flow, sweep/block activity and signal ranking.</w:t>
      </w:r>
    </w:p>
    <w:p>
      <w:pPr>
        <w:pStyle w:val="ListBullet"/>
      </w:pPr>
      <w:r>
        <w:t>Crypto funding-rate extremes, open-interest/price divergence and large order activity.</w:t>
      </w:r>
    </w:p>
    <w:p>
      <w:pPr>
        <w:pStyle w:val="ListBullet"/>
      </w:pPr>
      <w:r>
        <w:t>Ranked signals, anomaly feeds and score history.</w:t>
      </w:r>
    </w:p>
    <w:p>
      <w:pPr>
        <w:pStyle w:val="ListBullet"/>
      </w:pPr>
      <w:r>
        <w:t>Append-only logging and dashboard visibility.</w:t>
      </w:r>
    </w:p>
    <w:p>
      <w:pPr>
        <w:pStyle w:val="ListBullet"/>
      </w:pPr>
      <w:r>
        <w:t>A clear separation from trading execution: the current design does not place, block or resize trades.</w:t>
      </w:r>
    </w:p>
    <w:p>
      <w:pPr>
        <w:pStyle w:val="ListBullet"/>
      </w:pPr>
      <w:r>
        <w:t>Mock-mode operation while live paid API access and endpoint verification remain outstanding.</w:t>
      </w:r>
    </w:p>
    <w:p>
      <w:pPr>
        <w:pStyle w:val="Heading2"/>
      </w:pPr>
      <w:r>
        <w:t>4.2 Why They Fit AURA</w:t>
      </w:r>
    </w:p>
    <w:p>
      <w:r>
        <w:t>Their current log/alert-only behavior is actually desirable for the first AURA integration. It allows the platform to collect timestamped observations without prematurely turning an attractive signal into a trading rule. The signals can therefore become experimental variables in AURA's quantitative research layer.</w:t>
      </w:r>
    </w:p>
    <w:p>
      <w:pPr>
        <w:pStyle w:val="Heading2"/>
      </w:pPr>
      <w:r>
        <w:t>4.3 Do Not Turn Them into Simple Filters Yet</w:t>
      </w:r>
    </w:p>
    <w:p>
      <w:r>
        <w:t>The supplied material proposes watching real data for several days and then tuning thresholds. For AURA, that process should be made more rigorous. A threshold should not become a production rule merely because it appears useful over a short observation period.</w:t>
      </w:r>
    </w:p>
    <w:p>
      <w:pPr>
        <w:pStyle w:val="ListBullet"/>
      </w:pPr>
      <w:r>
        <w:t>Preserve raw signal inputs as well as the derived score.</w:t>
      </w:r>
    </w:p>
    <w:p>
      <w:pPr>
        <w:pStyle w:val="ListBullet"/>
      </w:pPr>
      <w:r>
        <w:t>Record the exact gate version and threshold version.</w:t>
      </w:r>
    </w:p>
    <w:p>
      <w:pPr>
        <w:pStyle w:val="ListBullet"/>
      </w:pPr>
      <w:r>
        <w:t>Timestamp every observation.</w:t>
      </w:r>
    </w:p>
    <w:p>
      <w:pPr>
        <w:pStyle w:val="ListBullet"/>
      </w:pPr>
      <w:r>
        <w:t>Keep the source and data-quality status.</w:t>
      </w:r>
    </w:p>
    <w:p>
      <w:pPr>
        <w:pStyle w:val="ListBullet"/>
      </w:pPr>
      <w:r>
        <w:t>Separate discovery from validation.</w:t>
      </w:r>
    </w:p>
    <w:p>
      <w:pPr>
        <w:pStyle w:val="ListBullet"/>
      </w:pPr>
      <w:r>
        <w:t>Freeze candidate rules before out-of-sample testing.</w:t>
      </w:r>
    </w:p>
    <w:p>
      <w:pPr>
        <w:pStyle w:val="ListBullet"/>
      </w:pPr>
      <w:r>
        <w:t>Test incremental value against a baseline rather than evaluating only the combined strategy.</w:t>
      </w:r>
    </w:p>
    <w:p>
      <w:pPr>
        <w:pStyle w:val="ListBullet"/>
      </w:pPr>
      <w:r>
        <w:t>Use permutation/matched controls where applicable.</w:t>
      </w:r>
    </w:p>
    <w:p>
      <w:pPr>
        <w:pStyle w:val="ListBullet"/>
      </w:pPr>
      <w:r>
        <w:t>Test robustness across symbols, regimes, costs and parameter ranges.</w:t>
      </w:r>
    </w:p>
    <w:p>
      <w:pPr>
        <w:pStyle w:val="Heading1"/>
      </w:pPr>
      <w:r>
        <w:t>5. Turn Signal Gates into Researchable Evidence</w:t>
      </w:r>
    </w:p>
    <w:p>
      <w:r>
        <w:t>The strongest opportunity is to make the gates subjects of research rather than assuming they improve trading performance.</w:t>
      </w:r>
    </w:p>
    <w:tbl>
      <w:tblPr>
        <w:tblStyle w:val="TableGrid"/>
        <w:tblW w:type="auto" w:w="0"/>
        <w:jc w:val="center"/>
        <w:tblLook w:firstColumn="1" w:firstRow="1" w:lastColumn="0" w:lastRow="0" w:noHBand="0" w:noVBand="1" w:val="04A0"/>
      </w:tblPr>
      <w:tblGrid>
        <w:gridCol w:w="5040"/>
        <w:gridCol w:w="5040"/>
      </w:tblGrid>
      <w:tr>
        <w:tc>
          <w:tcPr>
            <w:tcW w:type="dxa" w:w="5040"/>
          </w:tcPr>
          <w:p>
            <w:r>
              <w:t>Experiment</w:t>
            </w:r>
          </w:p>
        </w:tc>
        <w:tc>
          <w:tcPr>
            <w:tcW w:type="dxa" w:w="5040"/>
          </w:tcPr>
          <w:p>
            <w:r>
              <w:t>Question</w:t>
            </w:r>
          </w:p>
        </w:tc>
      </w:tr>
      <w:tr>
        <w:tc>
          <w:tcPr>
            <w:tcW w:type="dxa" w:w="5040"/>
            <w:vAlign w:val="top"/>
          </w:tcPr>
          <w:p>
            <w:r>
              <w:t>Baseline</w:t>
            </w:r>
          </w:p>
        </w:tc>
        <w:tc>
          <w:tcPr>
            <w:tcW w:type="dxa" w:w="5040"/>
            <w:vAlign w:val="top"/>
          </w:tcPr>
          <w:p>
            <w:r>
              <w:t>How does the existing strategy perform without smart-money evidence?</w:t>
            </w:r>
          </w:p>
        </w:tc>
      </w:tr>
      <w:tr>
        <w:tc>
          <w:tcPr>
            <w:tcW w:type="dxa" w:w="5040"/>
            <w:vAlign w:val="top"/>
          </w:tcPr>
          <w:p>
            <w:r>
              <w:t>Market Gate A</w:t>
            </w:r>
          </w:p>
        </w:tc>
        <w:tc>
          <w:tcPr>
            <w:tcW w:type="dxa" w:w="5040"/>
            <w:vAlign w:val="top"/>
          </w:tcPr>
          <w:p>
            <w:r>
              <w:t>Does the stock options-flow signal add incremental predictive information?</w:t>
            </w:r>
          </w:p>
        </w:tc>
      </w:tr>
      <w:tr>
        <w:tc>
          <w:tcPr>
            <w:tcW w:type="dxa" w:w="5040"/>
            <w:vAlign w:val="top"/>
          </w:tcPr>
          <w:p>
            <w:r>
              <w:t>Market Gate B</w:t>
            </w:r>
          </w:p>
        </w:tc>
        <w:tc>
          <w:tcPr>
            <w:tcW w:type="dxa" w:w="5040"/>
            <w:vAlign w:val="top"/>
          </w:tcPr>
          <w:p>
            <w:r>
              <w:t>Does crypto funding/OI/order-flow evidence add incremental predictive information?</w:t>
            </w:r>
          </w:p>
        </w:tc>
      </w:tr>
      <w:tr>
        <w:tc>
          <w:tcPr>
            <w:tcW w:type="dxa" w:w="5040"/>
            <w:vAlign w:val="top"/>
          </w:tcPr>
          <w:p>
            <w:r>
              <w:t>Confirmation</w:t>
            </w:r>
          </w:p>
        </w:tc>
        <w:tc>
          <w:tcPr>
            <w:tcW w:type="dxa" w:w="5040"/>
            <w:vAlign w:val="top"/>
          </w:tcPr>
          <w:p>
            <w:r>
              <w:t>Does agreement between the strategy and the external signal improve expectancy?</w:t>
            </w:r>
          </w:p>
        </w:tc>
      </w:tr>
      <w:tr>
        <w:tc>
          <w:tcPr>
            <w:tcW w:type="dxa" w:w="5040"/>
            <w:vAlign w:val="top"/>
          </w:tcPr>
          <w:p>
            <w:r>
              <w:t>Conflict</w:t>
            </w:r>
          </w:p>
        </w:tc>
        <w:tc>
          <w:tcPr>
            <w:tcW w:type="dxa" w:w="5040"/>
            <w:vAlign w:val="top"/>
          </w:tcPr>
          <w:p>
            <w:r>
              <w:t>Does disagreement identify low-quality or reversal-prone trades?</w:t>
            </w:r>
          </w:p>
        </w:tc>
      </w:tr>
      <w:tr>
        <w:tc>
          <w:tcPr>
            <w:tcW w:type="dxa" w:w="5040"/>
            <w:vAlign w:val="top"/>
          </w:tcPr>
          <w:p>
            <w:r>
              <w:t>Randomized control</w:t>
            </w:r>
          </w:p>
        </w:tc>
        <w:tc>
          <w:tcPr>
            <w:tcW w:type="dxa" w:w="5040"/>
            <w:vAlign w:val="top"/>
          </w:tcPr>
          <w:p>
            <w:r>
              <w:t>Does the apparent improvement disappear when the signal is randomized?</w:t>
            </w:r>
          </w:p>
        </w:tc>
      </w:tr>
      <w:tr>
        <w:tc>
          <w:tcPr>
            <w:tcW w:type="dxa" w:w="5040"/>
            <w:vAlign w:val="top"/>
          </w:tcPr>
          <w:p>
            <w:r>
              <w:t>Regime split</w:t>
            </w:r>
          </w:p>
        </w:tc>
        <w:tc>
          <w:tcPr>
            <w:tcW w:type="dxa" w:w="5040"/>
            <w:vAlign w:val="top"/>
          </w:tcPr>
          <w:p>
            <w:r>
              <w:t>Does the signal work only in particular market regimes?</w:t>
            </w:r>
          </w:p>
        </w:tc>
      </w:tr>
      <w:tr>
        <w:tc>
          <w:tcPr>
            <w:tcW w:type="dxa" w:w="5040"/>
            <w:vAlign w:val="top"/>
          </w:tcPr>
          <w:p>
            <w:r>
              <w:t>Unseen-symbol test</w:t>
            </w:r>
          </w:p>
        </w:tc>
        <w:tc>
          <w:tcPr>
            <w:tcW w:type="dxa" w:w="5040"/>
            <w:vAlign w:val="top"/>
          </w:tcPr>
          <w:p>
            <w:r>
              <w:t>Does the signal generalize beyond the symbols used during discovery?</w:t>
            </w:r>
          </w:p>
        </w:tc>
      </w:tr>
      <w:tr>
        <w:tc>
          <w:tcPr>
            <w:tcW w:type="dxa" w:w="5040"/>
            <w:vAlign w:val="top"/>
          </w:tcPr>
          <w:p>
            <w:r>
              <w:t>Cost sensitivity</w:t>
            </w:r>
          </w:p>
        </w:tc>
        <w:tc>
          <w:tcPr>
            <w:tcW w:type="dxa" w:w="5040"/>
            <w:vAlign w:val="top"/>
          </w:tcPr>
          <w:p>
            <w:r>
              <w:t>Does any improvement survive realistic transaction costs and slippage?</w:t>
            </w:r>
          </w:p>
        </w:tc>
      </w:tr>
    </w:tbl>
    <w:p>
      <w:pPr>
        <w:pStyle w:val="Heading1"/>
      </w:pPr>
      <w:r>
        <w:t>6. Example Hypotheses</w:t>
      </w:r>
    </w:p>
    <w:p>
      <w:pPr>
        <w:pStyle w:val="ListBullet"/>
      </w:pPr>
      <w:r>
        <w:t>Momentum signal + positive smart-money confirmation may have higher expectancy than momentum alone.</w:t>
      </w:r>
    </w:p>
    <w:p>
      <w:pPr>
        <w:pStyle w:val="ListBullet"/>
      </w:pPr>
      <w:r>
        <w:t>Momentum signal + conflicting smart-money evidence may have lower trade quality.</w:t>
      </w:r>
    </w:p>
    <w:p>
      <w:pPr>
        <w:pStyle w:val="ListBullet"/>
      </w:pPr>
      <w:r>
        <w:t>Crypto breakout + rising OI + non-extreme funding may represent a different regime from crypto breakout + extreme funding.</w:t>
      </w:r>
    </w:p>
    <w:p>
      <w:pPr>
        <w:pStyle w:val="ListBullet"/>
      </w:pPr>
      <w:r>
        <w:t>Extreme positive funding may indicate crowded positioning rather than confirmation.</w:t>
      </w:r>
    </w:p>
    <w:p>
      <w:pPr>
        <w:pStyle w:val="ListBullet"/>
      </w:pPr>
      <w:r>
        <w:t>Options-flow direction may contain useful information only for particular liquidity or volatility regimes.</w:t>
      </w:r>
    </w:p>
    <w:p>
      <w:pPr>
        <w:pStyle w:val="ListBullet"/>
      </w:pPr>
      <w:r>
        <w:t>The value of a signal may be asymmetric: it may improve trade selection without improving raw directional accuracy.</w:t>
      </w:r>
    </w:p>
    <w:p>
      <w:r>
        <w:t>These are hypotheses, not conclusions. AURA should be responsible for determining whether they survive validation.</w:t>
      </w:r>
    </w:p>
    <w:p>
      <w:pPr>
        <w:pStyle w:val="Heading1"/>
      </w:pPr>
      <w:r>
        <w:t>7. Earnings Gate</w:t>
      </w:r>
    </w:p>
    <w:p>
      <w:pPr>
        <w:pStyle w:val="Heading2"/>
      </w:pPr>
      <w:r>
        <w:t>7.1 Recommended Behavior</w:t>
      </w:r>
    </w:p>
    <w:p>
      <w:r>
        <w:t>The Earnings Gate should be a deterministic hard gate for scheduled equity event risk. The supplied implementation calculates blackout windows using the real trading calendar and distinguishes reports before the open from reports after the close.</w:t>
      </w:r>
    </w:p>
    <w:tbl>
      <w:tblPr>
        <w:tblStyle w:val="TableGrid"/>
        <w:tblW w:type="auto" w:w="0"/>
        <w:jc w:val="center"/>
        <w:tblLook w:firstColumn="1" w:firstRow="1" w:lastColumn="0" w:lastRow="0" w:noHBand="0" w:noVBand="1" w:val="04A0"/>
      </w:tblPr>
      <w:tblGrid>
        <w:gridCol w:w="5040"/>
        <w:gridCol w:w="5040"/>
      </w:tblGrid>
      <w:tr>
        <w:tc>
          <w:tcPr>
            <w:tcW w:type="dxa" w:w="5040"/>
          </w:tcPr>
          <w:p>
            <w:r>
              <w:t>Event condition</w:t>
            </w:r>
          </w:p>
        </w:tc>
        <w:tc>
          <w:tcPr>
            <w:tcW w:type="dxa" w:w="5040"/>
          </w:tcPr>
          <w:p>
            <w:r>
              <w:t>Recommended behavior</w:t>
            </w:r>
          </w:p>
        </w:tc>
      </w:tr>
      <w:tr>
        <w:tc>
          <w:tcPr>
            <w:tcW w:type="dxa" w:w="5040"/>
            <w:vAlign w:val="top"/>
          </w:tcPr>
          <w:p>
            <w:r>
              <w:t>Earnings data unavailable/invalid for an otherwise required symbol</w:t>
            </w:r>
          </w:p>
        </w:tc>
        <w:tc>
          <w:tcPr>
            <w:tcW w:type="dxa" w:w="5040"/>
            <w:vAlign w:val="top"/>
          </w:tcPr>
          <w:p>
            <w:r>
              <w:t>Fail closed for new entries, unless an explicit policy says the symbol is outside the earnings universe</w:t>
            </w:r>
          </w:p>
        </w:tc>
      </w:tr>
      <w:tr>
        <w:tc>
          <w:tcPr>
            <w:tcW w:type="dxa" w:w="5040"/>
            <w:vAlign w:val="top"/>
          </w:tcPr>
          <w:p>
            <w:r>
              <w:t>Earnings inside configured blackout window</w:t>
            </w:r>
          </w:p>
        </w:tc>
        <w:tc>
          <w:tcPr>
            <w:tcW w:type="dxa" w:w="5040"/>
            <w:vAlign w:val="top"/>
          </w:tcPr>
          <w:p>
            <w:r>
              <w:t>BLOCK new entry</w:t>
            </w:r>
          </w:p>
        </w:tc>
      </w:tr>
      <w:tr>
        <w:tc>
          <w:tcPr>
            <w:tcW w:type="dxa" w:w="5040"/>
            <w:vAlign w:val="top"/>
          </w:tcPr>
          <w:p>
            <w:r>
              <w:t>No earnings event inside blackout window</w:t>
            </w:r>
          </w:p>
        </w:tc>
        <w:tc>
          <w:tcPr>
            <w:tcW w:type="dxa" w:w="5040"/>
            <w:vAlign w:val="top"/>
          </w:tcPr>
          <w:p>
            <w:r>
              <w:t>PASS</w:t>
            </w:r>
          </w:p>
        </w:tc>
      </w:tr>
      <w:tr>
        <w:tc>
          <w:tcPr>
            <w:tcW w:type="dxa" w:w="5040"/>
            <w:vAlign w:val="top"/>
          </w:tcPr>
          <w:p>
            <w:r>
              <w:t>Existing position approaches earnings</w:t>
            </w:r>
          </w:p>
        </w:tc>
        <w:tc>
          <w:tcPr>
            <w:tcW w:type="dxa" w:w="5040"/>
            <w:vAlign w:val="top"/>
          </w:tcPr>
          <w:p>
            <w:r>
              <w:t>Hand off to explicit event-risk/position policy; do not let the gate directly bypass Position State or Risk Gate</w:t>
            </w:r>
          </w:p>
        </w:tc>
      </w:tr>
      <w:tr>
        <w:tc>
          <w:tcPr>
            <w:tcW w:type="dxa" w:w="5040"/>
            <w:vAlign w:val="top"/>
          </w:tcPr>
          <w:p>
            <w:r>
              <w:t>Calendar/API ambiguity</w:t>
            </w:r>
          </w:p>
        </w:tc>
        <w:tc>
          <w:tcPr>
            <w:tcW w:type="dxa" w:w="5040"/>
            <w:vAlign w:val="top"/>
          </w:tcPr>
          <w:p>
            <w:r>
              <w:t>Fail closed for affected symbol</w:t>
            </w:r>
          </w:p>
        </w:tc>
      </w:tr>
    </w:tbl>
    <w:p>
      <w:pPr>
        <w:pStyle w:val="Heading2"/>
      </w:pPr>
      <w:r>
        <w:t>7.2 Important Distinction: New Entry vs Existing Position</w:t>
      </w:r>
    </w:p>
    <w:p>
      <w:r>
        <w:t>The supplied team update describes preventing the bot from opening or holding a position through an earnings report. AURA should separate those decisions. Blocking a new entry is a straightforward gate decision. Handling an existing position requires an explicit position-management policy.</w:t>
      </w:r>
    </w:p>
    <w:p>
      <w:pPr>
        <w:pStyle w:val="ListNumber"/>
      </w:pPr>
      <w:r>
        <w:t>Detect upcoming earnings event.</w:t>
      </w:r>
    </w:p>
    <w:p>
      <w:pPr>
        <w:pStyle w:val="ListNumber"/>
      </w:pPr>
      <w:r>
        <w:t>Position State determines whether a position exists.</w:t>
      </w:r>
    </w:p>
    <w:p>
      <w:pPr>
        <w:pStyle w:val="ListNumber"/>
      </w:pPr>
      <w:r>
        <w:t>If flat, Earnings Gate can block a new entry.</w:t>
      </w:r>
    </w:p>
    <w:p>
      <w:pPr>
        <w:pStyle w:val="ListNumber"/>
      </w:pPr>
      <w:r>
        <w:t>If a position exists, an event-risk policy determines whether an exit or reduction should be considered.</w:t>
      </w:r>
    </w:p>
    <w:p>
      <w:pPr>
        <w:pStyle w:val="ListNumber"/>
      </w:pPr>
      <w:r>
        <w:t>Risk Gate and Position State remain authoritative for any resulting action.</w:t>
      </w:r>
    </w:p>
    <w:p>
      <w:pPr>
        <w:pStyle w:val="ListNumber"/>
      </w:pPr>
      <w:r>
        <w:t>All decisions are recorded in the ledger.</w:t>
      </w:r>
    </w:p>
    <w:p>
      <w:pPr>
        <w:pStyle w:val="Heading1"/>
      </w:pPr>
      <w:r>
        <w:t>8. Build a Unified AURA Gate Framework</w:t>
      </w:r>
    </w:p>
    <w:p>
      <w:r>
        <w:t>The two supplied components suggest a useful common abstraction. AURA should not create a collection of unrelated one-off gates. Instead, build a gate framework with explicit gate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Gate class</w:t>
            </w:r>
          </w:p>
        </w:tc>
        <w:tc>
          <w:tcPr>
            <w:tcW w:type="dxa" w:w="3360"/>
          </w:tcPr>
          <w:p>
            <w:r>
              <w:t>Examples</w:t>
            </w:r>
          </w:p>
        </w:tc>
        <w:tc>
          <w:tcPr>
            <w:tcW w:type="dxa" w:w="3360"/>
          </w:tcPr>
          <w:p>
            <w:r>
              <w:t>Effect</w:t>
            </w:r>
          </w:p>
        </w:tc>
      </w:tr>
      <w:tr>
        <w:tc>
          <w:tcPr>
            <w:tcW w:type="dxa" w:w="3360"/>
            <w:vAlign w:val="top"/>
          </w:tcPr>
          <w:p>
            <w:r>
              <w:t>Hard Safety / Authorization</w:t>
            </w:r>
          </w:p>
        </w:tc>
        <w:tc>
          <w:tcPr>
            <w:tcW w:type="dxa" w:w="3360"/>
            <w:vAlign w:val="top"/>
          </w:tcPr>
          <w:p>
            <w:r>
              <w:t>Risk, Earnings, kill switch, invalid state, reconciliation</w:t>
            </w:r>
          </w:p>
        </w:tc>
        <w:tc>
          <w:tcPr>
            <w:tcW w:type="dxa" w:w="3360"/>
            <w:vAlign w:val="top"/>
          </w:tcPr>
          <w:p>
            <w:r>
              <w:t>May block progression</w:t>
            </w:r>
          </w:p>
        </w:tc>
      </w:tr>
      <w:tr>
        <w:tc>
          <w:tcPr>
            <w:tcW w:type="dxa" w:w="3360"/>
            <w:vAlign w:val="top"/>
          </w:tcPr>
          <w:p>
            <w:r>
              <w:t>Evidence / Context</w:t>
            </w:r>
          </w:p>
        </w:tc>
        <w:tc>
          <w:tcPr>
            <w:tcW w:type="dxa" w:w="3360"/>
            <w:vAlign w:val="top"/>
          </w:tcPr>
          <w:p>
            <w:r>
              <w:t>Options flow, funding, OI, large orders, news, regime context</w:t>
            </w:r>
          </w:p>
        </w:tc>
        <w:tc>
          <w:tcPr>
            <w:tcW w:type="dxa" w:w="3360"/>
            <w:vAlign w:val="top"/>
          </w:tcPr>
          <w:p>
            <w:r>
              <w:t>Provides evidence; does not authorize execution</w:t>
            </w:r>
          </w:p>
        </w:tc>
      </w:tr>
      <w:tr>
        <w:tc>
          <w:tcPr>
            <w:tcW w:type="dxa" w:w="3360"/>
            <w:vAlign w:val="top"/>
          </w:tcPr>
          <w:p>
            <w:r>
              <w:t>Research Validation</w:t>
            </w:r>
          </w:p>
        </w:tc>
        <w:tc>
          <w:tcPr>
            <w:tcW w:type="dxa" w:w="3360"/>
            <w:vAlign w:val="top"/>
          </w:tcPr>
          <w:p>
            <w:r>
              <w:t>OOS, WFO, permutation, robustness, prospective evidence</w:t>
            </w:r>
          </w:p>
        </w:tc>
        <w:tc>
          <w:tcPr>
            <w:tcW w:type="dxa" w:w="3360"/>
            <w:vAlign w:val="top"/>
          </w:tcPr>
          <w:p>
            <w:r>
              <w:t>Controls strategy promotion</w:t>
            </w:r>
          </w:p>
        </w:tc>
      </w:tr>
    </w:tbl>
    <w:p>
      <w:r>
        <w:t>This separation prevents a contextual signal from accidentally becoming a hidden execution authority.</w:t>
      </w:r>
    </w:p>
    <w:p>
      <w:pPr>
        <w:pStyle w:val="Heading1"/>
      </w:pPr>
      <w:r>
        <w:t>9. Recommended Signal Gate Data Contract</w:t>
      </w:r>
    </w:p>
    <w:p>
      <w:r>
        <w:t>Every gate should emit a structured, versioned record. This makes the gates usable by both the runtime and the research platform without coupling their internal implementations to AURA.</w:t>
      </w:r>
    </w:p>
    <w:p>
      <w:pPr>
        <w:pStyle w:val="ListBullet"/>
      </w:pPr>
      <w:r>
        <w:t>gate_id</w:t>
      </w:r>
    </w:p>
    <w:p>
      <w:pPr>
        <w:pStyle w:val="ListBullet"/>
      </w:pPr>
      <w:r>
        <w:t>gate_type</w:t>
      </w:r>
    </w:p>
    <w:p>
      <w:pPr>
        <w:pStyle w:val="ListBullet"/>
      </w:pPr>
      <w:r>
        <w:t>gate_version</w:t>
      </w:r>
    </w:p>
    <w:p>
      <w:pPr>
        <w:pStyle w:val="ListBullet"/>
      </w:pPr>
      <w:r>
        <w:t>symbol</w:t>
      </w:r>
    </w:p>
    <w:p>
      <w:pPr>
        <w:pStyle w:val="ListBullet"/>
      </w:pPr>
      <w:r>
        <w:t>timestamp</w:t>
      </w:r>
    </w:p>
    <w:p>
      <w:pPr>
        <w:pStyle w:val="ListBullet"/>
      </w:pPr>
      <w:r>
        <w:t>data_source</w:t>
      </w:r>
    </w:p>
    <w:p>
      <w:pPr>
        <w:pStyle w:val="ListBullet"/>
      </w:pPr>
      <w:r>
        <w:t>source_status</w:t>
      </w:r>
    </w:p>
    <w:p>
      <w:pPr>
        <w:pStyle w:val="ListBullet"/>
      </w:pPr>
      <w:r>
        <w:t>raw_inputs</w:t>
      </w:r>
    </w:p>
    <w:p>
      <w:pPr>
        <w:pStyle w:val="ListBullet"/>
      </w:pPr>
      <w:r>
        <w:t>derived_features</w:t>
      </w:r>
    </w:p>
    <w:p>
      <w:pPr>
        <w:pStyle w:val="ListBullet"/>
      </w:pPr>
      <w:r>
        <w:t>signal_score</w:t>
      </w:r>
    </w:p>
    <w:p>
      <w:pPr>
        <w:pStyle w:val="ListBullet"/>
      </w:pPr>
      <w:r>
        <w:t>signal_direction</w:t>
      </w:r>
    </w:p>
    <w:p>
      <w:pPr>
        <w:pStyle w:val="ListBullet"/>
      </w:pPr>
      <w:r>
        <w:t>threshold_version</w:t>
      </w:r>
    </w:p>
    <w:p>
      <w:pPr>
        <w:pStyle w:val="ListBullet"/>
      </w:pPr>
      <w:r>
        <w:t>decision_or_context</w:t>
      </w:r>
    </w:p>
    <w:p>
      <w:pPr>
        <w:pStyle w:val="ListBullet"/>
      </w:pPr>
      <w:r>
        <w:t>reason_codes</w:t>
      </w:r>
    </w:p>
    <w:p>
      <w:pPr>
        <w:pStyle w:val="ListBullet"/>
      </w:pPr>
      <w:r>
        <w:t>market_state_id</w:t>
      </w:r>
    </w:p>
    <w:p>
      <w:pPr>
        <w:pStyle w:val="ListBullet"/>
      </w:pPr>
      <w:r>
        <w:t>market_state_hash</w:t>
      </w:r>
    </w:p>
    <w:p>
      <w:r>
        <w:t>For hard gates, the record should additionally contain the deterministic block/pass decision and the exact rule that produced it. For evidence gates, the record should clearly state that the output is contextual rather than an authorization.</w:t>
      </w:r>
    </w:p>
    <w:p>
      <w:pPr>
        <w:pStyle w:val="Heading1"/>
      </w:pPr>
      <w:r>
        <w:t>10. Data Quality &amp; Failure Policy</w:t>
      </w:r>
    </w:p>
    <w:p>
      <w:r>
        <w:t>Both supplied signal systems are currently in mock mode and have not yet been verified against their paid live API endpoints. The Market Signal Gates document explicitly identifies this as unfinished work. Therefore, live-data integration should be treated as a separate validation milestone rather than assuming the mock behavior proves production correctness.</w:t>
      </w:r>
    </w:p>
    <w:p>
      <w:pPr>
        <w:pStyle w:val="ListBullet"/>
      </w:pPr>
      <w:r>
        <w:t>Mock mode must never be mistaken for live evidence.</w:t>
      </w:r>
    </w:p>
    <w:p>
      <w:pPr>
        <w:pStyle w:val="ListBullet"/>
      </w:pPr>
      <w:r>
        <w:t>API endpoint failures should be visible and persisted.</w:t>
      </w:r>
    </w:p>
    <w:p>
      <w:pPr>
        <w:pStyle w:val="ListBullet"/>
      </w:pPr>
      <w:r>
        <w:t>Stale signal data should carry an explicit age/status.</w:t>
      </w:r>
    </w:p>
    <w:p>
      <w:pPr>
        <w:pStyle w:val="ListBullet"/>
      </w:pPr>
      <w:r>
        <w:t>Missing signal data should not silently become a neutral score unless that behavior is explicitly defined.</w:t>
      </w:r>
    </w:p>
    <w:p>
      <w:pPr>
        <w:pStyle w:val="ListBullet"/>
      </w:pPr>
      <w:r>
        <w:t>Hard safety gates should fail closed when required authoritative data is unavailable.</w:t>
      </w:r>
    </w:p>
    <w:p>
      <w:pPr>
        <w:pStyle w:val="ListBullet"/>
      </w:pPr>
      <w:r>
        <w:t>Evidence gates may be unavailable without blocking if the strategy has not declared them mandatory.</w:t>
      </w:r>
    </w:p>
    <w:p>
      <w:pPr>
        <w:pStyle w:val="ListBullet"/>
      </w:pPr>
      <w:r>
        <w:t>Data-source changes should increment gate versions and preserve lineage.</w:t>
      </w:r>
    </w:p>
    <w:p>
      <w:pPr>
        <w:pStyle w:val="Heading1"/>
      </w:pPr>
      <w:r>
        <w:t>11. Recommended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Priority</w:t>
            </w:r>
          </w:p>
        </w:tc>
        <w:tc>
          <w:tcPr>
            <w:tcW w:type="dxa" w:w="3360"/>
          </w:tcPr>
          <w:p>
            <w:r>
              <w:t>Work item</w:t>
            </w:r>
          </w:p>
        </w:tc>
        <w:tc>
          <w:tcPr>
            <w:tcW w:type="dxa" w:w="3360"/>
          </w:tcPr>
          <w:p>
            <w:r>
              <w:t>Outcome</w:t>
            </w:r>
          </w:p>
        </w:tc>
      </w:tr>
      <w:tr>
        <w:tc>
          <w:tcPr>
            <w:tcW w:type="dxa" w:w="3360"/>
            <w:vAlign w:val="top"/>
          </w:tcPr>
          <w:p>
            <w:r>
              <w:t>P0</w:t>
            </w:r>
          </w:p>
        </w:tc>
        <w:tc>
          <w:tcPr>
            <w:tcW w:type="dxa" w:w="3360"/>
            <w:vAlign w:val="top"/>
          </w:tcPr>
          <w:p>
            <w:r>
              <w:t>Finish Earnings Gate integration and smoke test</w:t>
            </w:r>
          </w:p>
        </w:tc>
        <w:tc>
          <w:tcPr>
            <w:tcW w:type="dxa" w:w="3360"/>
            <w:vAlign w:val="top"/>
          </w:tcPr>
          <w:p>
            <w:r>
              <w:t>Deterministic earnings block available to runtime</w:t>
            </w:r>
          </w:p>
        </w:tc>
      </w:tr>
      <w:tr>
        <w:tc>
          <w:tcPr>
            <w:tcW w:type="dxa" w:w="3360"/>
            <w:vAlign w:val="top"/>
          </w:tcPr>
          <w:p>
            <w:r>
              <w:t>P0</w:t>
            </w:r>
          </w:p>
        </w:tc>
        <w:tc>
          <w:tcPr>
            <w:tcW w:type="dxa" w:w="3360"/>
            <w:vAlign w:val="top"/>
          </w:tcPr>
          <w:p>
            <w:r>
              <w:t>Define unified gate interface</w:t>
            </w:r>
          </w:p>
        </w:tc>
        <w:tc>
          <w:tcPr>
            <w:tcW w:type="dxa" w:w="3360"/>
            <w:vAlign w:val="top"/>
          </w:tcPr>
          <w:p>
            <w:r>
              <w:t>All gates expose consistent versioned outputs</w:t>
            </w:r>
          </w:p>
        </w:tc>
      </w:tr>
      <w:tr>
        <w:tc>
          <w:tcPr>
            <w:tcW w:type="dxa" w:w="3360"/>
            <w:vAlign w:val="top"/>
          </w:tcPr>
          <w:p>
            <w:r>
              <w:t>P0</w:t>
            </w:r>
          </w:p>
        </w:tc>
        <w:tc>
          <w:tcPr>
            <w:tcW w:type="dxa" w:w="3360"/>
            <w:vAlign w:val="top"/>
          </w:tcPr>
          <w:p>
            <w:r>
              <w:t>Live-API verification for all three signal systems</w:t>
            </w:r>
          </w:p>
        </w:tc>
        <w:tc>
          <w:tcPr>
            <w:tcW w:type="dxa" w:w="3360"/>
            <w:vAlign w:val="top"/>
          </w:tcPr>
          <w:p>
            <w:r>
              <w:t>Real data proven end-to-end</w:t>
            </w:r>
          </w:p>
        </w:tc>
      </w:tr>
      <w:tr>
        <w:tc>
          <w:tcPr>
            <w:tcW w:type="dxa" w:w="3360"/>
            <w:vAlign w:val="top"/>
          </w:tcPr>
          <w:p>
            <w:r>
              <w:t>P0</w:t>
            </w:r>
          </w:p>
        </w:tc>
        <w:tc>
          <w:tcPr>
            <w:tcW w:type="dxa" w:w="3360"/>
            <w:vAlign w:val="top"/>
          </w:tcPr>
          <w:p>
            <w:r>
              <w:t>Ensure gates cannot bypass Risk/Position/Execution controls</w:t>
            </w:r>
          </w:p>
        </w:tc>
        <w:tc>
          <w:tcPr>
            <w:tcW w:type="dxa" w:w="3360"/>
            <w:vAlign w:val="top"/>
          </w:tcPr>
          <w:p>
            <w:r>
              <w:t>Architecture remains fail-closed</w:t>
            </w:r>
          </w:p>
        </w:tc>
      </w:tr>
      <w:tr>
        <w:tc>
          <w:tcPr>
            <w:tcW w:type="dxa" w:w="3360"/>
            <w:vAlign w:val="top"/>
          </w:tcPr>
          <w:p>
            <w:r>
              <w:t>P1</w:t>
            </w:r>
          </w:p>
        </w:tc>
        <w:tc>
          <w:tcPr>
            <w:tcW w:type="dxa" w:w="3360"/>
            <w:vAlign w:val="top"/>
          </w:tcPr>
          <w:p>
            <w:r>
              <w:t>Persist raw + derived signal evidence</w:t>
            </w:r>
          </w:p>
        </w:tc>
        <w:tc>
          <w:tcPr>
            <w:tcW w:type="dxa" w:w="3360"/>
            <w:vAlign w:val="top"/>
          </w:tcPr>
          <w:p>
            <w:r>
              <w:t>Research-ready dataset</w:t>
            </w:r>
          </w:p>
        </w:tc>
      </w:tr>
      <w:tr>
        <w:tc>
          <w:tcPr>
            <w:tcW w:type="dxa" w:w="3360"/>
            <w:vAlign w:val="top"/>
          </w:tcPr>
          <w:p>
            <w:r>
              <w:t>P1</w:t>
            </w:r>
          </w:p>
        </w:tc>
        <w:tc>
          <w:tcPr>
            <w:tcW w:type="dxa" w:w="3360"/>
            <w:vAlign w:val="top"/>
          </w:tcPr>
          <w:p>
            <w:r>
              <w:t>Add gate provenance/versioning to ledger</w:t>
            </w:r>
          </w:p>
        </w:tc>
        <w:tc>
          <w:tcPr>
            <w:tcW w:type="dxa" w:w="3360"/>
            <w:vAlign w:val="top"/>
          </w:tcPr>
          <w:p>
            <w:r>
              <w:t>Full decision traceability</w:t>
            </w:r>
          </w:p>
        </w:tc>
      </w:tr>
      <w:tr>
        <w:tc>
          <w:tcPr>
            <w:tcW w:type="dxa" w:w="3360"/>
            <w:vAlign w:val="top"/>
          </w:tcPr>
          <w:p>
            <w:r>
              <w:t>P1</w:t>
            </w:r>
          </w:p>
        </w:tc>
        <w:tc>
          <w:tcPr>
            <w:tcW w:type="dxa" w:w="3360"/>
            <w:vAlign w:val="top"/>
          </w:tcPr>
          <w:p>
            <w:r>
              <w:t>Build baseline vs gate experiments</w:t>
            </w:r>
          </w:p>
        </w:tc>
        <w:tc>
          <w:tcPr>
            <w:tcW w:type="dxa" w:w="3360"/>
            <w:vAlign w:val="top"/>
          </w:tcPr>
          <w:p>
            <w:r>
              <w:t>Measure incremental value</w:t>
            </w:r>
          </w:p>
        </w:tc>
      </w:tr>
      <w:tr>
        <w:tc>
          <w:tcPr>
            <w:tcW w:type="dxa" w:w="3360"/>
            <w:vAlign w:val="top"/>
          </w:tcPr>
          <w:p>
            <w:r>
              <w:t>P1</w:t>
            </w:r>
          </w:p>
        </w:tc>
        <w:tc>
          <w:tcPr>
            <w:tcW w:type="dxa" w:w="3360"/>
            <w:vAlign w:val="top"/>
          </w:tcPr>
          <w:p>
            <w:r>
              <w:t>Run randomized/permutation controls</w:t>
            </w:r>
          </w:p>
        </w:tc>
        <w:tc>
          <w:tcPr>
            <w:tcW w:type="dxa" w:w="3360"/>
            <w:vAlign w:val="top"/>
          </w:tcPr>
          <w:p>
            <w:r>
              <w:t>Detect spurious signal value</w:t>
            </w:r>
          </w:p>
        </w:tc>
      </w:tr>
      <w:tr>
        <w:tc>
          <w:tcPr>
            <w:tcW w:type="dxa" w:w="3360"/>
            <w:vAlign w:val="top"/>
          </w:tcPr>
          <w:p>
            <w:r>
              <w:t>P1</w:t>
            </w:r>
          </w:p>
        </w:tc>
        <w:tc>
          <w:tcPr>
            <w:tcW w:type="dxa" w:w="3360"/>
            <w:vAlign w:val="top"/>
          </w:tcPr>
          <w:p>
            <w:r>
              <w:t>Run OOS/WFO/unseen-symbol validation</w:t>
            </w:r>
          </w:p>
        </w:tc>
        <w:tc>
          <w:tcPr>
            <w:tcW w:type="dxa" w:w="3360"/>
            <w:vAlign w:val="top"/>
          </w:tcPr>
          <w:p>
            <w:r>
              <w:t>Test generalization</w:t>
            </w:r>
          </w:p>
        </w:tc>
      </w:tr>
      <w:tr>
        <w:tc>
          <w:tcPr>
            <w:tcW w:type="dxa" w:w="3360"/>
            <w:vAlign w:val="top"/>
          </w:tcPr>
          <w:p>
            <w:r>
              <w:t>P1</w:t>
            </w:r>
          </w:p>
        </w:tc>
        <w:tc>
          <w:tcPr>
            <w:tcW w:type="dxa" w:w="3360"/>
            <w:vAlign w:val="top"/>
          </w:tcPr>
          <w:p>
            <w:r>
              <w:t>Add regime-conditioned gate analysis</w:t>
            </w:r>
          </w:p>
        </w:tc>
        <w:tc>
          <w:tcPr>
            <w:tcW w:type="dxa" w:w="3360"/>
            <w:vAlign w:val="top"/>
          </w:tcPr>
          <w:p>
            <w:r>
              <w:t>Identify where signals actually work</w:t>
            </w:r>
          </w:p>
        </w:tc>
      </w:tr>
      <w:tr>
        <w:tc>
          <w:tcPr>
            <w:tcW w:type="dxa" w:w="3360"/>
            <w:vAlign w:val="top"/>
          </w:tcPr>
          <w:p>
            <w:r>
              <w:t>P2</w:t>
            </w:r>
          </w:p>
        </w:tc>
        <w:tc>
          <w:tcPr>
            <w:tcW w:type="dxa" w:w="3360"/>
            <w:vAlign w:val="top"/>
          </w:tcPr>
          <w:p>
            <w:r>
              <w:t>Use validated signals as strategy features</w:t>
            </w:r>
          </w:p>
        </w:tc>
        <w:tc>
          <w:tcPr>
            <w:tcW w:type="dxa" w:w="3360"/>
            <w:vAlign w:val="top"/>
          </w:tcPr>
          <w:p>
            <w:r>
              <w:t>Only proven evidence reaches candidate strategies</w:t>
            </w:r>
          </w:p>
        </w:tc>
      </w:tr>
      <w:tr>
        <w:tc>
          <w:tcPr>
            <w:tcW w:type="dxa" w:w="3360"/>
            <w:vAlign w:val="top"/>
          </w:tcPr>
          <w:p>
            <w:r>
              <w:t>P2</w:t>
            </w:r>
          </w:p>
        </w:tc>
        <w:tc>
          <w:tcPr>
            <w:tcW w:type="dxa" w:w="3360"/>
            <w:vAlign w:val="top"/>
          </w:tcPr>
          <w:p>
            <w:r>
              <w:t>Automate signal-quality monitoring</w:t>
            </w:r>
          </w:p>
        </w:tc>
        <w:tc>
          <w:tcPr>
            <w:tcW w:type="dxa" w:w="3360"/>
            <w:vAlign w:val="top"/>
          </w:tcPr>
          <w:p>
            <w:r>
              <w:t>Detect data-source or signal degradation</w:t>
            </w:r>
          </w:p>
        </w:tc>
      </w:tr>
      <w:tr>
        <w:tc>
          <w:tcPr>
            <w:tcW w:type="dxa" w:w="3360"/>
            <w:vAlign w:val="top"/>
          </w:tcPr>
          <w:p>
            <w:r>
              <w:t>P3</w:t>
            </w:r>
          </w:p>
        </w:tc>
        <w:tc>
          <w:tcPr>
            <w:tcW w:type="dxa" w:w="3360"/>
            <w:vAlign w:val="top"/>
          </w:tcPr>
          <w:p>
            <w:r>
              <w:t>Multi-agent research around gate interactions</w:t>
            </w:r>
          </w:p>
        </w:tc>
        <w:tc>
          <w:tcPr>
            <w:tcW w:type="dxa" w:w="3360"/>
            <w:vAlign w:val="top"/>
          </w:tcPr>
          <w:p>
            <w:r>
              <w:t>AI proposes experiments; deterministic framework evaluates them</w:t>
            </w:r>
          </w:p>
        </w:tc>
      </w:tr>
    </w:tbl>
    <w:p>
      <w:pPr>
        <w:pStyle w:val="Heading1"/>
      </w:pPr>
      <w:r>
        <w:t>12. Final Recommendation</w:t>
      </w:r>
    </w:p>
    <w:p>
      <w:r>
        <w:t>Include both developments in AURA. The Market Signal Gates are especially valuable because they create a new source of independent market evidence that can be tested rather than assumed. The Earnings Gate is valuable because it addresses a concrete, known form of event risk and can operate as a deterministic hard block.</w:t>
      </w:r>
    </w:p>
    <w:p>
      <w:r>
        <w:t>The critical architectural rule is that the gates must not become a collection of hidden trading rules. AURA should first collect and validate their information content. Only after a signal demonstrates incremental value through controlled research should it be promoted into a strategy.</w:t>
      </w:r>
    </w:p>
    <w:p>
      <w:r>
        <w:t>The resulting AURA model is therefore:</w:t>
      </w:r>
    </w:p>
    <w:p>
      <w:pPr>
        <w:pStyle w:val="ListNumber"/>
      </w:pPr>
      <w:r>
        <w:t>AI discovers or proposes a hypothesis.</w:t>
      </w:r>
    </w:p>
    <w:p>
      <w:pPr>
        <w:pStyle w:val="ListNumber"/>
      </w:pPr>
      <w:r>
        <w:t>Signal Gates provide independently sourced evidence.</w:t>
      </w:r>
    </w:p>
    <w:p>
      <w:pPr>
        <w:pStyle w:val="ListNumber"/>
      </w:pPr>
      <w:r>
        <w:t>AURA tests whether that evidence actually adds information.</w:t>
      </w:r>
    </w:p>
    <w:p>
      <w:pPr>
        <w:pStyle w:val="ListNumber"/>
      </w:pPr>
      <w:r>
        <w:t>The strategy is frozen and validated before promotion.</w:t>
      </w:r>
    </w:p>
    <w:p>
      <w:pPr>
        <w:pStyle w:val="ListNumber"/>
      </w:pPr>
      <w:r>
        <w:t>Hard runtime gates protect execution.</w:t>
      </w:r>
    </w:p>
    <w:p>
      <w:pPr>
        <w:pStyle w:val="ListNumber"/>
      </w:pPr>
      <w:r>
        <w:t>Position State and reconciliation protect state integrity.</w:t>
      </w:r>
    </w:p>
    <w:p>
      <w:pPr>
        <w:pStyle w:val="ListNumber"/>
      </w:pPr>
      <w:r>
        <w:t>The execution boundary remains deterministic.</w:t>
      </w:r>
    </w:p>
    <w:p>
      <w:pPr>
        <w:pStyle w:val="ListNumber"/>
      </w:pPr>
      <w:r>
        <w:t>The ledger preserves the complete evidence and decision chain.</w:t>
      </w:r>
    </w:p>
    <w:p>
      <w:r>
        <w:rPr>
          <w:b/>
        </w:rPr>
        <w:t xml:space="preserve">Bottom line: </w:t>
      </w:r>
      <w:r>
        <w:t>smart-money signals should become evidence until proven useful; earnings risk should become a hard safety control; neither should ever create a path around AURA's deterministic execution boundary.</w:t>
      </w:r>
    </w:p>
    <w:p>
      <w:pPr>
        <w:pStyle w:val="Heading1"/>
      </w:pPr>
      <w:r>
        <w:t>Appendix — Recommended Conceptual Flow</w:t>
      </w:r>
    </w:p>
    <w:p>
      <w:r>
        <w:t>AI / Research → Hypothesis → Validation → Frozen Strategy → Canonical Market State → Market Evidence Gates + Event Gates → Signal Decision → Risk Gate → Position State / Reconciliation → Execution Preflight → Alpaca PAPER → Ledger → Monitoring → Research Feedback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