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AURA MASTER ROADMAP</w:t>
        <w:br/>
        <w:t>Latest Findings &amp; Recommended Build Plan</w:t>
      </w:r>
    </w:p>
    <w:p>
      <w:pPr>
        <w:jc w:val="center"/>
      </w:pPr>
      <w:r>
        <w:rPr>
          <w:i/>
        </w:rPr>
        <w:t>Consolidated roadmap incorporating AURA research, execution work, competition intelligence, Market Signal Gates and Earnings Gate</w:t>
      </w:r>
    </w:p>
    <w:p>
      <w:pPr>
        <w:jc w:val="center"/>
      </w:pPr>
      <w:r>
        <w:rPr>
          <w:sz w:val="20"/>
        </w:rPr>
        <w:t>Prepared 1 September 2026</w:t>
      </w:r>
    </w:p>
    <w:p>
      <w:pPr>
        <w:pStyle w:val="Heading1"/>
      </w:pPr>
      <w:r>
        <w:t>1. Executive Direction</w:t>
      </w:r>
    </w:p>
    <w:p>
      <w:r>
        <w:t>AURA should evolve as an AI-assisted quantitative research and execution platform, not simply as an autonomous trading bot. The latest competition review strengthens this direction: the research plane can be ambitious and AI-heavy, while the execution plane must remain deterministic, fail-closed, auditable and independently reconciled.</w:t>
      </w:r>
    </w:p>
    <w:p>
      <w:r>
        <w:t>The newest Market Signal Gates and Earnings Gate fit naturally into this architecture. The stock and crypto signal gates should initially be evidence/context providers. The Earnings Gate should become a deterministic hard event-risk gate for equities. Neither creates an alternative route to execution.</w:t>
      </w:r>
    </w:p>
    <w:p>
      <w:r>
        <w:rPr>
          <w:b/>
        </w:rPr>
        <w:t xml:space="preserve">North-star principle: </w:t>
      </w:r>
      <w:r>
        <w:t>AI can discover opportunity. AI can never manufacture authorization.</w:t>
      </w:r>
    </w:p>
    <w:p>
      <w:pPr>
        <w:pStyle w:val="Heading1"/>
      </w:pPr>
      <w:r>
        <w:t>2. Latest Strategic Findings</w:t>
      </w:r>
    </w:p>
    <w:p>
      <w:pPr>
        <w:pStyle w:val="ListBullet"/>
      </w:pPr>
      <w:r>
        <w:t>Introduce a Research Promotion Gate separate from the runtime Risk Gate.</w:t>
      </w:r>
    </w:p>
    <w:p>
      <w:pPr>
        <w:pStyle w:val="ListBullet"/>
      </w:pPr>
      <w:r>
        <w:t>Formalize an AI Capability Contract: AI can research/propose/abstain but cannot increase risk, override gates, or call brokers.</w:t>
      </w:r>
    </w:p>
    <w:p>
      <w:pPr>
        <w:pStyle w:val="ListBullet"/>
      </w:pPr>
      <w:r>
        <w:t>Treat AI-generated market/risk values as claims; authoritative values must be observed or deterministically derived.</w:t>
      </w:r>
    </w:p>
    <w:p>
      <w:pPr>
        <w:pStyle w:val="ListBullet"/>
      </w:pPr>
      <w:r>
        <w:t>Create a unified gate framework: Hard Safety/Authorization, Evidence/Context, and Research Validation.</w:t>
      </w:r>
    </w:p>
    <w:p>
      <w:pPr>
        <w:pStyle w:val="ListBullet"/>
      </w:pPr>
      <w:r>
        <w:t>Make Position State a durable state machine and make venue reconciliation authoritative.</w:t>
      </w:r>
    </w:p>
    <w:p>
      <w:pPr>
        <w:pStyle w:val="ListBullet"/>
      </w:pPr>
      <w:r>
        <w:t>Handle uncertain order submission explicitly; never blindly retry after a timeout.</w:t>
      </w:r>
    </w:p>
    <w:p>
      <w:pPr>
        <w:pStyle w:val="ListBullet"/>
      </w:pPr>
      <w:r>
        <w:t>Add deterministic execution preflight immediately before broker access.</w:t>
      </w:r>
    </w:p>
    <w:p>
      <w:pPr>
        <w:pStyle w:val="ListBullet"/>
      </w:pPr>
      <w:r>
        <w:t>Build adversarial and mutation testing into the safety architecture.</w:t>
      </w:r>
    </w:p>
    <w:p>
      <w:pPr>
        <w:pStyle w:val="ListBullet"/>
      </w:pPr>
      <w:r>
        <w:t>Make rejected decisions first-class ledger events so AURA can explain why it did not trade.</w:t>
      </w:r>
    </w:p>
    <w:p>
      <w:pPr>
        <w:pStyle w:val="ListBullet"/>
      </w:pPr>
      <w:r>
        <w:t>Strengthen the ledger into an append-only, tamper-evident, replayable evidence chain.</w:t>
      </w:r>
    </w:p>
    <w:p>
      <w:pPr>
        <w:pStyle w:val="ListBullet"/>
      </w:pPr>
      <w:r>
        <w:t>Add portfolio-level risk rather than relying only on per-trade risk.</w:t>
      </w:r>
    </w:p>
    <w:p>
      <w:pPr>
        <w:pStyle w:val="ListBullet"/>
      </w:pPr>
      <w:r>
        <w:t>Use Market Signal Gates as research variables and test incremental value rather than assuming alpha.</w:t>
      </w:r>
    </w:p>
    <w:p>
      <w:pPr>
        <w:pStyle w:val="ListBullet"/>
      </w:pPr>
      <w:r>
        <w:t>Use the Earnings Gate as a hard block for new equity entries around scheduled earnings, with a separate policy for existing positions.</w:t>
      </w:r>
    </w:p>
    <w:p>
      <w:pPr>
        <w:pStyle w:val="ListBullet"/>
      </w:pPr>
      <w:r>
        <w:t>Preserve the current research discipline: OOS, WFO, permutation/control tests, cost/slippage robustness, parameter plateaus, unseen-symbol testing and prospective evidence.</w:t>
      </w:r>
    </w:p>
    <w:p>
      <w:pPr>
        <w:pStyle w:val="ListBullet"/>
      </w:pPr>
      <w:r>
        <w:t>Keep venue adapters interchangeable: Alpaca PAPER now; MEXC later; the safety architecture must not change.</w:t>
      </w:r>
    </w:p>
    <w:p>
      <w:pPr>
        <w:pStyle w:val="Heading1"/>
      </w:pPr>
      <w:r>
        <w:t>3. Current AURA Baseline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Area</w:t>
            </w:r>
          </w:p>
        </w:tc>
        <w:tc>
          <w:tcPr>
            <w:tcW w:type="dxa" w:w="3408"/>
          </w:tcPr>
          <w:p>
            <w:r>
              <w:t>Current position</w:t>
            </w:r>
          </w:p>
        </w:tc>
        <w:tc>
          <w:tcPr>
            <w:tcW w:type="dxa" w:w="3408"/>
          </w:tcPr>
          <w:p>
            <w:r>
              <w:t>Roadmap implication</w:t>
            </w:r>
          </w:p>
        </w:tc>
      </w:tr>
      <w:tr>
        <w:tc>
          <w:tcPr>
            <w:tcW w:type="dxa" w:w="3408"/>
            <w:vAlign w:val="top"/>
          </w:tcPr>
          <w:p>
            <w:r>
              <w:t>Research platform</w:t>
            </w:r>
          </w:p>
        </w:tc>
        <w:tc>
          <w:tcPr>
            <w:tcW w:type="dxa" w:w="3408"/>
            <w:vAlign w:val="top"/>
          </w:tcPr>
          <w:p>
            <w:r>
              <w:t>Established research/validation foundation</w:t>
            </w:r>
          </w:p>
        </w:tc>
        <w:tc>
          <w:tcPr>
            <w:tcW w:type="dxa" w:w="3408"/>
            <w:vAlign w:val="top"/>
          </w:tcPr>
          <w:p>
            <w:r>
              <w:t>Continue as the source of strategy eligibility.</w:t>
            </w:r>
          </w:p>
        </w:tc>
      </w:tr>
      <w:tr>
        <w:tc>
          <w:tcPr>
            <w:tcW w:type="dxa" w:w="3408"/>
            <w:vAlign w:val="top"/>
          </w:tcPr>
          <w:p>
            <w:r>
              <w:t>v0.5.3 execution chain</w:t>
            </w:r>
          </w:p>
        </w:tc>
        <w:tc>
          <w:tcPr>
            <w:tcW w:type="dxa" w:w="3408"/>
            <w:vAlign w:val="top"/>
          </w:tcPr>
          <w:p>
            <w:r>
              <w:t>Market State through Supervisor/Dashboard foundation established</w:t>
            </w:r>
          </w:p>
        </w:tc>
        <w:tc>
          <w:tcPr>
            <w:tcW w:type="dxa" w:w="3408"/>
            <w:vAlign w:val="top"/>
          </w:tcPr>
          <w:p>
            <w:r>
              <w:t>Finish integration and prove the complete chain.</w:t>
            </w:r>
          </w:p>
        </w:tc>
      </w:tr>
      <w:tr>
        <w:tc>
          <w:tcPr>
            <w:tcW w:type="dxa" w:w="3408"/>
            <w:vAlign w:val="top"/>
          </w:tcPr>
          <w:p>
            <w:r>
              <w:t>Alpaca PAPER</w:t>
            </w:r>
          </w:p>
        </w:tc>
        <w:tc>
          <w:tcPr>
            <w:tcW w:type="dxa" w:w="3408"/>
            <w:vAlign w:val="top"/>
          </w:tcPr>
          <w:p>
            <w:r>
              <w:t>Dedicated .22 adapter exists and is safety constrained</w:t>
            </w:r>
          </w:p>
        </w:tc>
        <w:tc>
          <w:tcPr>
            <w:tcW w:type="dxa" w:w="3408"/>
            <w:vAlign w:val="top"/>
          </w:tcPr>
          <w:p>
            <w:r>
              <w:t>Finish upstream execution-specification handoff and end-to-end paper integration before enabling orders.</w:t>
            </w:r>
          </w:p>
        </w:tc>
      </w:tr>
      <w:tr>
        <w:tc>
          <w:tcPr>
            <w:tcW w:type="dxa" w:w="3408"/>
            <w:vAlign w:val="top"/>
          </w:tcPr>
          <w:p>
            <w:r>
              <w:t>MEXC</w:t>
            </w:r>
          </w:p>
        </w:tc>
        <w:tc>
          <w:tcPr>
            <w:tcW w:type="dxa" w:w="3408"/>
            <w:vAlign w:val="top"/>
          </w:tcPr>
          <w:p>
            <w:r>
              <w:t>Existing integration/workflow remains separate</w:t>
            </w:r>
          </w:p>
        </w:tc>
        <w:tc>
          <w:tcPr>
            <w:tcW w:type="dxa" w:w="3408"/>
            <w:vAlign w:val="top"/>
          </w:tcPr>
          <w:p>
            <w:r>
              <w:t>Do not modify or mix with the Alpaca competition path.</w:t>
            </w:r>
          </w:p>
        </w:tc>
      </w:tr>
      <w:tr>
        <w:tc>
          <w:tcPr>
            <w:tcW w:type="dxa" w:w="3408"/>
            <w:vAlign w:val="top"/>
          </w:tcPr>
          <w:p>
            <w:r>
              <w:t>Market Signal Gates</w:t>
            </w:r>
          </w:p>
        </w:tc>
        <w:tc>
          <w:tcPr>
            <w:tcW w:type="dxa" w:w="3408"/>
            <w:vAlign w:val="top"/>
          </w:tcPr>
          <w:p>
            <w:r>
              <w:t>Stock + crypto scanners built; currently mock/log-alert oriented</w:t>
            </w:r>
          </w:p>
        </w:tc>
        <w:tc>
          <w:tcPr>
            <w:tcW w:type="dxa" w:w="3408"/>
            <w:vAlign w:val="top"/>
          </w:tcPr>
          <w:p>
            <w:r>
              <w:t>Verify live feeds, version outputs, collect evidence, then research incremental value.</w:t>
            </w:r>
          </w:p>
        </w:tc>
      </w:tr>
      <w:tr>
        <w:tc>
          <w:tcPr>
            <w:tcW w:type="dxa" w:w="3408"/>
            <w:vAlign w:val="top"/>
          </w:tcPr>
          <w:p>
            <w:r>
              <w:t>Earnings Gate</w:t>
            </w:r>
          </w:p>
        </w:tc>
        <w:tc>
          <w:tcPr>
            <w:tcW w:type="dxa" w:w="3408"/>
            <w:vAlign w:val="top"/>
          </w:tcPr>
          <w:p>
            <w:r>
              <w:t>Scanner/blackout logic in progress</w:t>
            </w:r>
          </w:p>
        </w:tc>
        <w:tc>
          <w:tcPr>
            <w:tcW w:type="dxa" w:w="3408"/>
            <w:vAlign w:val="top"/>
          </w:tcPr>
          <w:p>
            <w:r>
              <w:t>Finish integration, live-data verification and deterministic hard-block behavior.</w:t>
            </w:r>
          </w:p>
        </w:tc>
      </w:tr>
      <w:tr>
        <w:tc>
          <w:tcPr>
            <w:tcW w:type="dxa" w:w="3408"/>
            <w:vAlign w:val="top"/>
          </w:tcPr>
          <w:p>
            <w:r>
              <w:t>Research governance</w:t>
            </w:r>
          </w:p>
        </w:tc>
        <w:tc>
          <w:tcPr>
            <w:tcW w:type="dxa" w:w="3408"/>
            <w:vAlign w:val="top"/>
          </w:tcPr>
          <w:p>
            <w:r>
              <w:t>Strong principles established</w:t>
            </w:r>
          </w:p>
        </w:tc>
        <w:tc>
          <w:tcPr>
            <w:tcW w:type="dxa" w:w="3408"/>
            <w:vAlign w:val="top"/>
          </w:tcPr>
          <w:p>
            <w:r>
              <w:t>Promote to machine-readable Strategy/Hypothesis Registry + Research Promotion Gate.</w:t>
            </w:r>
          </w:p>
        </w:tc>
      </w:tr>
      <w:tr>
        <w:tc>
          <w:tcPr>
            <w:tcW w:type="dxa" w:w="3408"/>
            <w:vAlign w:val="top"/>
          </w:tcPr>
          <w:p>
            <w:r>
              <w:t>Safety</w:t>
            </w:r>
          </w:p>
        </w:tc>
        <w:tc>
          <w:tcPr>
            <w:tcW w:type="dxa" w:w="3408"/>
            <w:vAlign w:val="top"/>
          </w:tcPr>
          <w:p>
            <w:r>
              <w:t>Fail-closed philosophy established</w:t>
            </w:r>
          </w:p>
        </w:tc>
        <w:tc>
          <w:tcPr>
            <w:tcW w:type="dxa" w:w="3408"/>
            <w:vAlign w:val="top"/>
          </w:tcPr>
          <w:p>
            <w:r>
              <w:t>Extend with mutation tests, uncertain-submit recovery and independent observation.</w:t>
            </w:r>
          </w:p>
        </w:tc>
      </w:tr>
    </w:tbl>
    <w:p>
      <w:pPr>
        <w:pStyle w:val="Heading1"/>
      </w:pPr>
      <w:r>
        <w:t>4. Target AURA Architecture</w:t>
      </w:r>
    </w:p>
    <w:p>
      <w:pPr>
        <w:pStyle w:val="ListNumber"/>
      </w:pPr>
      <w:r>
        <w:t>AI / Research Plane — hypothesis generation, experiment design, market analysis, regime research, candidate generation and adversarial critique.</w:t>
      </w:r>
    </w:p>
    <w:p>
      <w:pPr>
        <w:pStyle w:val="ListNumber"/>
      </w:pPr>
      <w:r>
        <w:t>Research Evidence Gate — validates provenance, freshness and factual claims; distinguishes claimed, observed and derived values.</w:t>
      </w:r>
    </w:p>
    <w:p>
      <w:pPr>
        <w:pStyle w:val="ListNumber"/>
      </w:pPr>
      <w:r>
        <w:t>Validation Engine — backtest, OOS, WFO, permutation/matched controls, Monte Carlo/stress, cost/slippage, parameter robustness and unseen-symbol tests.</w:t>
      </w:r>
    </w:p>
    <w:p>
      <w:pPr>
        <w:pStyle w:val="ListNumber"/>
      </w:pPr>
      <w:r>
        <w:t>Strategy / Hypothesis Registry — immutable identity, lineage, versioning, experiment history and promotion status.</w:t>
      </w:r>
    </w:p>
    <w:p>
      <w:pPr>
        <w:pStyle w:val="ListNumber"/>
      </w:pPr>
      <w:r>
        <w:t>Research Promotion Gate — decides whether a strategy has earned eligibility for prospective/paper/production use.</w:t>
      </w:r>
    </w:p>
    <w:p>
      <w:pPr>
        <w:pStyle w:val="ListNumber"/>
      </w:pPr>
      <w:r>
        <w:t>Canonical Market State — authoritative, versioned and hashed runtime state.</w:t>
      </w:r>
    </w:p>
    <w:p>
      <w:pPr>
        <w:pStyle w:val="ListNumber"/>
      </w:pPr>
      <w:r>
        <w:t>Evidence Gates — Market Signal Gates, news/context, regime and other independently sourced observations.</w:t>
      </w:r>
    </w:p>
    <w:p>
      <w:pPr>
        <w:pStyle w:val="ListNumber"/>
      </w:pPr>
      <w:r>
        <w:t>Hard Event/Safety Gates — Earnings, Risk, kill switch, invalid state and reconciliation controls.</w:t>
      </w:r>
    </w:p>
    <w:p>
      <w:pPr>
        <w:pStyle w:val="ListNumber"/>
      </w:pPr>
      <w:r>
        <w:t>Signal Decision — deterministic signal evaluation against a frozen strategy and canonical state.</w:t>
      </w:r>
    </w:p>
    <w:p>
      <w:pPr>
        <w:pStyle w:val="ListNumber"/>
      </w:pPr>
      <w:r>
        <w:t>Risk Gate — deterministic trade/account/portfolio authorization.</w:t>
      </w:r>
    </w:p>
    <w:p>
      <w:pPr>
        <w:pStyle w:val="ListNumber"/>
      </w:pPr>
      <w:r>
        <w:t>Position State + Reconciliation — durable state machine and authoritative broker/exchange state.</w:t>
      </w:r>
    </w:p>
    <w:p>
      <w:pPr>
        <w:pStyle w:val="ListNumber"/>
      </w:pPr>
      <w:r>
        <w:t>Execution Preflight — final deterministic checks immediately before venue access.</w:t>
      </w:r>
    </w:p>
    <w:p>
      <w:pPr>
        <w:pStyle w:val="ListNumber"/>
      </w:pPr>
      <w:r>
        <w:t>Privileged Execution Adapter — Alpaca PAPER initially; MEXC later; research code cannot directly invoke it.</w:t>
      </w:r>
    </w:p>
    <w:p>
      <w:pPr>
        <w:pStyle w:val="ListNumber"/>
      </w:pPr>
      <w:r>
        <w:t>Post-execution Reconciliation — verify orders, fills, positions, balances and state.</w:t>
      </w:r>
    </w:p>
    <w:p>
      <w:pPr>
        <w:pStyle w:val="ListNumber"/>
      </w:pPr>
      <w:r>
        <w:t>Decision / Execution Ledger — complete, replayable, tamper-evident history.</w:t>
      </w:r>
    </w:p>
    <w:p>
      <w:pPr>
        <w:pStyle w:val="ListNumber"/>
      </w:pPr>
      <w:r>
        <w:t>Safety Control Plane — kill switch, supervisor, health and permission state; it can block progression but never grant execution authority.</w:t>
      </w:r>
    </w:p>
    <w:p>
      <w:pPr>
        <w:pStyle w:val="Heading1"/>
      </w:pPr>
      <w:r>
        <w:t>5. Unified Gate Framework</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Gate type</w:t>
            </w:r>
          </w:p>
        </w:tc>
        <w:tc>
          <w:tcPr>
            <w:tcW w:type="dxa" w:w="3408"/>
          </w:tcPr>
          <w:p>
            <w:r>
              <w:t>Examples</w:t>
            </w:r>
          </w:p>
        </w:tc>
        <w:tc>
          <w:tcPr>
            <w:tcW w:type="dxa" w:w="3408"/>
          </w:tcPr>
          <w:p>
            <w:r>
              <w:t>Authority</w:t>
            </w:r>
          </w:p>
        </w:tc>
      </w:tr>
      <w:tr>
        <w:tc>
          <w:tcPr>
            <w:tcW w:type="dxa" w:w="3408"/>
            <w:vAlign w:val="top"/>
          </w:tcPr>
          <w:p>
            <w:r>
              <w:t>Hard Safety / Authorization</w:t>
            </w:r>
          </w:p>
        </w:tc>
        <w:tc>
          <w:tcPr>
            <w:tcW w:type="dxa" w:w="3408"/>
            <w:vAlign w:val="top"/>
          </w:tcPr>
          <w:p>
            <w:r>
              <w:t>Risk, Earnings, kill switch, invalid state, reconciliation failure, execution preflight</w:t>
            </w:r>
          </w:p>
        </w:tc>
        <w:tc>
          <w:tcPr>
            <w:tcW w:type="dxa" w:w="3408"/>
            <w:vAlign w:val="top"/>
          </w:tcPr>
          <w:p>
            <w:r>
              <w:t>Can block progression; cannot create an order</w:t>
            </w:r>
          </w:p>
        </w:tc>
      </w:tr>
      <w:tr>
        <w:tc>
          <w:tcPr>
            <w:tcW w:type="dxa" w:w="3408"/>
            <w:vAlign w:val="top"/>
          </w:tcPr>
          <w:p>
            <w:r>
              <w:t>Evidence / Context</w:t>
            </w:r>
          </w:p>
        </w:tc>
        <w:tc>
          <w:tcPr>
            <w:tcW w:type="dxa" w:w="3408"/>
            <w:vAlign w:val="top"/>
          </w:tcPr>
          <w:p>
            <w:r>
              <w:t>Stock options flow, crypto funding/OI/order-flow, news, regime, relative strength</w:t>
            </w:r>
          </w:p>
        </w:tc>
        <w:tc>
          <w:tcPr>
            <w:tcW w:type="dxa" w:w="3408"/>
            <w:vAlign w:val="top"/>
          </w:tcPr>
          <w:p>
            <w:r>
              <w:t>Inform only until validated</w:t>
            </w:r>
          </w:p>
        </w:tc>
      </w:tr>
      <w:tr>
        <w:tc>
          <w:tcPr>
            <w:tcW w:type="dxa" w:w="3408"/>
            <w:vAlign w:val="top"/>
          </w:tcPr>
          <w:p>
            <w:r>
              <w:t>Research Validation</w:t>
            </w:r>
          </w:p>
        </w:tc>
        <w:tc>
          <w:tcPr>
            <w:tcW w:type="dxa" w:w="3408"/>
            <w:vAlign w:val="top"/>
          </w:tcPr>
          <w:p>
            <w:r>
              <w:t>OOS, WFO, permutation, costs, robustness, unseen symbols, prospective evidence</w:t>
            </w:r>
          </w:p>
        </w:tc>
        <w:tc>
          <w:tcPr>
            <w:tcW w:type="dxa" w:w="3408"/>
            <w:vAlign w:val="top"/>
          </w:tcPr>
          <w:p>
            <w:r>
              <w:t>Controls strategy promotion</w:t>
            </w:r>
          </w:p>
        </w:tc>
      </w:tr>
    </w:tbl>
    <w:p>
      <w:r>
        <w:t>This avoids creating a collection of hidden filters. Evidence becomes executable only after AURA proves that it adds information. Hard gates remain deterministic regardless of AI output.</w:t>
      </w:r>
    </w:p>
    <w:p>
      <w:pPr>
        <w:pStyle w:val="Heading1"/>
      </w:pPr>
      <w:r>
        <w:t>6. Master Version Roadmap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Phase / Version</w:t>
            </w:r>
          </w:p>
        </w:tc>
        <w:tc>
          <w:tcPr>
            <w:tcW w:type="dxa" w:w="2556"/>
          </w:tcPr>
          <w:p>
            <w:r>
              <w:t>Objective</w:t>
            </w:r>
          </w:p>
        </w:tc>
        <w:tc>
          <w:tcPr>
            <w:tcW w:type="dxa" w:w="2556"/>
          </w:tcPr>
          <w:p>
            <w:r>
              <w:t>Key deliverables</w:t>
            </w:r>
          </w:p>
        </w:tc>
        <w:tc>
          <w:tcPr>
            <w:tcW w:type="dxa" w:w="2556"/>
          </w:tcPr>
          <w:p>
            <w:r>
              <w:t>Exit condition</w:t>
            </w:r>
          </w:p>
        </w:tc>
      </w:tr>
      <w:tr>
        <w:tc>
          <w:tcPr>
            <w:tcW w:type="dxa" w:w="2556"/>
            <w:vAlign w:val="top"/>
          </w:tcPr>
          <w:p>
            <w:r>
              <w:t>Research foundation</w:t>
            </w:r>
          </w:p>
        </w:tc>
        <w:tc>
          <w:tcPr>
            <w:tcW w:type="dxa" w:w="2556"/>
            <w:vAlign w:val="top"/>
          </w:tcPr>
          <w:p>
            <w:r>
              <w:t>Establish quantitative evidence</w:t>
            </w:r>
          </w:p>
        </w:tc>
        <w:tc>
          <w:tcPr>
            <w:tcW w:type="dxa" w:w="2556"/>
            <w:vAlign w:val="top"/>
          </w:tcPr>
          <w:p>
            <w:r>
              <w:t>WF, sensitivity, multiple-testing controls, holdout, prospective observation/monitoring</w:t>
            </w:r>
          </w:p>
        </w:tc>
        <w:tc>
          <w:tcPr>
            <w:tcW w:type="dxa" w:w="2556"/>
            <w:vAlign w:val="top"/>
          </w:tcPr>
          <w:p>
            <w:r>
              <w:t>Research results are reproducible and provenance is retained</w:t>
            </w:r>
          </w:p>
        </w:tc>
      </w:tr>
      <w:tr>
        <w:tc>
          <w:tcPr>
            <w:tcW w:type="dxa" w:w="2556"/>
            <w:vAlign w:val="top"/>
          </w:tcPr>
          <w:p>
            <w:r>
              <w:t>v0.5.3.12</w:t>
            </w:r>
          </w:p>
        </w:tc>
        <w:tc>
          <w:tcPr>
            <w:tcW w:type="dxa" w:w="2556"/>
            <w:vAlign w:val="top"/>
          </w:tcPr>
          <w:p>
            <w:r>
              <w:t>Market State</w:t>
            </w:r>
          </w:p>
        </w:tc>
        <w:tc>
          <w:tcPr>
            <w:tcW w:type="dxa" w:w="2556"/>
            <w:vAlign w:val="top"/>
          </w:tcPr>
          <w:p>
            <w:r>
              <w:t>Canonical market state, closed-bar discipline, UTC normalization, freshness/data-quality checks, state hash</w:t>
            </w:r>
          </w:p>
        </w:tc>
        <w:tc>
          <w:tcPr>
            <w:tcW w:type="dxa" w:w="2556"/>
            <w:vAlign w:val="top"/>
          </w:tcPr>
          <w:p>
            <w:r>
              <w:t>Valid state produced deterministically or safely blocked</w:t>
            </w:r>
          </w:p>
        </w:tc>
      </w:tr>
      <w:tr>
        <w:tc>
          <w:tcPr>
            <w:tcW w:type="dxa" w:w="2556"/>
            <w:vAlign w:val="top"/>
          </w:tcPr>
          <w:p>
            <w:r>
              <w:t>v0.5.3.13</w:t>
            </w:r>
          </w:p>
        </w:tc>
        <w:tc>
          <w:tcPr>
            <w:tcW w:type="dxa" w:w="2556"/>
            <w:vAlign w:val="top"/>
          </w:tcPr>
          <w:p>
            <w:r>
              <w:t>Signal Decision</w:t>
            </w:r>
          </w:p>
        </w:tc>
        <w:tc>
          <w:tcPr>
            <w:tcW w:type="dxa" w:w="2556"/>
            <w:vAlign w:val="top"/>
          </w:tcPr>
          <w:p>
            <w:r>
              <w:t>Thin deterministic signal layer; candidate/no-signal/blocked; no execution authority</w:t>
            </w:r>
          </w:p>
        </w:tc>
        <w:tc>
          <w:tcPr>
            <w:tcW w:type="dxa" w:w="2556"/>
            <w:vAlign w:val="top"/>
          </w:tcPr>
          <w:p>
            <w:r>
              <w:t>Correct signal contract and safe blocked behavior</w:t>
            </w:r>
          </w:p>
        </w:tc>
      </w:tr>
      <w:tr>
        <w:tc>
          <w:tcPr>
            <w:tcW w:type="dxa" w:w="2556"/>
            <w:vAlign w:val="top"/>
          </w:tcPr>
          <w:p>
            <w:r>
              <w:t>v0.5.3.14</w:t>
            </w:r>
          </w:p>
        </w:tc>
        <w:tc>
          <w:tcPr>
            <w:tcW w:type="dxa" w:w="2556"/>
            <w:vAlign w:val="top"/>
          </w:tcPr>
          <w:p>
            <w:r>
              <w:t>Risk Gate</w:t>
            </w:r>
          </w:p>
        </w:tc>
        <w:tc>
          <w:tcPr>
            <w:tcW w:type="dxa" w:w="2556"/>
            <w:vAlign w:val="top"/>
          </w:tcPr>
          <w:p>
            <w:r>
              <w:t>Fail-closed trade/account risk authorization</w:t>
            </w:r>
          </w:p>
        </w:tc>
        <w:tc>
          <w:tcPr>
            <w:tcW w:type="dxa" w:w="2556"/>
            <w:vAlign w:val="top"/>
          </w:tcPr>
          <w:p>
            <w:r>
              <w:t>All invalid/unknown risk states block</w:t>
            </w:r>
          </w:p>
        </w:tc>
      </w:tr>
      <w:tr>
        <w:tc>
          <w:tcPr>
            <w:tcW w:type="dxa" w:w="2556"/>
            <w:vAlign w:val="top"/>
          </w:tcPr>
          <w:p>
            <w:r>
              <w:t>v0.5.3.15</w:t>
            </w:r>
          </w:p>
        </w:tc>
        <w:tc>
          <w:tcPr>
            <w:tcW w:type="dxa" w:w="2556"/>
            <w:vAlign w:val="top"/>
          </w:tcPr>
          <w:p>
            <w:r>
              <w:t>Position State</w:t>
            </w:r>
          </w:p>
        </w:tc>
        <w:tc>
          <w:tcPr>
            <w:tcW w:type="dxa" w:w="2556"/>
            <w:vAlign w:val="top"/>
          </w:tcPr>
          <w:p>
            <w:r>
              <w:t>Durable state machine, restart handling, duplicate prevention</w:t>
            </w:r>
          </w:p>
        </w:tc>
        <w:tc>
          <w:tcPr>
            <w:tcW w:type="dxa" w:w="2556"/>
            <w:vAlign w:val="top"/>
          </w:tcPr>
          <w:p>
            <w:r>
              <w:t>Local state and authoritative venue state reconcile</w:t>
            </w:r>
          </w:p>
        </w:tc>
      </w:tr>
      <w:tr>
        <w:tc>
          <w:tcPr>
            <w:tcW w:type="dxa" w:w="2556"/>
            <w:vAlign w:val="top"/>
          </w:tcPr>
          <w:p>
            <w:r>
              <w:t>v0.5.3.16</w:t>
            </w:r>
          </w:p>
        </w:tc>
        <w:tc>
          <w:tcPr>
            <w:tcW w:type="dxa" w:w="2556"/>
            <w:vAlign w:val="top"/>
          </w:tcPr>
          <w:p>
            <w:r>
              <w:t>Paper Execution</w:t>
            </w:r>
          </w:p>
        </w:tc>
        <w:tc>
          <w:tcPr>
            <w:tcW w:type="dxa" w:w="2556"/>
            <w:vAlign w:val="top"/>
          </w:tcPr>
          <w:p>
            <w:r>
              <w:t>Execution simulation/adapter with realistic price, spread, slippage, fees, latency and lifecycle</w:t>
            </w:r>
          </w:p>
        </w:tc>
        <w:tc>
          <w:tcPr>
            <w:tcW w:type="dxa" w:w="2556"/>
            <w:vAlign w:val="top"/>
          </w:tcPr>
          <w:p>
            <w:r>
              <w:t>Execution behavior measurable without capital risk</w:t>
            </w:r>
          </w:p>
        </w:tc>
      </w:tr>
      <w:tr>
        <w:tc>
          <w:tcPr>
            <w:tcW w:type="dxa" w:w="2556"/>
            <w:vAlign w:val="top"/>
          </w:tcPr>
          <w:p>
            <w:r>
              <w:t>v0.5.3.17</w:t>
            </w:r>
          </w:p>
        </w:tc>
        <w:tc>
          <w:tcPr>
            <w:tcW w:type="dxa" w:w="2556"/>
            <w:vAlign w:val="top"/>
          </w:tcPr>
          <w:p>
            <w:r>
              <w:t>Decision / Execution Ledger</w:t>
            </w:r>
          </w:p>
        </w:tc>
        <w:tc>
          <w:tcPr>
            <w:tcW w:type="dxa" w:w="2556"/>
            <w:vAlign w:val="top"/>
          </w:tcPr>
          <w:p>
            <w:r>
              <w:t>Structured events, provenance, hashes, accepted/rejected decisions</w:t>
            </w:r>
          </w:p>
        </w:tc>
        <w:tc>
          <w:tcPr>
            <w:tcW w:type="dxa" w:w="2556"/>
            <w:vAlign w:val="top"/>
          </w:tcPr>
          <w:p>
            <w:r>
              <w:t>Full decision path replayable</w:t>
            </w:r>
          </w:p>
        </w:tc>
      </w:tr>
      <w:tr>
        <w:tc>
          <w:tcPr>
            <w:tcW w:type="dxa" w:w="2556"/>
            <w:vAlign w:val="top"/>
          </w:tcPr>
          <w:p>
            <w:r>
              <w:t>v0.5.3.18</w:t>
            </w:r>
          </w:p>
        </w:tc>
        <w:tc>
          <w:tcPr>
            <w:tcW w:type="dxa" w:w="2556"/>
            <w:vAlign w:val="top"/>
          </w:tcPr>
          <w:p>
            <w:r>
              <w:t>Kill Switch / Recovery</w:t>
            </w:r>
          </w:p>
        </w:tc>
        <w:tc>
          <w:tcPr>
            <w:tcW w:type="dxa" w:w="2556"/>
            <w:vAlign w:val="top"/>
          </w:tcPr>
          <w:p>
            <w:r>
              <w:t>Automatic halt conditions, recovery states, fail-closed behavior</w:t>
            </w:r>
          </w:p>
        </w:tc>
        <w:tc>
          <w:tcPr>
            <w:tcW w:type="dxa" w:w="2556"/>
            <w:vAlign w:val="top"/>
          </w:tcPr>
          <w:p>
            <w:r>
              <w:t>Safety tests prove unsafe conditions stop progression</w:t>
            </w:r>
          </w:p>
        </w:tc>
      </w:tr>
      <w:tr>
        <w:tc>
          <w:tcPr>
            <w:tcW w:type="dxa" w:w="2556"/>
            <w:vAlign w:val="top"/>
          </w:tcPr>
          <w:p>
            <w:r>
              <w:t>v0.5.3.19</w:t>
            </w:r>
          </w:p>
        </w:tc>
        <w:tc>
          <w:tcPr>
            <w:tcW w:type="dxa" w:w="2556"/>
            <w:vAlign w:val="top"/>
          </w:tcPr>
          <w:p>
            <w:r>
              <w:t>Agent Supervisor</w:t>
            </w:r>
          </w:p>
        </w:tc>
        <w:tc>
          <w:tcPr>
            <w:tcW w:type="dxa" w:w="2556"/>
            <w:vAlign w:val="top"/>
          </w:tcPr>
          <w:p>
            <w:r>
              <w:t>Health, watchdog/restart, permission state, dependency checks</w:t>
            </w:r>
          </w:p>
        </w:tc>
        <w:tc>
          <w:tcPr>
            <w:tcW w:type="dxa" w:w="2556"/>
            <w:vAlign w:val="top"/>
          </w:tcPr>
          <w:p>
            <w:r>
              <w:t>Supervisor cannot grant execution authority</w:t>
            </w:r>
          </w:p>
        </w:tc>
      </w:tr>
      <w:tr>
        <w:tc>
          <w:tcPr>
            <w:tcW w:type="dxa" w:w="2556"/>
            <w:vAlign w:val="top"/>
          </w:tcPr>
          <w:p>
            <w:r>
              <w:t>v0.5.3.20</w:t>
            </w:r>
          </w:p>
        </w:tc>
        <w:tc>
          <w:tcPr>
            <w:tcW w:type="dxa" w:w="2556"/>
            <w:vAlign w:val="top"/>
          </w:tcPr>
          <w:p>
            <w:r>
              <w:t>Competition Dashboard</w:t>
            </w:r>
          </w:p>
        </w:tc>
        <w:tc>
          <w:tcPr>
            <w:tcW w:type="dxa" w:w="2556"/>
            <w:vAlign w:val="top"/>
          </w:tcPr>
          <w:p>
            <w:r>
              <w:t>Read-only operational/research view</w:t>
            </w:r>
          </w:p>
        </w:tc>
        <w:tc>
          <w:tcPr>
            <w:tcW w:type="dxa" w:w="2556"/>
            <w:vAlign w:val="top"/>
          </w:tcPr>
          <w:p>
            <w:r>
              <w:t>Dashboard agrees with canonical state/ledger</w:t>
            </w:r>
          </w:p>
        </w:tc>
      </w:tr>
      <w:tr>
        <w:tc>
          <w:tcPr>
            <w:tcW w:type="dxa" w:w="2556"/>
            <w:vAlign w:val="top"/>
          </w:tcPr>
          <w:p>
            <w:r>
              <w:t>v0.5.3.21</w:t>
            </w:r>
          </w:p>
        </w:tc>
        <w:tc>
          <w:tcPr>
            <w:tcW w:type="dxa" w:w="2556"/>
            <w:vAlign w:val="top"/>
          </w:tcPr>
          <w:p>
            <w:r>
              <w:t>End-to-End Dry Run</w:t>
            </w:r>
          </w:p>
        </w:tc>
        <w:tc>
          <w:tcPr>
            <w:tcW w:type="dxa" w:w="2556"/>
            <w:vAlign w:val="top"/>
          </w:tcPr>
          <w:p>
            <w:r>
              <w:t>Full chain exercised with orders disabled</w:t>
            </w:r>
          </w:p>
        </w:tc>
        <w:tc>
          <w:tcPr>
            <w:tcW w:type="dxa" w:w="2556"/>
            <w:vAlign w:val="top"/>
          </w:tcPr>
          <w:p>
            <w:r>
              <w:t>Complete cycle passes without broker execution</w:t>
            </w:r>
          </w:p>
        </w:tc>
      </w:tr>
      <w:tr>
        <w:tc>
          <w:tcPr>
            <w:tcW w:type="dxa" w:w="2556"/>
            <w:vAlign w:val="top"/>
          </w:tcPr>
          <w:p>
            <w:r>
              <w:t>v0.5.3.22</w:t>
            </w:r>
          </w:p>
        </w:tc>
        <w:tc>
          <w:tcPr>
            <w:tcW w:type="dxa" w:w="2556"/>
            <w:vAlign w:val="top"/>
          </w:tcPr>
          <w:p>
            <w:r>
              <w:t>Alpaca PAPER Boundary</w:t>
            </w:r>
          </w:p>
        </w:tc>
        <w:tc>
          <w:tcPr>
            <w:tcW w:type="dxa" w:w="2556"/>
            <w:vAlign w:val="top"/>
          </w:tcPr>
          <w:p>
            <w:r>
              <w:t>Dedicated Alpaca PAPER adapter, explicit authorization/feature flags, safety contract</w:t>
            </w:r>
          </w:p>
        </w:tc>
        <w:tc>
          <w:tcPr>
            <w:tcW w:type="dxa" w:w="2556"/>
            <w:vAlign w:val="top"/>
          </w:tcPr>
          <w:p>
            <w:r>
              <w:t>End-to-end execution specification reaches adapter and paper order path is verified</w:t>
            </w:r>
          </w:p>
        </w:tc>
      </w:tr>
      <w:tr>
        <w:tc>
          <w:tcPr>
            <w:tcW w:type="dxa" w:w="2556"/>
            <w:vAlign w:val="top"/>
          </w:tcPr>
          <w:p>
            <w:r>
              <w:t>v0.5.3.x+</w:t>
            </w:r>
          </w:p>
        </w:tc>
        <w:tc>
          <w:tcPr>
            <w:tcW w:type="dxa" w:w="2556"/>
            <w:vAlign w:val="top"/>
          </w:tcPr>
          <w:p>
            <w:r>
              <w:t>Gate Integration</w:t>
            </w:r>
          </w:p>
        </w:tc>
        <w:tc>
          <w:tcPr>
            <w:tcW w:type="dxa" w:w="2556"/>
            <w:vAlign w:val="top"/>
          </w:tcPr>
          <w:p>
            <w:r>
              <w:t>Unified gate interface; Earnings hard block; Signal Gates evidence ingestion</w:t>
            </w:r>
          </w:p>
        </w:tc>
        <w:tc>
          <w:tcPr>
            <w:tcW w:type="dxa" w:w="2556"/>
            <w:vAlign w:val="top"/>
          </w:tcPr>
          <w:p>
            <w:r>
              <w:t>Gates integrated without bypassing core chain</w:t>
            </w:r>
          </w:p>
        </w:tc>
      </w:tr>
      <w:tr>
        <w:tc>
          <w:tcPr>
            <w:tcW w:type="dxa" w:w="2556"/>
            <w:vAlign w:val="top"/>
          </w:tcPr>
          <w:p>
            <w:r>
              <w:t>v0.5.4</w:t>
            </w:r>
          </w:p>
        </w:tc>
        <w:tc>
          <w:tcPr>
            <w:tcW w:type="dxa" w:w="2556"/>
            <w:vAlign w:val="top"/>
          </w:tcPr>
          <w:p>
            <w:r>
              <w:t>Independent Validation</w:t>
            </w:r>
          </w:p>
        </w:tc>
        <w:tc>
          <w:tcPr>
            <w:tcW w:type="dxa" w:w="2556"/>
            <w:vAlign w:val="top"/>
          </w:tcPr>
          <w:p>
            <w:r>
              <w:t>Formal research promotion and independent validation package</w:t>
            </w:r>
          </w:p>
        </w:tc>
        <w:tc>
          <w:tcPr>
            <w:tcW w:type="dxa" w:w="2556"/>
            <w:vAlign w:val="top"/>
          </w:tcPr>
          <w:p>
            <w:r>
              <w:t>Only strategies satisfying promotion criteria proceed</w:t>
            </w:r>
          </w:p>
        </w:tc>
      </w:tr>
      <w:tr>
        <w:tc>
          <w:tcPr>
            <w:tcW w:type="dxa" w:w="2556"/>
            <w:vAlign w:val="top"/>
          </w:tcPr>
          <w:p>
            <w:r>
              <w:t>v0.5.5</w:t>
            </w:r>
          </w:p>
        </w:tc>
        <w:tc>
          <w:tcPr>
            <w:tcW w:type="dxa" w:w="2556"/>
            <w:vAlign w:val="top"/>
          </w:tcPr>
          <w:p>
            <w:r>
              <w:t>Paper Competition Agent</w:t>
            </w:r>
          </w:p>
        </w:tc>
        <w:tc>
          <w:tcPr>
            <w:tcW w:type="dxa" w:w="2556"/>
            <w:vAlign w:val="top"/>
          </w:tcPr>
          <w:p>
            <w:r>
              <w:t>Controlled recurring paper loop, reconciliation, lifecycle and monitoring</w:t>
            </w:r>
          </w:p>
        </w:tc>
        <w:tc>
          <w:tcPr>
            <w:tcW w:type="dxa" w:w="2556"/>
            <w:vAlign w:val="top"/>
          </w:tcPr>
          <w:p>
            <w:r>
              <w:t>Stable paper operation with complete auditability</w:t>
            </w:r>
          </w:p>
        </w:tc>
      </w:tr>
      <w:tr>
        <w:tc>
          <w:tcPr>
            <w:tcW w:type="dxa" w:w="2556"/>
            <w:vAlign w:val="top"/>
          </w:tcPr>
          <w:p>
            <w:r>
              <w:t>Future</w:t>
            </w:r>
          </w:p>
        </w:tc>
        <w:tc>
          <w:tcPr>
            <w:tcW w:type="dxa" w:w="2556"/>
            <w:vAlign w:val="top"/>
          </w:tcPr>
          <w:p>
            <w:r>
              <w:t>Research OS expansion</w:t>
            </w:r>
          </w:p>
        </w:tc>
        <w:tc>
          <w:tcPr>
            <w:tcW w:type="dxa" w:w="2556"/>
            <w:vAlign w:val="top"/>
          </w:tcPr>
          <w:p>
            <w:r>
              <w:t>AI research agents, automated experiments, regime engine, cross-sectional ranking, options research</w:t>
            </w:r>
          </w:p>
        </w:tc>
        <w:tc>
          <w:tcPr>
            <w:tcW w:type="dxa" w:w="2556"/>
            <w:vAlign w:val="top"/>
          </w:tcPr>
          <w:p>
            <w:r>
              <w:t>Added capability is supported by measurable evidence and remains deterministic at execution</w:t>
            </w:r>
          </w:p>
        </w:tc>
      </w:tr>
    </w:tbl>
    <w:p>
      <w:pPr>
        <w:pStyle w:val="Heading1"/>
      </w:pPr>
      <w:r>
        <w:t>7. Immediate Build Order</w:t>
      </w:r>
    </w:p>
    <w:p>
      <w:pPr>
        <w:pStyle w:val="ListNumber"/>
      </w:pPr>
      <w:r>
        <w:t>Finish and verify the .21/.22 execution-specification contract rather than inventing order quantity or direction at the adapter.</w:t>
      </w:r>
    </w:p>
    <w:p>
      <w:pPr>
        <w:pStyle w:val="ListNumber"/>
      </w:pPr>
      <w:r>
        <w:t>Complete Alpaca PAPER end-to-end wiring while keeping live and MEXC paths unreachable.</w:t>
      </w:r>
    </w:p>
    <w:p>
      <w:pPr>
        <w:pStyle w:val="ListNumber"/>
      </w:pPr>
      <w:r>
        <w:t>Complete durable Position State and authoritative reconciliation.</w:t>
      </w:r>
    </w:p>
    <w:p>
      <w:pPr>
        <w:pStyle w:val="ListNumber"/>
      </w:pPr>
      <w:r>
        <w:t>Implement explicit EXECUTION_UNCERTAIN handling and idempotent order identity.</w:t>
      </w:r>
    </w:p>
    <w:p>
      <w:pPr>
        <w:pStyle w:val="ListNumber"/>
      </w:pPr>
      <w:r>
        <w:t>Add deterministic Execution Preflight immediately before Alpaca PAPER submission.</w:t>
      </w:r>
    </w:p>
    <w:p>
      <w:pPr>
        <w:pStyle w:val="ListNumber"/>
      </w:pPr>
      <w:r>
        <w:t>Complete and integrate the Earnings Gate as a hard new-entry block for equities.</w:t>
      </w:r>
    </w:p>
    <w:p>
      <w:pPr>
        <w:pStyle w:val="ListNumber"/>
      </w:pPr>
      <w:r>
        <w:t>Define the unified gate interface and structured gate data contract.</w:t>
      </w:r>
    </w:p>
    <w:p>
      <w:pPr>
        <w:pStyle w:val="ListNumber"/>
      </w:pPr>
      <w:r>
        <w:t>Move Stock/Crypto Signal Gates from mock-only observation toward verified live data collection, while retaining log/evidence-only authority.</w:t>
      </w:r>
    </w:p>
    <w:p>
      <w:pPr>
        <w:pStyle w:val="ListNumber"/>
      </w:pPr>
      <w:r>
        <w:t>Persist raw signal inputs, derived features, scores, source status, gate version and market-state hash.</w:t>
      </w:r>
    </w:p>
    <w:p>
      <w:pPr>
        <w:pStyle w:val="ListNumber"/>
      </w:pPr>
      <w:r>
        <w:t>Build baseline-vs-gate research experiments before allowing smart-money signals to modify strategy decisions.</w:t>
      </w:r>
    </w:p>
    <w:p>
      <w:pPr>
        <w:pStyle w:val="ListNumber"/>
      </w:pPr>
      <w:r>
        <w:t>Add adversarial/mutation tests for all safety boundaries.</w:t>
      </w:r>
    </w:p>
    <w:p>
      <w:pPr>
        <w:pStyle w:val="ListNumber"/>
      </w:pPr>
      <w:r>
        <w:t>Strengthen the ledger and event replay.</w:t>
      </w:r>
    </w:p>
    <w:p>
      <w:pPr>
        <w:pStyle w:val="ListNumber"/>
      </w:pPr>
      <w:r>
        <w:t>Only after the operational chain is stable, build the Research Promotion Gate and Strategy/Hypothesis Registry into the production research flow.</w:t>
      </w:r>
    </w:p>
    <w:p>
      <w:pPr>
        <w:pStyle w:val="Heading1"/>
      </w:pPr>
      <w:r>
        <w:t>8. Market Signal Gates — Integration Plan</w:t>
      </w:r>
    </w:p>
    <w:p>
      <w:r>
        <w:t>Stock and crypto smart-money scanners should be treated as independent evidence sources. Their current design is log/alert only, which is appropriate for the first integration.</w:t>
      </w:r>
    </w:p>
    <w:p>
      <w:pPr>
        <w:pStyle w:val="ListBullet"/>
      </w:pPr>
      <w:r>
        <w:t>Stock: unusual options premium flow, sweep/block activity and net flow direction.</w:t>
      </w:r>
    </w:p>
    <w:p>
      <w:pPr>
        <w:pStyle w:val="ListBullet"/>
      </w:pPr>
      <w:r>
        <w:t>Crypto: funding extremes, open-interest/price divergence and large orders.</w:t>
      </w:r>
    </w:p>
    <w:p>
      <w:pPr>
        <w:pStyle w:val="ListBullet"/>
      </w:pPr>
      <w:r>
        <w:t>Do not turn a signal score directly into BUY/SELL.</w:t>
      </w:r>
    </w:p>
    <w:p>
      <w:pPr>
        <w:pStyle w:val="ListBullet"/>
      </w:pPr>
      <w:r>
        <w:t>Record raw inputs plus derived score; never retain only the score.</w:t>
      </w:r>
    </w:p>
    <w:p>
      <w:pPr>
        <w:pStyle w:val="ListBullet"/>
      </w:pPr>
      <w:r>
        <w:t>Version thresholds and scoring formulas.</w:t>
      </w:r>
    </w:p>
    <w:p>
      <w:pPr>
        <w:pStyle w:val="ListBullet"/>
      </w:pPr>
      <w:r>
        <w:t>Record data-source health and signal age.</w:t>
      </w:r>
    </w:p>
    <w:p>
      <w:pPr>
        <w:pStyle w:val="ListBullet"/>
      </w:pPr>
      <w:r>
        <w:t>Run incremental-value experiments against a baseline.</w:t>
      </w:r>
    </w:p>
    <w:p>
      <w:pPr>
        <w:pStyle w:val="ListBullet"/>
      </w:pPr>
      <w:r>
        <w:t>Use randomized/permutation controls to test whether apparent signal value exceeds chance.</w:t>
      </w:r>
    </w:p>
    <w:p>
      <w:pPr>
        <w:pStyle w:val="ListBullet"/>
      </w:pPr>
      <w:r>
        <w:t>Test OOS, WFO, unseen symbols and regime stability.</w:t>
      </w:r>
    </w:p>
    <w:p>
      <w:pPr>
        <w:pStyle w:val="ListBullet"/>
      </w:pPr>
      <w:r>
        <w:t>Promote a gate into strategy logic only after evidence demonstrates incremental value.</w:t>
      </w:r>
    </w:p>
    <w:p>
      <w:pPr>
        <w:pStyle w:val="Heading1"/>
      </w:pPr>
      <w:r>
        <w:t>9. Earnings Gate — Integration Plan</w:t>
      </w:r>
    </w:p>
    <w:p>
      <w:r>
        <w:t>The Earnings Gate is different because scheduled earnings represent a known event-risk boundary. It should be a deterministic hard gate for new equity entries.</w:t>
      </w:r>
    </w:p>
    <w:p>
      <w:pPr>
        <w:pStyle w:val="ListBullet"/>
      </w:pPr>
      <w:r>
        <w:t>Use the real exchange/trading calendar.</w:t>
      </w:r>
    </w:p>
    <w:p>
      <w:pPr>
        <w:pStyle w:val="ListBullet"/>
      </w:pPr>
      <w:r>
        <w:t>Pre-open earnings: block from the prior trading close through the report day's close, subject to the configured policy.</w:t>
      </w:r>
    </w:p>
    <w:p>
      <w:pPr>
        <w:pStyle w:val="ListBullet"/>
      </w:pPr>
      <w:r>
        <w:t>After-close earnings: block from the report day's close through the next trading day's close, subject to the configured policy.</w:t>
      </w:r>
    </w:p>
    <w:p>
      <w:pPr>
        <w:pStyle w:val="ListBullet"/>
      </w:pPr>
      <w:r>
        <w:t>Unknown/ambiguous earnings data should fail closed for affected symbols when the gate is required.</w:t>
      </w:r>
    </w:p>
    <w:p>
      <w:pPr>
        <w:pStyle w:val="ListBullet"/>
      </w:pPr>
      <w:r>
        <w:t>Existing positions require a separate event-risk policy; the Earnings Gate should not directly bypass Position State or Risk Gate.</w:t>
      </w:r>
    </w:p>
    <w:p>
      <w:pPr>
        <w:pStyle w:val="ListBullet"/>
      </w:pPr>
      <w:r>
        <w:t>Record block reason, event timestamp, calendar version and source in the ledger.</w:t>
      </w:r>
    </w:p>
    <w:p>
      <w:pPr>
        <w:pStyle w:val="Heading1"/>
      </w:pPr>
      <w:r>
        <w:t>10. Research Promotion Gate</w:t>
      </w:r>
    </w:p>
    <w:tbl>
      <w:tblPr>
        <w:tblStyle w:val="TableGrid"/>
        <w:tblW w:type="auto" w:w="0"/>
        <w:jc w:val="center"/>
        <w:tblLook w:firstColumn="1" w:firstRow="1" w:lastColumn="0" w:lastRow="0" w:noHBand="0" w:noVBand="1" w:val="04A0"/>
      </w:tblPr>
      <w:tblGrid>
        <w:gridCol w:w="5112"/>
        <w:gridCol w:w="5112"/>
      </w:tblGrid>
      <w:tr>
        <w:tc>
          <w:tcPr>
            <w:tcW w:type="dxa" w:w="5112"/>
          </w:tcPr>
          <w:p>
            <w:r>
              <w:t>Criterion</w:t>
            </w:r>
          </w:p>
        </w:tc>
        <w:tc>
          <w:tcPr>
            <w:tcW w:type="dxa" w:w="5112"/>
          </w:tcPr>
          <w:p>
            <w:r>
              <w:t>Requirement</w:t>
            </w:r>
          </w:p>
        </w:tc>
      </w:tr>
      <w:tr>
        <w:tc>
          <w:tcPr>
            <w:tcW w:type="dxa" w:w="5112"/>
            <w:vAlign w:val="top"/>
          </w:tcPr>
          <w:p>
            <w:r>
              <w:t>OOS</w:t>
            </w:r>
          </w:p>
        </w:tc>
        <w:tc>
          <w:tcPr>
            <w:tcW w:type="dxa" w:w="5112"/>
            <w:vAlign w:val="top"/>
          </w:tcPr>
          <w:p>
            <w:r>
              <w:t>Required before strategy promotion</w:t>
            </w:r>
          </w:p>
        </w:tc>
      </w:tr>
      <w:tr>
        <w:tc>
          <w:tcPr>
            <w:tcW w:type="dxa" w:w="5112"/>
            <w:vAlign w:val="top"/>
          </w:tcPr>
          <w:p>
            <w:r>
              <w:t>Walk-forward</w:t>
            </w:r>
          </w:p>
        </w:tc>
        <w:tc>
          <w:tcPr>
            <w:tcW w:type="dxa" w:w="5112"/>
            <w:vAlign w:val="top"/>
          </w:tcPr>
          <w:p>
            <w:r>
              <w:t>Required for temporal robustness</w:t>
            </w:r>
          </w:p>
        </w:tc>
      </w:tr>
      <w:tr>
        <w:tc>
          <w:tcPr>
            <w:tcW w:type="dxa" w:w="5112"/>
            <w:vAlign w:val="top"/>
          </w:tcPr>
          <w:p>
            <w:r>
              <w:t>Permutation / matched controls</w:t>
            </w:r>
          </w:p>
        </w:tc>
        <w:tc>
          <w:tcPr>
            <w:tcW w:type="dxa" w:w="5112"/>
            <w:vAlign w:val="top"/>
          </w:tcPr>
          <w:p>
            <w:r>
              <w:t>Required where applicable</w:t>
            </w:r>
          </w:p>
        </w:tc>
      </w:tr>
      <w:tr>
        <w:tc>
          <w:tcPr>
            <w:tcW w:type="dxa" w:w="5112"/>
            <w:vAlign w:val="top"/>
          </w:tcPr>
          <w:p>
            <w:r>
              <w:t>Cost / slippage sensitivity</w:t>
            </w:r>
          </w:p>
        </w:tc>
        <w:tc>
          <w:tcPr>
            <w:tcW w:type="dxa" w:w="5112"/>
            <w:vAlign w:val="top"/>
          </w:tcPr>
          <w:p>
            <w:r>
              <w:t>Required</w:t>
            </w:r>
          </w:p>
        </w:tc>
      </w:tr>
      <w:tr>
        <w:tc>
          <w:tcPr>
            <w:tcW w:type="dxa" w:w="5112"/>
            <w:vAlign w:val="top"/>
          </w:tcPr>
          <w:p>
            <w:r>
              <w:t>Parameter plateau</w:t>
            </w:r>
          </w:p>
        </w:tc>
        <w:tc>
          <w:tcPr>
            <w:tcW w:type="dxa" w:w="5112"/>
            <w:vAlign w:val="top"/>
          </w:tcPr>
          <w:p>
            <w:r>
              <w:t>Required when parameters were optimized</w:t>
            </w:r>
          </w:p>
        </w:tc>
      </w:tr>
      <w:tr>
        <w:tc>
          <w:tcPr>
            <w:tcW w:type="dxa" w:w="5112"/>
            <w:vAlign w:val="top"/>
          </w:tcPr>
          <w:p>
            <w:r>
              <w:t>Unseen-symbol validation</w:t>
            </w:r>
          </w:p>
        </w:tc>
        <w:tc>
          <w:tcPr>
            <w:tcW w:type="dxa" w:w="5112"/>
            <w:vAlign w:val="top"/>
          </w:tcPr>
          <w:p>
            <w:r>
              <w:t>Strong requirement</w:t>
            </w:r>
          </w:p>
        </w:tc>
      </w:tr>
      <w:tr>
        <w:tc>
          <w:tcPr>
            <w:tcW w:type="dxa" w:w="5112"/>
            <w:vAlign w:val="top"/>
          </w:tcPr>
          <w:p>
            <w:r>
              <w:t>Regime stability</w:t>
            </w:r>
          </w:p>
        </w:tc>
        <w:tc>
          <w:tcPr>
            <w:tcW w:type="dxa" w:w="5112"/>
            <w:vAlign w:val="top"/>
          </w:tcPr>
          <w:p>
            <w:r>
              <w:t>Required or explicit limitation</w:t>
            </w:r>
          </w:p>
        </w:tc>
      </w:tr>
      <w:tr>
        <w:tc>
          <w:tcPr>
            <w:tcW w:type="dxa" w:w="5112"/>
            <w:vAlign w:val="top"/>
          </w:tcPr>
          <w:p>
            <w:r>
              <w:t>Prospective evidence</w:t>
            </w:r>
          </w:p>
        </w:tc>
        <w:tc>
          <w:tcPr>
            <w:tcW w:type="dxa" w:w="5112"/>
            <w:vAlign w:val="top"/>
          </w:tcPr>
          <w:p>
            <w:r>
              <w:t>Required before production eligibility</w:t>
            </w:r>
          </w:p>
        </w:tc>
      </w:tr>
      <w:tr>
        <w:tc>
          <w:tcPr>
            <w:tcW w:type="dxa" w:w="5112"/>
            <w:vAlign w:val="top"/>
          </w:tcPr>
          <w:p>
            <w:r>
              <w:t>Paper execution evidence</w:t>
            </w:r>
          </w:p>
        </w:tc>
        <w:tc>
          <w:tcPr>
            <w:tcW w:type="dxa" w:w="5112"/>
            <w:vAlign w:val="top"/>
          </w:tcPr>
          <w:p>
            <w:r>
              <w:t>Required before production eligibility</w:t>
            </w:r>
          </w:p>
        </w:tc>
      </w:tr>
    </w:tbl>
    <w:p>
      <w:r>
        <w:t>Strategy lifecycle: DISCOVERED → DIAGNOSTIC → CANDIDATE → FROZEN → VALIDATED → PROSPECTIVE → PAPER → PRODUCTION_ELIGIBLE → EXECUTABLE → RETIRED. FAILED, REJECTED and INSUFFICIENT_EVIDENCE are valid outcomes.</w:t>
      </w:r>
    </w:p>
    <w:p>
      <w:pPr>
        <w:pStyle w:val="Heading1"/>
      </w:pPr>
      <w:r>
        <w:t>11. Safety &amp; Reliability Program</w:t>
      </w:r>
    </w:p>
    <w:p>
      <w:pPr>
        <w:pStyle w:val="ListBullet"/>
      </w:pPr>
      <w:r>
        <w:t>Fail closed on stale/corrupt/incomplete market state.</w:t>
      </w:r>
    </w:p>
    <w:p>
      <w:pPr>
        <w:pStyle w:val="ListBullet"/>
      </w:pPr>
      <w:r>
        <w:t>Fail closed when Position State is unknown or reconciliation mismatches.</w:t>
      </w:r>
    </w:p>
    <w:p>
      <w:pPr>
        <w:pStyle w:val="ListBullet"/>
      </w:pPr>
      <w:r>
        <w:t>Fail closed when required gate data is unavailable.</w:t>
      </w:r>
    </w:p>
    <w:p>
      <w:pPr>
        <w:pStyle w:val="ListBullet"/>
      </w:pPr>
      <w:r>
        <w:t>Never blind-retry an uncertain order submission.</w:t>
      </w:r>
    </w:p>
    <w:p>
      <w:pPr>
        <w:pStyle w:val="ListBullet"/>
      </w:pPr>
      <w:r>
        <w:t>Use deterministic client/order IDs for idempotency.</w:t>
      </w:r>
    </w:p>
    <w:p>
      <w:pPr>
        <w:pStyle w:val="ListBullet"/>
      </w:pPr>
      <w:r>
        <w:t>Run exits before entries so released risk budget is reflected before new authorization.</w:t>
      </w:r>
    </w:p>
    <w:p>
      <w:pPr>
        <w:pStyle w:val="ListBullet"/>
      </w:pPr>
      <w:r>
        <w:t>Test duplicate signals and restart behavior.</w:t>
      </w:r>
    </w:p>
    <w:p>
      <w:pPr>
        <w:pStyle w:val="ListBullet"/>
      </w:pPr>
      <w:r>
        <w:t>Test partial fills, rejected orders and broker/API outages.</w:t>
      </w:r>
    </w:p>
    <w:p>
      <w:pPr>
        <w:pStyle w:val="ListBullet"/>
      </w:pPr>
      <w:r>
        <w:t>Test kill-switch activation and controlled recovery.</w:t>
      </w:r>
    </w:p>
    <w:p>
      <w:pPr>
        <w:pStyle w:val="ListBullet"/>
      </w:pPr>
      <w:r>
        <w:t>Run mutation testing by deliberately weakening/removing gates and proving tests catch the mutation.</w:t>
      </w:r>
    </w:p>
    <w:p>
      <w:pPr>
        <w:pStyle w:val="ListBullet"/>
      </w:pPr>
      <w:r>
        <w:t>Keep the Supervisor outside execution authority.</w:t>
      </w:r>
    </w:p>
    <w:p>
      <w:pPr>
        <w:pStyle w:val="ListBullet"/>
      </w:pPr>
      <w:r>
        <w:t>Keep AI outside execution authority even if all other controls appear healthy.</w:t>
      </w:r>
    </w:p>
    <w:p>
      <w:pPr>
        <w:pStyle w:val="Heading1"/>
      </w:pPr>
      <w:r>
        <w:t>12. Portfolio Risk Evolution</w:t>
      </w:r>
    </w:p>
    <w:p>
      <w:r>
        <w:t>AURA should evolve from trade-level risk toward portfolio-state risk:</w:t>
      </w:r>
    </w:p>
    <w:p>
      <w:pPr>
        <w:pStyle w:val="ListBullet"/>
      </w:pPr>
      <w:r>
        <w:t>Per-trade risk</w:t>
      </w:r>
    </w:p>
    <w:p>
      <w:pPr>
        <w:pStyle w:val="ListBullet"/>
      </w:pPr>
      <w:r>
        <w:t>Daily loss</w:t>
      </w:r>
    </w:p>
    <w:p>
      <w:pPr>
        <w:pStyle w:val="ListBullet"/>
      </w:pPr>
      <w:r>
        <w:t>Maximum drawdown</w:t>
      </w:r>
    </w:p>
    <w:p>
      <w:pPr>
        <w:pStyle w:val="ListBullet"/>
      </w:pPr>
      <w:r>
        <w:t>Portfolio heat</w:t>
      </w:r>
    </w:p>
    <w:p>
      <w:pPr>
        <w:pStyle w:val="ListBullet"/>
      </w:pPr>
      <w:r>
        <w:t>Asset concentration</w:t>
      </w:r>
    </w:p>
    <w:p>
      <w:pPr>
        <w:pStyle w:val="ListBullet"/>
      </w:pPr>
      <w:r>
        <w:t>Correlation concentration</w:t>
      </w:r>
    </w:p>
    <w:p>
      <w:pPr>
        <w:pStyle w:val="ListBullet"/>
      </w:pPr>
      <w:r>
        <w:t>Directional exposure</w:t>
      </w:r>
    </w:p>
    <w:p>
      <w:pPr>
        <w:pStyle w:val="ListBullet"/>
      </w:pPr>
      <w:r>
        <w:t>Leverage exposure</w:t>
      </w:r>
    </w:p>
    <w:p>
      <w:pPr>
        <w:pStyle w:val="ListBullet"/>
      </w:pPr>
      <w:r>
        <w:t>Liquidity concentration</w:t>
      </w:r>
    </w:p>
    <w:p>
      <w:pPr>
        <w:pStyle w:val="ListBullet"/>
      </w:pPr>
      <w:r>
        <w:t>Funding/basis exposure for crypto</w:t>
      </w:r>
    </w:p>
    <w:p>
      <w:pPr>
        <w:pStyle w:val="ListBullet"/>
      </w:pPr>
      <w:r>
        <w:t>Sector/theme concentration for equities</w:t>
      </w:r>
    </w:p>
    <w:p>
      <w:pPr>
        <w:pStyle w:val="ListBullet"/>
      </w:pPr>
      <w:r>
        <w:t>Projected portfolio risk after adding the proposed position</w:t>
      </w:r>
    </w:p>
    <w:p>
      <w:r>
        <w:t>BTC and ETH, for example, should have independent signals and positions but must also be evaluated through a shared portfolio risk layer.</w:t>
      </w:r>
    </w:p>
    <w:p>
      <w:pPr>
        <w:pStyle w:val="Heading1"/>
      </w:pPr>
      <w:r>
        <w:t>13. Ledger &amp; Observability</w:t>
      </w:r>
    </w:p>
    <w:p>
      <w:r>
        <w:t>The ledger should answer both: 'Why did AURA trade?' and 'Why did AURA not trade?'</w:t>
      </w:r>
    </w:p>
    <w:p>
      <w:pPr>
        <w:pStyle w:val="ListBullet"/>
      </w:pPr>
      <w:r>
        <w:t>RUN_STARTED</w:t>
      </w:r>
    </w:p>
    <w:p>
      <w:pPr>
        <w:pStyle w:val="ListBullet"/>
      </w:pPr>
      <w:r>
        <w:t>MARKET_STATE_CREATED</w:t>
      </w:r>
    </w:p>
    <w:p>
      <w:pPr>
        <w:pStyle w:val="ListBullet"/>
      </w:pPr>
      <w:r>
        <w:t>SIGNAL_EVALUATED / SIGNAL_REJECTED</w:t>
      </w:r>
    </w:p>
    <w:p>
      <w:pPr>
        <w:pStyle w:val="ListBullet"/>
      </w:pPr>
      <w:r>
        <w:t>GATE_EVALUATED / GATE_BLOCKED</w:t>
      </w:r>
    </w:p>
    <w:p>
      <w:pPr>
        <w:pStyle w:val="ListBullet"/>
      </w:pPr>
      <w:r>
        <w:t>RISK_EVALUATED / RISK_REJECTED</w:t>
      </w:r>
    </w:p>
    <w:p>
      <w:pPr>
        <w:pStyle w:val="ListBullet"/>
      </w:pPr>
      <w:r>
        <w:t>POSITION_STATE_OBSERVED</w:t>
      </w:r>
    </w:p>
    <w:p>
      <w:pPr>
        <w:pStyle w:val="ListBullet"/>
      </w:pPr>
      <w:r>
        <w:t>RECONCILIATION_RESULT</w:t>
      </w:r>
    </w:p>
    <w:p>
      <w:pPr>
        <w:pStyle w:val="ListBullet"/>
      </w:pPr>
      <w:r>
        <w:t>EXECUTION_PREFLIGHT</w:t>
      </w:r>
    </w:p>
    <w:p>
      <w:pPr>
        <w:pStyle w:val="ListBullet"/>
      </w:pPr>
      <w:r>
        <w:t>ORDER_CREATED / ORDER_SUBMITTED / ORDER_ACKNOWLEDGED</w:t>
      </w:r>
    </w:p>
    <w:p>
      <w:pPr>
        <w:pStyle w:val="ListBullet"/>
      </w:pPr>
      <w:r>
        <w:t>PARTIAL_FILL / FILL</w:t>
      </w:r>
    </w:p>
    <w:p>
      <w:pPr>
        <w:pStyle w:val="ListBullet"/>
      </w:pPr>
      <w:r>
        <w:t>EXIT_SIGNAL / CLOSED</w:t>
      </w:r>
    </w:p>
    <w:p>
      <w:pPr>
        <w:pStyle w:val="ListBullet"/>
      </w:pPr>
      <w:r>
        <w:t>KILL_SWITCH / HALTED</w:t>
      </w:r>
    </w:p>
    <w:p>
      <w:r>
        <w:t>Each event should include strategy/version, experiment or hypothesis identity, market-state identity/hash, decision IDs, position state, execution IDs, client/broker order IDs where available, timestamp, previous hash and current hash.</w:t>
      </w:r>
    </w:p>
    <w:p>
      <w:pPr>
        <w:pStyle w:val="Heading1"/>
      </w:pPr>
      <w:r>
        <w:t>14. AI Research Evolution</w:t>
      </w:r>
    </w:p>
    <w:p>
      <w:pPr>
        <w:pStyle w:val="ListNumber"/>
      </w:pPr>
      <w:r>
        <w:t>Research AI: generate hypotheses, experiments, explanations and adversarial challenges.</w:t>
      </w:r>
    </w:p>
    <w:p>
      <w:pPr>
        <w:pStyle w:val="ListNumber"/>
      </w:pPr>
      <w:r>
        <w:t>Evidence AI: analyze independently sourced evidence but cannot make it authoritative.</w:t>
      </w:r>
    </w:p>
    <w:p>
      <w:pPr>
        <w:pStyle w:val="ListNumber"/>
      </w:pPr>
      <w:r>
        <w:t>Runtime intelligence: rank/explain candidates within predefined constraints.</w:t>
      </w:r>
    </w:p>
    <w:p>
      <w:pPr>
        <w:pStyle w:val="ListNumber"/>
      </w:pPr>
      <w:r>
        <w:t>Deterministic execution: zero AI authority.</w:t>
      </w:r>
    </w:p>
    <w:p>
      <w:r>
        <w:t>Future multi-agent research should use orthogonal roles such as Trend, Mean Reversion, Volatility, Liquidity, Regime, Cross-Asset, On-Chain and Adversarial researchers. The purpose is not to count how many agents say BUY; it is to test whether independent evidence converges and survives controlled validation.</w:t>
      </w:r>
    </w:p>
    <w:p>
      <w:pPr>
        <w:pStyle w:val="Heading1"/>
      </w:pPr>
      <w:r>
        <w:t>15. What We Should Not Build</w:t>
      </w:r>
    </w:p>
    <w:p>
      <w:pPr>
        <w:pStyle w:val="ListBullet"/>
      </w:pPr>
      <w:r>
        <w:t>An LLM that directly decides BUY/SELL and sends the order.</w:t>
      </w:r>
    </w:p>
    <w:p>
      <w:pPr>
        <w:pStyle w:val="ListBullet"/>
      </w:pPr>
      <w:r>
        <w:t>AI confidence thresholds presented as proof of alpha.</w:t>
      </w:r>
    </w:p>
    <w:p>
      <w:pPr>
        <w:pStyle w:val="ListBullet"/>
      </w:pPr>
      <w:r>
        <w:t>Smart-money filters added solely because they improve an in-sample backtest.</w:t>
      </w:r>
    </w:p>
    <w:p>
      <w:pPr>
        <w:pStyle w:val="ListBullet"/>
      </w:pPr>
      <w:r>
        <w:t>Large architecture additions without measurable benefit.</w:t>
      </w:r>
    </w:p>
    <w:p>
      <w:pPr>
        <w:pStyle w:val="ListBullet"/>
      </w:pPr>
      <w:r>
        <w:t>Paper performance treated as strategy proof.</w:t>
      </w:r>
    </w:p>
    <w:p>
      <w:pPr>
        <w:pStyle w:val="ListBullet"/>
      </w:pPr>
      <w:r>
        <w:t>Single best parameter values treated as robust.</w:t>
      </w:r>
    </w:p>
    <w:p>
      <w:pPr>
        <w:pStyle w:val="ListBullet"/>
      </w:pPr>
      <w:r>
        <w:t>Human approval used instead of deterministic risk.</w:t>
      </w:r>
    </w:p>
    <w:p>
      <w:pPr>
        <w:pStyle w:val="ListBullet"/>
      </w:pPr>
      <w:r>
        <w:t>An execution adapter that can be called from the research plane.</w:t>
      </w:r>
    </w:p>
    <w:p>
      <w:pPr>
        <w:pStyle w:val="ListBullet"/>
      </w:pPr>
      <w:r>
        <w:t>Blind retries after broker/network ambiguity.</w:t>
      </w:r>
    </w:p>
    <w:p>
      <w:pPr>
        <w:pStyle w:val="ListBullet"/>
      </w:pPr>
      <w:r>
        <w:t>An earnings component that directly manipulates positions outside Position State/Risk Gate.</w:t>
      </w:r>
    </w:p>
    <w:p>
      <w:pPr>
        <w:pStyle w:val="Heading1"/>
      </w:pPr>
      <w:r>
        <w:t>16. Success Criteria for 'Best Possible AURA'</w:t>
      </w:r>
    </w:p>
    <w:tbl>
      <w:tblPr>
        <w:tblStyle w:val="TableGrid"/>
        <w:tblW w:type="auto" w:w="0"/>
        <w:jc w:val="center"/>
        <w:tblLook w:firstColumn="1" w:firstRow="1" w:lastColumn="0" w:lastRow="0" w:noHBand="0" w:noVBand="1" w:val="04A0"/>
      </w:tblPr>
      <w:tblGrid>
        <w:gridCol w:w="5112"/>
        <w:gridCol w:w="5112"/>
      </w:tblGrid>
      <w:tr>
        <w:tc>
          <w:tcPr>
            <w:tcW w:type="dxa" w:w="5112"/>
          </w:tcPr>
          <w:p>
            <w:r>
              <w:t>Dimension</w:t>
            </w:r>
          </w:p>
        </w:tc>
        <w:tc>
          <w:tcPr>
            <w:tcW w:type="dxa" w:w="5112"/>
          </w:tcPr>
          <w:p>
            <w:r>
              <w:t>Success means</w:t>
            </w:r>
          </w:p>
        </w:tc>
      </w:tr>
      <w:tr>
        <w:tc>
          <w:tcPr>
            <w:tcW w:type="dxa" w:w="5112"/>
            <w:vAlign w:val="top"/>
          </w:tcPr>
          <w:p>
            <w:r>
              <w:t>Research quality</w:t>
            </w:r>
          </w:p>
        </w:tc>
        <w:tc>
          <w:tcPr>
            <w:tcW w:type="dxa" w:w="5112"/>
            <w:vAlign w:val="top"/>
          </w:tcPr>
          <w:p>
            <w:r>
              <w:t>AURA can generate, falsify and validate hypotheses reproducibly.</w:t>
            </w:r>
          </w:p>
        </w:tc>
      </w:tr>
      <w:tr>
        <w:tc>
          <w:tcPr>
            <w:tcW w:type="dxa" w:w="5112"/>
            <w:vAlign w:val="top"/>
          </w:tcPr>
          <w:p>
            <w:r>
              <w:t>Evidence</w:t>
            </w:r>
          </w:p>
        </w:tc>
        <w:tc>
          <w:tcPr>
            <w:tcW w:type="dxa" w:w="5112"/>
            <w:vAlign w:val="top"/>
          </w:tcPr>
          <w:p>
            <w:r>
              <w:t>Every important claim can be traced to authoritative data and a versioned experiment.</w:t>
            </w:r>
          </w:p>
        </w:tc>
      </w:tr>
      <w:tr>
        <w:tc>
          <w:tcPr>
            <w:tcW w:type="dxa" w:w="5112"/>
            <w:vAlign w:val="top"/>
          </w:tcPr>
          <w:p>
            <w:r>
              <w:t>Strategy promotion</w:t>
            </w:r>
          </w:p>
        </w:tc>
        <w:tc>
          <w:tcPr>
            <w:tcW w:type="dxa" w:w="5112"/>
            <w:vAlign w:val="top"/>
          </w:tcPr>
          <w:p>
            <w:r>
              <w:t>Only strategies satisfying explicit evidence gates can become executable.</w:t>
            </w:r>
          </w:p>
        </w:tc>
      </w:tr>
      <w:tr>
        <w:tc>
          <w:tcPr>
            <w:tcW w:type="dxa" w:w="5112"/>
            <w:vAlign w:val="top"/>
          </w:tcPr>
          <w:p>
            <w:r>
              <w:t>Runtime safety</w:t>
            </w:r>
          </w:p>
        </w:tc>
        <w:tc>
          <w:tcPr>
            <w:tcW w:type="dxa" w:w="5112"/>
            <w:vAlign w:val="top"/>
          </w:tcPr>
          <w:p>
            <w:r>
              <w:t>Unknown, stale or inconsistent state blocks execution.</w:t>
            </w:r>
          </w:p>
        </w:tc>
      </w:tr>
      <w:tr>
        <w:tc>
          <w:tcPr>
            <w:tcW w:type="dxa" w:w="5112"/>
            <w:vAlign w:val="top"/>
          </w:tcPr>
          <w:p>
            <w:r>
              <w:t>AI safety</w:t>
            </w:r>
          </w:p>
        </w:tc>
        <w:tc>
          <w:tcPr>
            <w:tcW w:type="dxa" w:w="5112"/>
            <w:vAlign w:val="top"/>
          </w:tcPr>
          <w:p>
            <w:r>
              <w:t>AI cannot authorize, size, override or directly submit orders.</w:t>
            </w:r>
          </w:p>
        </w:tc>
      </w:tr>
      <w:tr>
        <w:tc>
          <w:tcPr>
            <w:tcW w:type="dxa" w:w="5112"/>
            <w:vAlign w:val="top"/>
          </w:tcPr>
          <w:p>
            <w:r>
              <w:t>Execution integrity</w:t>
            </w:r>
          </w:p>
        </w:tc>
        <w:tc>
          <w:tcPr>
            <w:tcW w:type="dxa" w:w="5112"/>
            <w:vAlign w:val="top"/>
          </w:tcPr>
          <w:p>
            <w:r>
              <w:t>Orders are idempotent, observable and recoverable.</w:t>
            </w:r>
          </w:p>
        </w:tc>
      </w:tr>
      <w:tr>
        <w:tc>
          <w:tcPr>
            <w:tcW w:type="dxa" w:w="5112"/>
            <w:vAlign w:val="top"/>
          </w:tcPr>
          <w:p>
            <w:r>
              <w:t>Reconciliation</w:t>
            </w:r>
          </w:p>
        </w:tc>
        <w:tc>
          <w:tcPr>
            <w:tcW w:type="dxa" w:w="5112"/>
            <w:vAlign w:val="top"/>
          </w:tcPr>
          <w:p>
            <w:r>
              <w:t>Venue state is authoritative and mismatches halt conflicting activity.</w:t>
            </w:r>
          </w:p>
        </w:tc>
      </w:tr>
      <w:tr>
        <w:tc>
          <w:tcPr>
            <w:tcW w:type="dxa" w:w="5112"/>
            <w:vAlign w:val="top"/>
          </w:tcPr>
          <w:p>
            <w:r>
              <w:t>Portfolio risk</w:t>
            </w:r>
          </w:p>
        </w:tc>
        <w:tc>
          <w:tcPr>
            <w:tcW w:type="dxa" w:w="5112"/>
            <w:vAlign w:val="top"/>
          </w:tcPr>
          <w:p>
            <w:r>
              <w:t>Risk considers combined exposures, not only isolated trades.</w:t>
            </w:r>
          </w:p>
        </w:tc>
      </w:tr>
      <w:tr>
        <w:tc>
          <w:tcPr>
            <w:tcW w:type="dxa" w:w="5112"/>
            <w:vAlign w:val="top"/>
          </w:tcPr>
          <w:p>
            <w:r>
              <w:t>Observability</w:t>
            </w:r>
          </w:p>
        </w:tc>
        <w:tc>
          <w:tcPr>
            <w:tcW w:type="dxa" w:w="5112"/>
            <w:vAlign w:val="top"/>
          </w:tcPr>
          <w:p>
            <w:r>
              <w:t>Every decision, including refusal, is replayable.</w:t>
            </w:r>
          </w:p>
        </w:tc>
      </w:tr>
      <w:tr>
        <w:tc>
          <w:tcPr>
            <w:tcW w:type="dxa" w:w="5112"/>
            <w:vAlign w:val="top"/>
          </w:tcPr>
          <w:p>
            <w:r>
              <w:t>Adaptability</w:t>
            </w:r>
          </w:p>
        </w:tc>
        <w:tc>
          <w:tcPr>
            <w:tcW w:type="dxa" w:w="5112"/>
            <w:vAlign w:val="top"/>
          </w:tcPr>
          <w:p>
            <w:r>
              <w:t>Stocks, crypto, options and future venues share the same control plane.</w:t>
            </w:r>
          </w:p>
        </w:tc>
      </w:tr>
      <w:tr>
        <w:tc>
          <w:tcPr>
            <w:tcW w:type="dxa" w:w="5112"/>
            <w:vAlign w:val="top"/>
          </w:tcPr>
          <w:p>
            <w:r>
              <w:t>Learning</w:t>
            </w:r>
          </w:p>
        </w:tc>
        <w:tc>
          <w:tcPr>
            <w:tcW w:type="dxa" w:w="5112"/>
            <w:vAlign w:val="top"/>
          </w:tcPr>
          <w:p>
            <w:r>
              <w:t>Paper/live outcomes feed back into research without contaminating validation.</w:t>
            </w:r>
          </w:p>
        </w:tc>
      </w:tr>
    </w:tbl>
    <w:p>
      <w:pPr>
        <w:pStyle w:val="Heading1"/>
      </w:pPr>
      <w:r>
        <w:t>17. Final Recommendation</w:t>
      </w:r>
    </w:p>
    <w:p>
      <w:r>
        <w:t>The latest findings do not justify replacing the current AURA architecture. They justify making it more explicit and more rigorous. The most important additions are the Research Promotion Gate, unified Gate Framework, Evidence/Provenance model, adversarial/mutation testing, durable Position State, independent reconciliation, uncertain-submit recovery, portfolio-level risk and stronger event/decision observability.</w:t>
      </w:r>
    </w:p>
    <w:p>
      <w:r>
        <w:t>The Market Signal Gates should be integrated now as evidence sources, not trading authorities. The Earnings Gate should be integrated as a deterministic hard block for new equity entries around scheduled earnings, with a separate explicit policy for existing positions.</w:t>
      </w:r>
    </w:p>
    <w:p>
      <w:r>
        <w:t>The immediate engineering priority remains to finish and verify the Alpaca PAPER execution boundary and the complete deterministic runtime chain. Only after that should the system be promoted toward the full paper competition agent. Research expansion can proceed in parallel as long as orders remain disabled and the research evidence remains isolated.</w:t>
      </w:r>
    </w:p>
    <w:p>
      <w:r>
        <w:rPr>
          <w:b/>
        </w:rPr>
        <w:t xml:space="preserve">Ultimate objective: </w:t>
      </w:r>
      <w:r>
        <w:t>AURA should become a quantitative research operating system that continuously discovers opportunities, tries to falsify them, preserves evidence, promotes only sufficiently validated strategies, executes deterministically, reconciles reality, and learns from every outcome.</w:t>
      </w:r>
    </w:p>
    <w:p>
      <w:pPr>
        <w:pStyle w:val="Heading1"/>
      </w:pPr>
      <w:r>
        <w:t>Appendix A — Canonical Runtime Flow</w:t>
      </w:r>
    </w:p>
    <w:p>
      <w:r>
        <w:t>Market Data → Data Quality → Canonical Market State → Evidence Gates / Event Gates → Signal Decision → Risk Gate → Position State / Reconciliation → Execution Preflight → Privileged Adapter → Venue → Post-Execution Reconciliation → Ledger → Monitoring → Research Feedback</w:t>
      </w:r>
    </w:p>
    <w:p>
      <w:pPr>
        <w:pStyle w:val="Heading1"/>
      </w:pPr>
      <w:r>
        <w:t>Appendix B — Canonical Research Flow</w:t>
      </w:r>
    </w:p>
    <w:p>
      <w:r>
        <w:t>Observation → Hypothesis → Formalization → Experiment → Backtest → Controls → OOS → WFO → Stress/Costs → Parameter Robustness → Unseen Symbols → Prospective Evidence → Paper Evidence → Promotion Decision → Production Eligibility → Monitoring → Retirement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