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AURA</w:t>
      </w:r>
    </w:p>
    <w:p>
      <w:pPr>
        <w:jc w:val="center"/>
      </w:pPr>
      <w:r>
        <w:rPr>
          <w:b/>
          <w:sz w:val="48"/>
        </w:rPr>
        <w:t>Research Findings &amp; Development Recommendations</w:t>
      </w:r>
    </w:p>
    <w:p>
      <w:pPr>
        <w:jc w:val="center"/>
      </w:pPr>
      <w:r>
        <w:rPr>
          <w:i/>
        </w:rPr>
        <w:t>Consolidated analysis of AURA/MEXC research and additional trading-agent inspiration</w:t>
      </w:r>
    </w:p>
    <w:p>
      <w:pPr>
        <w:jc w:val="center"/>
      </w:pPr>
      <w:r>
        <w:rPr>
          <w:b/>
        </w:rPr>
        <w:t>August 2026</w:t>
      </w:r>
    </w:p>
    <w:p>
      <w:pPr>
        <w:pStyle w:val="Heading1"/>
      </w:pPr>
      <w:r>
        <w:t>Executive Summary</w:t>
      </w:r>
    </w:p>
    <w:p>
      <w:r>
        <w:t>The combined material supports evolving AURA from an automated trading bot into an AI-assisted quantitative research and execution platform. The system should discover hypotheses, test them rigorously, learn from outcomes, monitor market and system state, and promote only sufficiently validated strategies into deterministic execution.</w:t>
      </w:r>
    </w:p>
    <w:tbl>
      <w:tblPr>
        <w:tblW w:type="auto" w:w="0"/>
        <w:jc w:val="center"/>
        <w:tblLook w:firstColumn="1" w:firstRow="1" w:lastColumn="0" w:lastRow="0" w:noHBand="0" w:noVBand="1" w:val="04A0"/>
      </w:tblPr>
      <w:tblGrid>
        <w:gridCol w:w="10080"/>
      </w:tblGrid>
      <w:tr>
        <w:tc>
          <w:tcPr>
            <w:tcW w:type="dxa" w:w="10080"/>
          </w:tcPr>
          <w:p>
            <w:r>
              <w:t>Core principle</w:t>
              <w:br/>
              <w:t>AI should propose and learn; deterministic AURA controls decide whether anything is allowed to execute.</w:t>
            </w:r>
          </w:p>
        </w:tc>
      </w:tr>
    </w:tbl>
    <w:p/>
    <w:p>
      <w:r>
        <w:t>The external presentations are valuable mainly as engineering and research inspiration. Successful module tests or a small number of winning trades are not statistical proof of trading edge.</w:t>
      </w:r>
    </w:p>
    <w:p>
      <w:pPr>
        <w:pStyle w:val="Heading1"/>
      </w:pPr>
      <w:r>
        <w:t>1. Existing Crypto Research — Key Findings</w:t>
      </w:r>
    </w:p>
    <w:p>
      <w:r>
        <w:t>The original MEXC strategy did not become robust through parameter adjustment. The broad test was negative and walk-forward performance remained essentially flat/negative.</w:t>
      </w:r>
    </w:p>
    <w:tbl>
      <w:tblPr>
        <w:tblW w:type="auto" w:w="0"/>
        <w:jc w:val="center"/>
        <w:tblLook w:firstColumn="1" w:firstRow="1" w:lastColumn="0" w:lastRow="0" w:noHBand="0" w:noVBand="1" w:val="04A0"/>
      </w:tblPr>
      <w:tblGrid>
        <w:gridCol w:w="3360"/>
        <w:gridCol w:w="3360"/>
        <w:gridCol w:w="3360"/>
      </w:tblGrid>
      <w:tr>
        <w:tc>
          <w:tcPr>
            <w:tcW w:type="dxa" w:w="3360"/>
          </w:tcPr>
          <w:p>
            <w:r>
              <w:t>Evidence</w:t>
            </w:r>
          </w:p>
        </w:tc>
        <w:tc>
          <w:tcPr>
            <w:tcW w:type="dxa" w:w="3360"/>
          </w:tcPr>
          <w:p>
            <w:r>
              <w:t>Result</w:t>
            </w:r>
          </w:p>
        </w:tc>
        <w:tc>
          <w:tcPr>
            <w:tcW w:type="dxa" w:w="3360"/>
          </w:tcPr>
          <w:p>
            <w:r>
              <w:t>Meaning</w:t>
            </w:r>
          </w:p>
        </w:tc>
      </w:tr>
      <w:tr>
        <w:tc>
          <w:tcPr>
            <w:tcW w:type="dxa" w:w="3360"/>
          </w:tcPr>
          <w:p>
            <w:r>
              <w:t>Broad backtest</w:t>
            </w:r>
          </w:p>
        </w:tc>
        <w:tc>
          <w:tcPr>
            <w:tcW w:type="dxa" w:w="3360"/>
          </w:tcPr>
          <w:p>
            <w:r>
              <w:t>PF 0.88; −17.23%; 114 trades</w:t>
            </w:r>
          </w:p>
        </w:tc>
        <w:tc>
          <w:tcPr>
            <w:tcW w:type="dxa" w:w="3360"/>
          </w:tcPr>
          <w:p>
            <w:r>
              <w:t>Original strategy lacked usable edge.</w:t>
            </w:r>
          </w:p>
        </w:tc>
      </w:tr>
      <w:tr>
        <w:tc>
          <w:tcPr>
            <w:tcW w:type="dxa" w:w="3360"/>
          </w:tcPr>
          <w:p>
            <w:r>
              <w:t>Walk-forward OOS</w:t>
            </w:r>
          </w:p>
        </w:tc>
        <w:tc>
          <w:tcPr>
            <w:tcW w:type="dxa" w:w="3360"/>
          </w:tcPr>
          <w:p>
            <w:r>
              <w:t>PF 0.99; −$0.07/trade; 1,752 trades</w:t>
            </w:r>
          </w:p>
        </w:tc>
        <w:tc>
          <w:tcPr>
            <w:tcW w:type="dxa" w:w="3360"/>
          </w:tcPr>
          <w:p>
            <w:r>
              <w:t>Out-of-sample validation failed.</w:t>
            </w:r>
          </w:p>
        </w:tc>
      </w:tr>
      <w:tr>
        <w:tc>
          <w:tcPr>
            <w:tcW w:type="dxa" w:w="3360"/>
          </w:tcPr>
          <w:p>
            <w:r>
              <w:t>Train→test expectancy correlation</w:t>
            </w:r>
          </w:p>
        </w:tc>
        <w:tc>
          <w:tcPr>
            <w:tcW w:type="dxa" w:w="3360"/>
          </w:tcPr>
          <w:p>
            <w:r>
              <w:t>0.081</w:t>
            </w:r>
          </w:p>
        </w:tc>
        <w:tc>
          <w:tcPr>
            <w:tcW w:type="dxa" w:w="3360"/>
          </w:tcPr>
          <w:p>
            <w:r>
              <w:t>Weak stability across windows.</w:t>
            </w:r>
          </w:p>
        </w:tc>
      </w:tr>
      <w:tr>
        <w:tc>
          <w:tcPr>
            <w:tcW w:type="dxa" w:w="3360"/>
          </w:tcPr>
          <w:p>
            <w:r>
              <w:t>Permutation research</w:t>
            </w:r>
          </w:p>
        </w:tc>
        <w:tc>
          <w:tcPr>
            <w:tcW w:type="dxa" w:w="3360"/>
          </w:tcPr>
          <w:p>
            <w:r>
              <w:t>Real PF ≈1.02; reported p≈0.085</w:t>
            </w:r>
          </w:p>
        </w:tc>
        <w:tc>
          <w:tcPr>
            <w:tcW w:type="dxa" w:w="3360"/>
          </w:tcPr>
          <w:p>
            <w:r>
              <w:t>Insufficient evidence for a strong edge claim.</w:t>
            </w:r>
          </w:p>
        </w:tc>
      </w:tr>
      <w:tr>
        <w:tc>
          <w:tcPr>
            <w:tcW w:type="dxa" w:w="3360"/>
          </w:tcPr>
          <w:p>
            <w:r>
              <w:t>MFE analysis</w:t>
            </w:r>
          </w:p>
        </w:tc>
        <w:tc>
          <w:tcPr>
            <w:tcW w:type="dxa" w:w="3360"/>
          </w:tcPr>
          <w:p>
            <w:r>
              <w:t>Average MFE 2.322R; reported p=0.000</w:t>
            </w:r>
          </w:p>
        </w:tc>
        <w:tc>
          <w:tcPr>
            <w:tcW w:type="dxa" w:w="3360"/>
          </w:tcPr>
          <w:p>
            <w:r>
              <w:t>Potential entry/early-path information was present but poorly monetized.</w:t>
            </w:r>
          </w:p>
        </w:tc>
      </w:tr>
    </w:tbl>
    <w:p>
      <w:r>
        <w:t>Research should therefore focus less on finding better parameters and more on identifying the mechanism of edge: market regime, asset selection, direction, timing, and exit behavior.</w:t>
      </w:r>
    </w:p>
    <w:p>
      <w:pPr>
        <w:pStyle w:val="Heading1"/>
      </w:pPr>
      <w:r>
        <w:t>2. What the New Presentations Contribute</w:t>
      </w:r>
    </w:p>
    <w:p>
      <w:pPr>
        <w:pStyle w:val="Heading2"/>
      </w:pPr>
      <w:r>
        <w:t>AlphaPilot</w:t>
      </w:r>
    </w:p>
    <w:p>
      <w:r>
        <w:t>AlphaPilot presents a modular paper-trading pipeline: market data, AI signal, option selector, entry safety, paper order, order/position monitoring, automatic exits, trade logging and performance analysis. It demonstrates duplicate protection and keeps real-money trading disabled.</w:t>
      </w:r>
    </w:p>
    <w:p>
      <w:pPr>
        <w:pStyle w:val="ListBullet"/>
      </w:pPr>
      <w:r>
        <w:t>Adopt explicit modular ownership across signal, selection, safety, monitoring, exits and logging.</w:t>
      </w:r>
    </w:p>
    <w:p>
      <w:pPr>
        <w:pStyle w:val="ListBullet"/>
      </w:pPr>
      <w:r>
        <w:t>Make NO TRADE a first-class outcome.</w:t>
      </w:r>
    </w:p>
    <w:p>
      <w:pPr>
        <w:pStyle w:val="ListBullet"/>
      </w:pPr>
      <w:r>
        <w:t>Log complete trade metadata and exit reasons.</w:t>
      </w:r>
    </w:p>
    <w:p>
      <w:pPr>
        <w:pStyle w:val="ListBullet"/>
      </w:pPr>
      <w:r>
        <w:t>Keep software validation separate from profitability validation.</w:t>
      </w:r>
    </w:p>
    <w:p>
      <w:pPr>
        <w:pStyle w:val="Heading2"/>
      </w:pPr>
      <w:r>
        <w:t>KRAKN·AI</w:t>
      </w:r>
    </w:p>
    <w:p>
      <w:r>
        <w:t>KRAKN·AI adds adaptive learning, three-stage trailing stops, cross-asset concentration risk, continuous operation and a separate anomaly-watchdog concept.</w:t>
      </w:r>
    </w:p>
    <w:p>
      <w:pPr>
        <w:pStyle w:val="ListBullet"/>
      </w:pPr>
      <w:r>
        <w:t>Separate performance learning from system-safety monitoring.</w:t>
      </w:r>
    </w:p>
    <w:p>
      <w:pPr>
        <w:pStyle w:val="ListBullet"/>
      </w:pPr>
      <w:r>
        <w:t>Research staged exit logic instead of copying fixed stop values.</w:t>
      </w:r>
    </w:p>
    <w:p>
      <w:pPr>
        <w:pStyle w:val="ListBullet"/>
      </w:pPr>
      <w:r>
        <w:t>Add portfolio/factor/correlation risk buckets.</w:t>
      </w:r>
    </w:p>
    <w:p>
      <w:pPr>
        <w:pStyle w:val="ListBullet"/>
      </w:pPr>
      <w:r>
        <w:t>Create an independent anomaly/safety layer that can block unsafe operation.</w:t>
      </w:r>
    </w:p>
    <w:p>
      <w:pPr>
        <w:pStyle w:val="ListBullet"/>
      </w:pPr>
      <w:r>
        <w:t>Use shared research intelligence across markets while keeping execution and microstructure rules market-specific.</w:t>
      </w:r>
    </w:p>
    <w:p>
      <w:pPr>
        <w:pStyle w:val="Heading2"/>
      </w:pPr>
      <w:r>
        <w:t>AI Stock Trading Agent</w:t>
      </w:r>
    </w:p>
    <w:p>
      <w:r>
        <w:t>This presentation is mainly a catalogue of research features: OHLCV, moving averages, RSI, MACD, volatility, momentum, sentiment/news, ML prediction, backtesting, portfolio tracking and real-time monitoring.</w:t>
      </w:r>
    </w:p>
    <w:p>
      <w:pPr>
        <w:pStyle w:val="ListBullet"/>
      </w:pPr>
      <w:r>
        <w:t>Create a governed feature registry rather than adding indicators ad hoc.</w:t>
      </w:r>
    </w:p>
    <w:p>
      <w:pPr>
        <w:pStyle w:val="ListBullet"/>
      </w:pPr>
      <w:r>
        <w:t>Track feature definition, timeframe, source, missing-data policy and lookahead safety.</w:t>
      </w:r>
    </w:p>
    <w:p>
      <w:pPr>
        <w:pStyle w:val="ListBullet"/>
      </w:pPr>
      <w:r>
        <w:t>Treat Random Forest, XGBoost, LSTM and Transformer models as hypotheses, not assumed improvements.</w:t>
      </w:r>
    </w:p>
    <w:p>
      <w:pPr>
        <w:pStyle w:val="ListBullet"/>
      </w:pPr>
      <w:r>
        <w:t>Calibrate model confidence against observed outcomes.</w:t>
      </w:r>
    </w:p>
    <w:p>
      <w:pPr>
        <w:pStyle w:val="Heading1"/>
      </w:pPr>
      <w:r>
        <w:t>3. Recommended AURA Architecture Evolution</w:t>
      </w:r>
    </w:p>
    <w:p>
      <w:r>
        <w:t>AURA should explicitly separate a Research Plane from the deterministic Runtime/Control Plane.</w:t>
      </w:r>
    </w:p>
    <w:tbl>
      <w:tblPr>
        <w:tblW w:type="auto" w:w="0"/>
        <w:jc w:val="center"/>
        <w:tblLook w:firstColumn="1" w:firstRow="1" w:lastColumn="0" w:lastRow="0" w:noHBand="0" w:noVBand="1" w:val="04A0"/>
      </w:tblPr>
      <w:tblGrid>
        <w:gridCol w:w="10080"/>
      </w:tblGrid>
      <w:tr>
        <w:tc>
          <w:tcPr>
            <w:tcW w:type="dxa" w:w="10080"/>
          </w:tcPr>
          <w:p>
            <w:r>
              <w:t>Research Plane</w:t>
              <w:br/>
              <w:t>AI Researcher → Hypothesis Engine → Research Engine → Validation → Research Gate → Frozen Strategy</w:t>
            </w:r>
          </w:p>
        </w:tc>
      </w:tr>
    </w:tbl>
    <w:p/>
    <w:tbl>
      <w:tblPr>
        <w:tblW w:type="auto" w:w="0"/>
        <w:jc w:val="center"/>
        <w:tblLook w:firstColumn="1" w:firstRow="1" w:lastColumn="0" w:lastRow="0" w:noHBand="0" w:noVBand="1" w:val="04A0"/>
      </w:tblPr>
      <w:tblGrid>
        <w:gridCol w:w="10080"/>
      </w:tblGrid>
      <w:tr>
        <w:tc>
          <w:tcPr>
            <w:tcW w:type="dxa" w:w="10080"/>
          </w:tcPr>
          <w:p>
            <w:r>
              <w:t>Runtime / Control Plane</w:t>
              <w:br/>
              <w:t>Market State → Asset Selector → Signal Decision → Risk Gate → Position State → Trade Intent → Execution Adapter → Reconciliation → Ledger</w:t>
            </w:r>
          </w:p>
        </w:tc>
      </w:tr>
    </w:tbl>
    <w:p/>
    <w:p>
      <w:pPr>
        <w:pStyle w:val="ListBullet"/>
      </w:pPr>
      <w:r>
        <w:t>System Health / Anomaly Watchdog supervises runtime independently of performance learning.</w:t>
      </w:r>
    </w:p>
    <w:p>
      <w:pPr>
        <w:pStyle w:val="ListBullet"/>
      </w:pPr>
      <w:r>
        <w:t>Research may propose changes but cannot bypass or rewrite deterministic execution controls.</w:t>
      </w:r>
    </w:p>
    <w:p>
      <w:pPr>
        <w:pStyle w:val="ListBullet"/>
      </w:pPr>
      <w:r>
        <w:t>Venue adapters handle market-specific mechanics; strategy authority stays upstream.</w:t>
      </w:r>
    </w:p>
    <w:p>
      <w:pPr>
        <w:pStyle w:val="Heading1"/>
      </w:pPr>
      <w:r>
        <w:t>4. Research Gate</w:t>
      </w:r>
    </w:p>
    <w:p>
      <w:r>
        <w:t>Create a formal gate that determines whether a strategy can progress from an idea to paper/live eligibility.</w:t>
      </w:r>
    </w:p>
    <w:p>
      <w:pPr>
        <w:pStyle w:val="ListNumber"/>
      </w:pPr>
      <w:r>
        <w:t>IDEA → formalized hypothesis</w:t>
      </w:r>
    </w:p>
    <w:p>
      <w:pPr>
        <w:pStyle w:val="ListNumber"/>
      </w:pPr>
      <w:r>
        <w:t>Historical backtest</w:t>
      </w:r>
    </w:p>
    <w:p>
      <w:pPr>
        <w:pStyle w:val="ListNumber"/>
      </w:pPr>
      <w:r>
        <w:t>Cost/slippage stress test</w:t>
      </w:r>
    </w:p>
    <w:p>
      <w:pPr>
        <w:pStyle w:val="ListNumber"/>
      </w:pPr>
      <w:r>
        <w:t>Walk-forward validation</w:t>
      </w:r>
    </w:p>
    <w:p>
      <w:pPr>
        <w:pStyle w:val="ListNumber"/>
      </w:pPr>
      <w:r>
        <w:t>Permutation/random controls</w:t>
      </w:r>
    </w:p>
    <w:p>
      <w:pPr>
        <w:pStyle w:val="ListNumber"/>
      </w:pPr>
      <w:r>
        <w:t>Unseen-symbol/cross-sectional validation</w:t>
      </w:r>
    </w:p>
    <w:p>
      <w:pPr>
        <w:pStyle w:val="ListNumber"/>
      </w:pPr>
      <w:r>
        <w:t>Prospective holdout</w:t>
      </w:r>
    </w:p>
    <w:p>
      <w:pPr>
        <w:pStyle w:val="ListNumber"/>
      </w:pPr>
      <w:r>
        <w:t>Paper trading</w:t>
      </w:r>
    </w:p>
    <w:p>
      <w:pPr>
        <w:pStyle w:val="ListNumber"/>
      </w:pPr>
      <w:r>
        <w:t>Explicit promotion or rejection</w:t>
      </w:r>
    </w:p>
    <w:p>
      <w:r>
        <w:t>A strategy should also be able to enter REJECTED, DEGRADED or RETIRED states at any stage.</w:t>
      </w:r>
    </w:p>
    <w:p>
      <w:pPr>
        <w:pStyle w:val="Heading1"/>
      </w:pPr>
      <w:r>
        <w:t>5. Hypothesis Registry &amp; Strategy DNA</w:t>
      </w:r>
    </w:p>
    <w:p>
      <w:r>
        <w:t>Every strategy should be a versioned research object.</w:t>
      </w:r>
    </w:p>
    <w:p>
      <w:pPr>
        <w:pStyle w:val="ListBullet"/>
      </w:pPr>
      <w:r>
        <w:t>Strategy ID/version and hypothesis/mechanism</w:t>
      </w:r>
    </w:p>
    <w:p>
      <w:pPr>
        <w:pStyle w:val="ListBullet"/>
      </w:pPr>
      <w:r>
        <w:t>Universe, instruments and timeframes</w:t>
      </w:r>
    </w:p>
    <w:p>
      <w:pPr>
        <w:pStyle w:val="ListBullet"/>
      </w:pPr>
      <w:r>
        <w:t>Feature definitions and data assumptions</w:t>
      </w:r>
    </w:p>
    <w:p>
      <w:pPr>
        <w:pStyle w:val="ListBullet"/>
      </w:pPr>
      <w:r>
        <w:t>Entry/exit rules</w:t>
      </w:r>
    </w:p>
    <w:p>
      <w:pPr>
        <w:pStyle w:val="ListBullet"/>
      </w:pPr>
      <w:r>
        <w:t>Cost and risk assumptions</w:t>
      </w:r>
    </w:p>
    <w:p>
      <w:pPr>
        <w:pStyle w:val="ListBullet"/>
      </w:pPr>
      <w:r>
        <w:t>Training/test/holdout periods</w:t>
      </w:r>
    </w:p>
    <w:p>
      <w:pPr>
        <w:pStyle w:val="ListBullet"/>
      </w:pPr>
      <w:r>
        <w:t>Validation results and known limitations</w:t>
      </w:r>
    </w:p>
    <w:p>
      <w:pPr>
        <w:pStyle w:val="ListBullet"/>
      </w:pPr>
      <w:r>
        <w:t>Lifecycle state: IDEA → FORMALIZED → TESTED → VALIDATED → PAPER → EXECUTION-ELIGIBLE → RETIRED</w:t>
      </w:r>
    </w:p>
    <w:p>
      <w:pPr>
        <w:pStyle w:val="Heading1"/>
      </w:pPr>
      <w:r>
        <w:t>6. Market Intelligence &amp; Asset Selection</w:t>
      </w:r>
    </w:p>
    <w:p>
      <w:r>
        <w:t>The next generation should understand market state before applying a frozen strategy.</w:t>
      </w:r>
    </w:p>
    <w:p>
      <w:pPr>
        <w:pStyle w:val="ListBullet"/>
      </w:pPr>
      <w:r>
        <w:t>BTC/market regime: trend, volatility, EMA structure, momentum</w:t>
      </w:r>
    </w:p>
    <w:p>
      <w:pPr>
        <w:pStyle w:val="ListBullet"/>
      </w:pPr>
      <w:r>
        <w:t>Breadth and cross-sectional dispersion</w:t>
      </w:r>
    </w:p>
    <w:p>
      <w:pPr>
        <w:pStyle w:val="ListBullet"/>
      </w:pPr>
      <w:r>
        <w:t>Volatility level/percentile and compression/expansion</w:t>
      </w:r>
    </w:p>
    <w:p>
      <w:pPr>
        <w:pStyle w:val="ListBullet"/>
      </w:pPr>
      <w:r>
        <w:t>Liquidity: volume, spread and depth where available</w:t>
      </w:r>
    </w:p>
    <w:p>
      <w:pPr>
        <w:pStyle w:val="ListBullet"/>
      </w:pPr>
      <w:r>
        <w:t>Derivatives: funding, basis, open interest and liquidations where reliable</w:t>
      </w:r>
    </w:p>
    <w:p>
      <w:pPr>
        <w:pStyle w:val="ListBullet"/>
      </w:pPr>
      <w:r>
        <w:t>Cross-sectional ranking: relative strength, momentum, volatility, liquidity and regime fit</w:t>
      </w:r>
    </w:p>
    <w:tbl>
      <w:tblPr>
        <w:tblW w:type="auto" w:w="0"/>
        <w:jc w:val="center"/>
        <w:tblLook w:firstColumn="1" w:firstRow="1" w:lastColumn="0" w:lastRow="0" w:noHBand="0" w:noVBand="1" w:val="04A0"/>
      </w:tblPr>
      <w:tblGrid>
        <w:gridCol w:w="10080"/>
      </w:tblGrid>
      <w:tr>
        <w:tc>
          <w:tcPr>
            <w:tcW w:type="dxa" w:w="10080"/>
          </w:tcPr>
          <w:p>
            <w:r>
              <w:t>Target pattern</w:t>
              <w:br/>
              <w:t>Universe → liquidity eligibility → regime eligibility → candidate ranking → frozen strategy → signal</w:t>
            </w:r>
          </w:p>
        </w:tc>
      </w:tr>
    </w:tbl>
    <w:p/>
    <w:p>
      <w:pPr>
        <w:pStyle w:val="Heading1"/>
      </w:pPr>
      <w:r>
        <w:t>7. Distinguish NO SIGNAL from BLOCKED</w:t>
      </w:r>
    </w:p>
    <w:tbl>
      <w:tblPr>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NO_SIGNAL</w:t>
            </w:r>
          </w:p>
        </w:tc>
        <w:tc>
          <w:tcPr>
            <w:tcW w:type="dxa" w:w="5040"/>
          </w:tcPr>
          <w:p>
            <w:r>
              <w:t>No strategy opportunity was detected.</w:t>
            </w:r>
          </w:p>
        </w:tc>
      </w:tr>
      <w:tr>
        <w:tc>
          <w:tcPr>
            <w:tcW w:type="dxa" w:w="5040"/>
          </w:tcPr>
          <w:p>
            <w:r>
              <w:t>CANDIDATE</w:t>
            </w:r>
          </w:p>
        </w:tc>
        <w:tc>
          <w:tcPr>
            <w:tcW w:type="dxa" w:w="5040"/>
          </w:tcPr>
          <w:p>
            <w:r>
              <w:t>A potential opportunity exists.</w:t>
            </w:r>
          </w:p>
        </w:tc>
      </w:tr>
      <w:tr>
        <w:tc>
          <w:tcPr>
            <w:tcW w:type="dxa" w:w="5040"/>
          </w:tcPr>
          <w:p>
            <w:r>
              <w:t>RESEARCH_BLOCKED</w:t>
            </w:r>
          </w:p>
        </w:tc>
        <w:tc>
          <w:tcPr>
            <w:tcW w:type="dxa" w:w="5040"/>
          </w:tcPr>
          <w:p>
            <w:r>
              <w:t>Candidate is outside the validated strategy envelope.</w:t>
            </w:r>
          </w:p>
        </w:tc>
      </w:tr>
      <w:tr>
        <w:tc>
          <w:tcPr>
            <w:tcW w:type="dxa" w:w="5040"/>
          </w:tcPr>
          <w:p>
            <w:r>
              <w:t>RISK_BLOCKED</w:t>
            </w:r>
          </w:p>
        </w:tc>
        <w:tc>
          <w:tcPr>
            <w:tcW w:type="dxa" w:w="5040"/>
          </w:tcPr>
          <w:p>
            <w:r>
              <w:t>Deterministic risk controls rejected it.</w:t>
            </w:r>
          </w:p>
        </w:tc>
      </w:tr>
      <w:tr>
        <w:tc>
          <w:tcPr>
            <w:tcW w:type="dxa" w:w="5040"/>
          </w:tcPr>
          <w:p>
            <w:r>
              <w:t>POSITION_BLOCKED</w:t>
            </w:r>
          </w:p>
        </w:tc>
        <w:tc>
          <w:tcPr>
            <w:tcW w:type="dxa" w:w="5040"/>
          </w:tcPr>
          <w:p>
            <w:r>
              <w:t>Account/position state does not permit it.</w:t>
            </w:r>
          </w:p>
        </w:tc>
      </w:tr>
      <w:tr>
        <w:tc>
          <w:tcPr>
            <w:tcW w:type="dxa" w:w="5040"/>
          </w:tcPr>
          <w:p>
            <w:r>
              <w:t>EXECUTION_BLOCKED</w:t>
            </w:r>
          </w:p>
        </w:tc>
        <w:tc>
          <w:tcPr>
            <w:tcW w:type="dxa" w:w="5040"/>
          </w:tcPr>
          <w:p>
            <w:r>
              <w:t>Execution/system conditions are unsafe.</w:t>
            </w:r>
          </w:p>
        </w:tc>
      </w:tr>
    </w:tbl>
    <w:p>
      <w:pPr>
        <w:pStyle w:val="Heading1"/>
      </w:pPr>
      <w:r>
        <w:t>8. Opportunity &amp; Skip Ledger</w:t>
      </w:r>
    </w:p>
    <w:p>
      <w:r>
        <w:t>Record evaluated opportunities, not only executed trades.</w:t>
      </w:r>
    </w:p>
    <w:p>
      <w:pPr>
        <w:pStyle w:val="ListBullet"/>
      </w:pPr>
      <w:r>
        <w:t>candidate ID, timestamp, symbol, strategy/version</w:t>
      </w:r>
    </w:p>
    <w:p>
      <w:pPr>
        <w:pStyle w:val="ListBullet"/>
      </w:pPr>
      <w:r>
        <w:t>market-state and feature snapshot</w:t>
      </w:r>
    </w:p>
    <w:p>
      <w:pPr>
        <w:pStyle w:val="ListBullet"/>
      </w:pPr>
      <w:r>
        <w:t>signal decision/score</w:t>
      </w:r>
    </w:p>
    <w:p>
      <w:pPr>
        <w:pStyle w:val="ListBullet"/>
      </w:pPr>
      <w:r>
        <w:t>research, risk and position results</w:t>
      </w:r>
    </w:p>
    <w:p>
      <w:pPr>
        <w:pStyle w:val="ListBullet"/>
      </w:pPr>
      <w:r>
        <w:t>exact block/skip reason</w:t>
      </w:r>
    </w:p>
    <w:p>
      <w:pPr>
        <w:pStyle w:val="ListBullet"/>
      </w:pPr>
      <w:r>
        <w:t>final decision and execution status</w:t>
      </w:r>
    </w:p>
    <w:p>
      <w:r>
        <w:t>This creates a dataset for understanding whether controls protect AURA or systematically prevent profitable opportunities.</w:t>
      </w:r>
    </w:p>
    <w:p>
      <w:pPr>
        <w:pStyle w:val="Heading1"/>
      </w:pPr>
      <w:r>
        <w:t>9. Counterfactual Research</w:t>
      </w:r>
    </w:p>
    <w:p>
      <w:r>
        <w:t>For blocked candidates, optionally run a research-only virtual path to measure hypothetical MFE, MAE, P&amp;L, holding time and exit behavior.</w:t>
      </w:r>
    </w:p>
    <w:tbl>
      <w:tblPr>
        <w:tblW w:type="auto" w:w="0"/>
        <w:jc w:val="center"/>
        <w:tblLook w:firstColumn="1" w:firstRow="1" w:lastColumn="0" w:lastRow="0" w:noHBand="0" w:noVBand="1" w:val="04A0"/>
      </w:tblPr>
      <w:tblGrid>
        <w:gridCol w:w="10080"/>
      </w:tblGrid>
      <w:tr>
        <w:tc>
          <w:tcPr>
            <w:tcW w:type="dxa" w:w="10080"/>
          </w:tcPr>
          <w:p>
            <w:r>
              <w:t>Hard boundary</w:t>
              <w:br/>
              <w:t>Counterfactual outcomes are research evidence only. They must never directly authorize execution.</w:t>
            </w:r>
          </w:p>
        </w:tc>
      </w:tr>
    </w:tbl>
    <w:p/>
    <w:p>
      <w:pPr>
        <w:pStyle w:val="Heading1"/>
      </w:pPr>
      <w:r>
        <w:t>10. Exit Research — Use the MFE Finding</w:t>
      </w:r>
    </w:p>
    <w:p>
      <w:r>
        <w:t>The MFE result is one of the strongest unresolved clues from the crypto research. Test exit families rather than copying a single trailing-stop value.</w:t>
      </w:r>
    </w:p>
    <w:p>
      <w:pPr>
        <w:pStyle w:val="ListBullet"/>
      </w:pPr>
      <w:r>
        <w:t>Fixed stop/target baseline</w:t>
      </w:r>
    </w:p>
    <w:p>
      <w:pPr>
        <w:pStyle w:val="ListBullet"/>
      </w:pPr>
      <w:r>
        <w:t>Stop → break-even → trailing lock</w:t>
      </w:r>
    </w:p>
    <w:p>
      <w:pPr>
        <w:pStyle w:val="ListBullet"/>
      </w:pPr>
      <w:r>
        <w:t>ATR stop → +1R break-even → +2R trail</w:t>
      </w:r>
    </w:p>
    <w:p>
      <w:pPr>
        <w:pStyle w:val="ListBullet"/>
      </w:pPr>
      <w:r>
        <w:t>Volatility-adjusted trailing</w:t>
      </w:r>
    </w:p>
    <w:p>
      <w:pPr>
        <w:pStyle w:val="ListBullet"/>
      </w:pPr>
      <w:r>
        <w:t>Time-based and regime-change exits</w:t>
      </w:r>
    </w:p>
    <w:p>
      <w:r>
        <w:t>Record the full path from entry through MFE/MAE and exit. Investigate time-to-MFE, momentum decay, volume changes, ATR expansion, reversal behavior and market-regime changes.</w:t>
      </w:r>
    </w:p>
    <w:p>
      <w:pPr>
        <w:pStyle w:val="Heading1"/>
      </w:pPr>
      <w:r>
        <w:t>11. Cross-Asset Concentration Risk</w:t>
      </w:r>
    </w:p>
    <w:p>
      <w:r>
        <w:t>Individual position risk can understate portfolio risk when assets share common drivers.</w:t>
      </w:r>
    </w:p>
    <w:p>
      <w:pPr>
        <w:pStyle w:val="ListBullet"/>
      </w:pPr>
      <w:r>
        <w:t>Correlation clusters</w:t>
      </w:r>
    </w:p>
    <w:p>
      <w:pPr>
        <w:pStyle w:val="ListBullet"/>
      </w:pPr>
      <w:r>
        <w:t>Beta/factor exposure</w:t>
      </w:r>
    </w:p>
    <w:p>
      <w:pPr>
        <w:pStyle w:val="ListBullet"/>
      </w:pPr>
      <w:r>
        <w:t>Theme/sector exposure</w:t>
      </w:r>
    </w:p>
    <w:p>
      <w:pPr>
        <w:pStyle w:val="ListBullet"/>
      </w:pPr>
      <w:r>
        <w:t>Crypto-beta concentration</w:t>
      </w:r>
    </w:p>
    <w:p>
      <w:pPr>
        <w:pStyle w:val="ListBullet"/>
      </w:pPr>
      <w:r>
        <w:t>Aggregate portfolio heat</w:t>
      </w:r>
    </w:p>
    <w:p>
      <w:pPr>
        <w:pStyle w:val="Heading1"/>
      </w:pPr>
      <w:r>
        <w:t>12. Adaptive Learning — With Hard Boundaries</w:t>
      </w:r>
    </w:p>
    <w:p>
      <w:r>
        <w:t>Adaptive learning is promising but must remain controlled and reproducible.</w:t>
      </w:r>
    </w:p>
    <w:tbl>
      <w:tblPr>
        <w:tblW w:type="auto" w:w="0"/>
        <w:jc w:val="center"/>
        <w:tblLook w:firstColumn="1" w:firstRow="1" w:lastColumn="0" w:lastRow="0" w:noHBand="0" w:noVBand="1" w:val="04A0"/>
      </w:tblPr>
      <w:tblGrid>
        <w:gridCol w:w="10080"/>
      </w:tblGrid>
      <w:tr>
        <w:tc>
          <w:tcPr>
            <w:tcW w:type="dxa" w:w="10080"/>
          </w:tcPr>
          <w:p>
            <w:r>
              <w:t>Controlled learning loop</w:t>
              <w:br/>
              <w:t>Outcome → learning proposal → research validation → versioned change → approval/promotion → frozen configuration</w:t>
            </w:r>
          </w:p>
        </w:tc>
      </w:tr>
    </w:tbl>
    <w:p/>
    <w:p>
      <w:pPr>
        <w:pStyle w:val="ListBullet"/>
      </w:pPr>
      <w:r>
        <w:t>Learning may propose ranking or weighting changes.</w:t>
      </w:r>
    </w:p>
    <w:p>
      <w:pPr>
        <w:pStyle w:val="ListBullet"/>
      </w:pPr>
      <w:r>
        <w:t>Learning may not increase hard risk limits.</w:t>
      </w:r>
    </w:p>
    <w:p>
      <w:pPr>
        <w:pStyle w:val="ListBullet"/>
      </w:pPr>
      <w:r>
        <w:t>Learning may not disable kill switches, reconciliation or safety requirements.</w:t>
      </w:r>
    </w:p>
    <w:p>
      <w:pPr>
        <w:pStyle w:val="ListBullet"/>
      </w:pPr>
      <w:r>
        <w:t>Changes require sufficient sample size and validation.</w:t>
      </w:r>
    </w:p>
    <w:p>
      <w:pPr>
        <w:pStyle w:val="ListBullet"/>
      </w:pPr>
      <w:r>
        <w:t>Every promoted change receives a new version.</w:t>
      </w:r>
    </w:p>
    <w:p>
      <w:pPr>
        <w:pStyle w:val="Heading1"/>
      </w:pPr>
      <w:r>
        <w:t>13. System Health &amp; Anomaly Watchdog</w:t>
      </w:r>
    </w:p>
    <w:p>
      <w:r>
        <w:t>Performance logic and system integrity should be separate.</w:t>
      </w:r>
    </w:p>
    <w:p>
      <w:pPr>
        <w:pStyle w:val="ListBullet"/>
      </w:pPr>
      <w:r>
        <w:t>HEALTHY — normal operation.</w:t>
      </w:r>
    </w:p>
    <w:p>
      <w:pPr>
        <w:pStyle w:val="ListBullet"/>
      </w:pPr>
      <w:r>
        <w:t>DEGRADED — non-critical dependency problem; policy determines whether limited operation is permitted.</w:t>
      </w:r>
    </w:p>
    <w:p>
      <w:pPr>
        <w:pStyle w:val="ListBullet"/>
      </w:pPr>
      <w:r>
        <w:t>BLOCKED — unsafe data/state/reconciliation condition; no new execution.</w:t>
      </w:r>
    </w:p>
    <w:p>
      <w:pPr>
        <w:pStyle w:val="ListBullet"/>
      </w:pPr>
      <w:r>
        <w:t>RECOVERY — restart/reconcile/verify before resuming.</w:t>
      </w:r>
    </w:p>
    <w:p>
      <w:pPr>
        <w:pStyle w:val="ListBullet"/>
      </w:pPr>
      <w:r>
        <w:t>UNKNOWN — state cannot be trusted; fail closed.</w:t>
      </w:r>
    </w:p>
    <w:p>
      <w:pPr>
        <w:pStyle w:val="Heading1"/>
      </w:pPr>
      <w:r>
        <w:t>14. Data, Feature and Decision Provenance</w:t>
      </w:r>
    </w:p>
    <w:p>
      <w:r>
        <w:t>AURA should be able to reconstruct exactly what the system knew and which versions produced every decision.</w:t>
      </w:r>
    </w:p>
    <w:p>
      <w:pPr>
        <w:pStyle w:val="ListBullet"/>
      </w:pPr>
      <w:r>
        <w:t>Market-state version</w:t>
      </w:r>
    </w:p>
    <w:p>
      <w:pPr>
        <w:pStyle w:val="ListBullet"/>
      </w:pPr>
      <w:r>
        <w:t>Feature snapshot/version</w:t>
      </w:r>
    </w:p>
    <w:p>
      <w:pPr>
        <w:pStyle w:val="ListBullet"/>
      </w:pPr>
      <w:r>
        <w:t>Strategy version</w:t>
      </w:r>
    </w:p>
    <w:p>
      <w:pPr>
        <w:pStyle w:val="ListBullet"/>
      </w:pPr>
      <w:r>
        <w:t>Universe version</w:t>
      </w:r>
    </w:p>
    <w:p>
      <w:pPr>
        <w:pStyle w:val="ListBullet"/>
      </w:pPr>
      <w:r>
        <w:t>Data and decision timestamps</w:t>
      </w:r>
    </w:p>
    <w:p>
      <w:pPr>
        <w:pStyle w:val="ListBullet"/>
      </w:pPr>
      <w:r>
        <w:t>Data-source identity</w:t>
      </w:r>
    </w:p>
    <w:p>
      <w:pPr>
        <w:pStyle w:val="ListBullet"/>
      </w:pPr>
      <w:r>
        <w:t>Lookahead-safe feature declaration</w:t>
      </w:r>
    </w:p>
    <w:p>
      <w:pPr>
        <w:pStyle w:val="Heading1"/>
      </w:pPr>
      <w:r>
        <w:t>15. Confidence Calibration</w:t>
      </w:r>
    </w:p>
    <w:p>
      <w:r>
        <w:t>External systems use confidence thresholds, but a displayed 70% or 89% is not automatically a 70% or 89% probability.</w:t>
      </w:r>
    </w:p>
    <w:p>
      <w:pPr>
        <w:pStyle w:val="ListBullet"/>
      </w:pPr>
      <w:r>
        <w:t>Bucket predictions by confidence.</w:t>
      </w:r>
    </w:p>
    <w:p>
      <w:pPr>
        <w:pStyle w:val="ListBullet"/>
      </w:pPr>
      <w:r>
        <w:t>Measure observed outcomes in each bucket.</w:t>
      </w:r>
    </w:p>
    <w:p>
      <w:pPr>
        <w:pStyle w:val="ListBullet"/>
      </w:pPr>
      <w:r>
        <w:t>Track calibration over time and by regime.</w:t>
      </w:r>
    </w:p>
    <w:p>
      <w:pPr>
        <w:pStyle w:val="ListBullet"/>
      </w:pPr>
      <w:r>
        <w:t>Use calibrated confidence as evidence, not as proof.</w:t>
      </w:r>
    </w:p>
    <w:p>
      <w:pPr>
        <w:pStyle w:val="Heading1"/>
      </w:pPr>
      <w:r>
        <w:t>16. Strategy Drift &amp; Retirement</w:t>
      </w:r>
    </w:p>
    <w:p>
      <w:pPr>
        <w:pStyle w:val="ListBullet"/>
      </w:pPr>
      <w:r>
        <w:t>Market drift: volatility, correlation, liquidity and regime.</w:t>
      </w:r>
    </w:p>
    <w:p>
      <w:pPr>
        <w:pStyle w:val="ListBullet"/>
      </w:pPr>
      <w:r>
        <w:t>Feature drift: distribution changes in important inputs.</w:t>
      </w:r>
    </w:p>
    <w:p>
      <w:pPr>
        <w:pStyle w:val="ListBullet"/>
      </w:pPr>
      <w:r>
        <w:t>Performance drift: rolling expectancy, PF, MFE/MAE and drawdown.</w:t>
      </w:r>
    </w:p>
    <w:p>
      <w:pPr>
        <w:pStyle w:val="ListBullet"/>
      </w:pPr>
      <w:r>
        <w:t>Execution drift: spread, slippage, fills and API behavior.</w:t>
      </w:r>
    </w:p>
    <w:p>
      <w:r>
        <w:t>A degraded strategy should move toward research review or paper-only operation rather than silently rewriting itself.</w:t>
      </w:r>
    </w:p>
    <w:p>
      <w:pPr>
        <w:pStyle w:val="Heading1"/>
      </w:pPr>
      <w:r>
        <w:t>17. Deterministic Execution Requirements</w:t>
      </w:r>
    </w:p>
    <w:p>
      <w:pPr>
        <w:pStyle w:val="ListBullet"/>
      </w:pPr>
      <w:r>
        <w:t>AI proposes; deterministic code disposes.</w:t>
      </w:r>
    </w:p>
    <w:p>
      <w:pPr>
        <w:pStyle w:val="ListBullet"/>
      </w:pPr>
      <w:r>
        <w:t>Use controlled strategy/instrument IDs.</w:t>
      </w:r>
    </w:p>
    <w:p>
      <w:pPr>
        <w:pStyle w:val="ListBullet"/>
      </w:pPr>
      <w:r>
        <w:t>Use durable idempotency keys.</w:t>
      </w:r>
    </w:p>
    <w:p>
      <w:pPr>
        <w:pStyle w:val="ListBullet"/>
      </w:pPr>
      <w:r>
        <w:t>Maintain explicit order and position state machines.</w:t>
      </w:r>
    </w:p>
    <w:p>
      <w:pPr>
        <w:pStyle w:val="ListBullet"/>
      </w:pPr>
      <w:r>
        <w:t>Represent uncertain submissions as UNKNOWN and reconcile before retrying.</w:t>
      </w:r>
    </w:p>
    <w:p>
      <w:pPr>
        <w:pStyle w:val="ListBullet"/>
      </w:pPr>
      <w:r>
        <w:t>Keep kill switch and safety supervisor authoritative.</w:t>
      </w:r>
    </w:p>
    <w:p>
      <w:pPr>
        <w:pStyle w:val="ListBullet"/>
      </w:pPr>
      <w:r>
        <w:t>Maintain an auditable decision/execution ledger.</w:t>
      </w:r>
    </w:p>
    <w:p>
      <w:pPr>
        <w:pStyle w:val="Heading1"/>
      </w:pPr>
      <w:r>
        <w:t>18. Testing Upgrade</w:t>
      </w:r>
    </w:p>
    <w:p>
      <w:r>
        <w:t>Unit tests are necessary but not sufficient. AURA needs three levels.</w:t>
      </w:r>
    </w:p>
    <w:tbl>
      <w:tblPr>
        <w:tblW w:type="auto" w:w="0"/>
        <w:jc w:val="center"/>
        <w:tblLook w:firstColumn="1" w:firstRow="1" w:lastColumn="0" w:lastRow="0" w:noHBand="0" w:noVBand="1" w:val="04A0"/>
      </w:tblPr>
      <w:tblGrid>
        <w:gridCol w:w="3360"/>
        <w:gridCol w:w="3360"/>
        <w:gridCol w:w="3360"/>
      </w:tblGrid>
      <w:tr>
        <w:tc>
          <w:tcPr>
            <w:tcW w:type="dxa" w:w="3360"/>
          </w:tcPr>
          <w:p>
            <w:r>
              <w:t>Level</w:t>
            </w:r>
          </w:p>
        </w:tc>
        <w:tc>
          <w:tcPr>
            <w:tcW w:type="dxa" w:w="3360"/>
          </w:tcPr>
          <w:p>
            <w:r>
              <w:t>Purpose</w:t>
            </w:r>
          </w:p>
        </w:tc>
        <w:tc>
          <w:tcPr>
            <w:tcW w:type="dxa" w:w="3360"/>
          </w:tcPr>
          <w:p>
            <w:r>
              <w:t>Examples</w:t>
            </w:r>
          </w:p>
        </w:tc>
      </w:tr>
      <w:tr>
        <w:tc>
          <w:tcPr>
            <w:tcW w:type="dxa" w:w="3360"/>
          </w:tcPr>
          <w:p>
            <w:r>
              <w:t>Unit</w:t>
            </w:r>
          </w:p>
        </w:tc>
        <w:tc>
          <w:tcPr>
            <w:tcW w:type="dxa" w:w="3360"/>
          </w:tcPr>
          <w:p>
            <w:r>
              <w:t>Function correctness</w:t>
            </w:r>
          </w:p>
        </w:tc>
        <w:tc>
          <w:tcPr>
            <w:tcW w:type="dxa" w:w="3360"/>
          </w:tcPr>
          <w:p>
            <w:r>
              <w:t>Indicators, scoring, risk calculations</w:t>
            </w:r>
          </w:p>
        </w:tc>
      </w:tr>
      <w:tr>
        <w:tc>
          <w:tcPr>
            <w:tcW w:type="dxa" w:w="3360"/>
          </w:tcPr>
          <w:p>
            <w:r>
              <w:t>Integration</w:t>
            </w:r>
          </w:p>
        </w:tc>
        <w:tc>
          <w:tcPr>
            <w:tcW w:type="dxa" w:w="3360"/>
          </w:tcPr>
          <w:p>
            <w:r>
              <w:t>Data/contract flow</w:t>
            </w:r>
          </w:p>
        </w:tc>
        <w:tc>
          <w:tcPr>
            <w:tcW w:type="dxa" w:w="3360"/>
          </w:tcPr>
          <w:p>
            <w:r>
              <w:t>Market State → Signal → Risk → Position</w:t>
            </w:r>
          </w:p>
        </w:tc>
      </w:tr>
      <w:tr>
        <w:tc>
          <w:tcPr>
            <w:tcW w:type="dxa" w:w="3360"/>
          </w:tcPr>
          <w:p>
            <w:r>
              <w:t>Adversarial E2E</w:t>
            </w:r>
          </w:p>
        </w:tc>
        <w:tc>
          <w:tcPr>
            <w:tcW w:type="dxa" w:w="3360"/>
          </w:tcPr>
          <w:p>
            <w:r>
              <w:t>System resilience</w:t>
            </w:r>
          </w:p>
        </w:tc>
        <w:tc>
          <w:tcPr>
            <w:tcW w:type="dxa" w:w="3360"/>
          </w:tcPr>
          <w:p>
            <w:r>
              <w:t>Stale/missing data, duplicate intent, wrong symbol, partial fill, uncertain submit, reconciliation failure</w:t>
            </w:r>
          </w:p>
        </w:tc>
      </w:tr>
    </w:tbl>
    <w:p>
      <w:pPr>
        <w:pStyle w:val="Heading1"/>
      </w:pPr>
      <w:r>
        <w:t>19. Recommended Development Priorities</w:t>
      </w:r>
    </w:p>
    <w:p>
      <w:pPr>
        <w:pStyle w:val="Heading2"/>
      </w:pPr>
      <w:r>
        <w:t>P0 — Deterministic Foundation</w:t>
      </w:r>
    </w:p>
    <w:p>
      <w:pPr>
        <w:pStyle w:val="ListBullet"/>
      </w:pPr>
      <w:r>
        <w:t>Complete architecture/contract alignment and end-to-end dry run.</w:t>
      </w:r>
    </w:p>
    <w:p>
      <w:pPr>
        <w:pStyle w:val="ListBullet"/>
      </w:pPr>
      <w:r>
        <w:t>Strengthen adversarial tests and fail-closed behavior.</w:t>
      </w:r>
    </w:p>
    <w:p>
      <w:pPr>
        <w:pStyle w:val="ListBullet"/>
      </w:pPr>
      <w:r>
        <w:t>Complete position/execution reconciliation and durable idempotency.</w:t>
      </w:r>
    </w:p>
    <w:p>
      <w:pPr>
        <w:pStyle w:val="ListBullet"/>
      </w:pPr>
      <w:r>
        <w:t>Repair and rerun the permutation drawdown calculation before relying on that comparison.</w:t>
      </w:r>
    </w:p>
    <w:p>
      <w:pPr>
        <w:pStyle w:val="Heading2"/>
      </w:pPr>
      <w:r>
        <w:t>P1 — Research Plane</w:t>
      </w:r>
    </w:p>
    <w:p>
      <w:pPr>
        <w:pStyle w:val="ListBullet"/>
      </w:pPr>
      <w:r>
        <w:t>Hypothesis Registry</w:t>
      </w:r>
    </w:p>
    <w:p>
      <w:pPr>
        <w:pStyle w:val="ListBullet"/>
      </w:pPr>
      <w:r>
        <w:t>Strategy DNA and lifecycle state machine</w:t>
      </w:r>
    </w:p>
    <w:p>
      <w:pPr>
        <w:pStyle w:val="ListBullet"/>
      </w:pPr>
      <w:r>
        <w:t>Research Gate</w:t>
      </w:r>
    </w:p>
    <w:p>
      <w:pPr>
        <w:pStyle w:val="ListBullet"/>
      </w:pPr>
      <w:r>
        <w:t>Feature Registry and provenance</w:t>
      </w:r>
    </w:p>
    <w:p>
      <w:pPr>
        <w:pStyle w:val="ListBullet"/>
      </w:pPr>
      <w:r>
        <w:t>Standardized validation scorecards</w:t>
      </w:r>
    </w:p>
    <w:p>
      <w:pPr>
        <w:pStyle w:val="Heading2"/>
      </w:pPr>
      <w:r>
        <w:t>P2 — Market Intelligence</w:t>
      </w:r>
    </w:p>
    <w:p>
      <w:pPr>
        <w:pStyle w:val="ListBullet"/>
      </w:pPr>
      <w:r>
        <w:t>Market regime layer</w:t>
      </w:r>
    </w:p>
    <w:p>
      <w:pPr>
        <w:pStyle w:val="ListBullet"/>
      </w:pPr>
      <w:r>
        <w:t>Cross-sectional asset ranking</w:t>
      </w:r>
    </w:p>
    <w:p>
      <w:pPr>
        <w:pStyle w:val="ListBullet"/>
      </w:pPr>
      <w:r>
        <w:t>Liquidity/volatility/derivatives context</w:t>
      </w:r>
    </w:p>
    <w:p>
      <w:pPr>
        <w:pStyle w:val="ListBullet"/>
      </w:pPr>
      <w:r>
        <w:t>Candidate and skip/opportunity ledger</w:t>
      </w:r>
    </w:p>
    <w:p>
      <w:pPr>
        <w:pStyle w:val="Heading2"/>
      </w:pPr>
      <w:r>
        <w:t>P3 — Learning &amp; Monitoring</w:t>
      </w:r>
    </w:p>
    <w:p>
      <w:pPr>
        <w:pStyle w:val="ListBullet"/>
      </w:pPr>
      <w:r>
        <w:t>Bounded adaptive learning</w:t>
      </w:r>
    </w:p>
    <w:p>
      <w:pPr>
        <w:pStyle w:val="ListBullet"/>
      </w:pPr>
      <w:r>
        <w:t>System-health/anomaly watchdog</w:t>
      </w:r>
    </w:p>
    <w:p>
      <w:pPr>
        <w:pStyle w:val="ListBullet"/>
      </w:pPr>
      <w:r>
        <w:t>Market/feature/performance drift detection</w:t>
      </w:r>
    </w:p>
    <w:p>
      <w:pPr>
        <w:pStyle w:val="ListBullet"/>
      </w:pPr>
      <w:r>
        <w:t>Strategy degradation and retirement workflow</w:t>
      </w:r>
    </w:p>
    <w:p>
      <w:pPr>
        <w:pStyle w:val="Heading2"/>
      </w:pPr>
      <w:r>
        <w:t>P4 — Advanced Research</w:t>
      </w:r>
    </w:p>
    <w:p>
      <w:pPr>
        <w:pStyle w:val="ListBullet"/>
      </w:pPr>
      <w:r>
        <w:t>Counterfactual opportunity analysis</w:t>
      </w:r>
    </w:p>
    <w:p>
      <w:pPr>
        <w:pStyle w:val="ListBullet"/>
      </w:pPr>
      <w:r>
        <w:t>MFE/MAE path research</w:t>
      </w:r>
    </w:p>
    <w:p>
      <w:pPr>
        <w:pStyle w:val="ListBullet"/>
      </w:pPr>
      <w:r>
        <w:t>Exit-mechanism research</w:t>
      </w:r>
    </w:p>
    <w:p>
      <w:pPr>
        <w:pStyle w:val="ListBullet"/>
      </w:pPr>
      <w:r>
        <w:t>Cross-asset concentration/factor risk</w:t>
      </w:r>
    </w:p>
    <w:p>
      <w:pPr>
        <w:pStyle w:val="Heading1"/>
      </w:pPr>
      <w:r>
        <w:t>20. What We Should Not Copy</w:t>
      </w:r>
    </w:p>
    <w:p>
      <w:pPr>
        <w:pStyle w:val="ListBullet"/>
      </w:pPr>
      <w:r>
        <w:t>Arbitrary confidence thresholds as proof of predictive accuracy.</w:t>
      </w:r>
    </w:p>
    <w:p>
      <w:pPr>
        <w:pStyle w:val="ListBullet"/>
      </w:pPr>
      <w:r>
        <w:t>A few winning trades as proof of statistical edge.</w:t>
      </w:r>
    </w:p>
    <w:p>
      <w:pPr>
        <w:pStyle w:val="ListBullet"/>
      </w:pPr>
      <w:r>
        <w:t>Unvalidated score thresholds such as '75+ means trade'.</w:t>
      </w:r>
    </w:p>
    <w:p>
      <w:pPr>
        <w:pStyle w:val="ListBullet"/>
      </w:pPr>
      <w:r>
        <w:t>Unrestricted online learning that changes live behavior after a handful of outcomes.</w:t>
      </w:r>
    </w:p>
    <w:p>
      <w:pPr>
        <w:pStyle w:val="ListBullet"/>
      </w:pPr>
      <w:r>
        <w:t>Adding indicators simply because they are available.</w:t>
      </w:r>
    </w:p>
    <w:p>
      <w:pPr>
        <w:pStyle w:val="ListBullet"/>
      </w:pPr>
      <w:r>
        <w:t>Automatically optimizing until historical PF looks good.</w:t>
      </w:r>
    </w:p>
    <w:p>
      <w:pPr>
        <w:pStyle w:val="ListBullet"/>
      </w:pPr>
      <w:r>
        <w:t>Treating successful software tests as evidence that a strategy is profitable.</w:t>
      </w:r>
    </w:p>
    <w:p>
      <w:pPr>
        <w:pStyle w:val="Heading1"/>
      </w:pPr>
      <w:r>
        <w:t>21. Target End-State</w:t>
      </w:r>
    </w:p>
    <w:p>
      <w:r>
        <w:t>AURA should become an autonomous research-and-execution platform, not merely an autonomous trader.</w:t>
      </w:r>
    </w:p>
    <w:p>
      <w:r>
        <w:rPr>
          <w:b/>
        </w:rPr>
        <w:t xml:space="preserve">Research intelligence: </w:t>
      </w:r>
      <w:r>
        <w:t>discovers and tests hypotheses.</w:t>
      </w:r>
    </w:p>
    <w:p>
      <w:r>
        <w:rPr>
          <w:b/>
        </w:rPr>
        <w:t xml:space="preserve">Market intelligence: </w:t>
      </w:r>
      <w:r>
        <w:t>identifies regimes and candidates.</w:t>
      </w:r>
    </w:p>
    <w:p>
      <w:r>
        <w:rPr>
          <w:b/>
        </w:rPr>
        <w:t xml:space="preserve">Frozen strategies: </w:t>
      </w:r>
      <w:r>
        <w:t>define validated trading behavior.</w:t>
      </w:r>
    </w:p>
    <w:p>
      <w:r>
        <w:rPr>
          <w:b/>
        </w:rPr>
        <w:t xml:space="preserve">Deterministic controls: </w:t>
      </w:r>
      <w:r>
        <w:t>authorize or reject every action.</w:t>
      </w:r>
    </w:p>
    <w:p>
      <w:r>
        <w:rPr>
          <w:b/>
        </w:rPr>
        <w:t xml:space="preserve">Execution/reconciliation: </w:t>
      </w:r>
      <w:r>
        <w:t>make observed venue state authoritative.</w:t>
      </w:r>
    </w:p>
    <w:p>
      <w:r>
        <w:rPr>
          <w:b/>
        </w:rPr>
        <w:t xml:space="preserve">Ledger: </w:t>
      </w:r>
      <w:r>
        <w:t>preserves the evidence.</w:t>
      </w:r>
    </w:p>
    <w:p>
      <w:r>
        <w:rPr>
          <w:b/>
        </w:rPr>
        <w:t xml:space="preserve">Learning: </w:t>
      </w:r>
      <w:r>
        <w:t>improves research without gaining authority over safety.</w:t>
      </w:r>
    </w:p>
    <w:p>
      <w:pPr>
        <w:pStyle w:val="Heading1"/>
      </w:pPr>
      <w:r>
        <w:t>Source Basis</w:t>
      </w:r>
    </w:p>
    <w:p>
      <w:r>
        <w:t>This report is based on the AURA/MEXC project research material and the three additional presentations reviewed in this conversation: AlphaPilot AI, KRAKN·AI, and AI Stock Trading Agent. Source-derived claims are kept separate from recommendations and inferences.</w:t>
      </w:r>
    </w:p>
    <w:p>
      <w:r>
        <w:t>The AlphaPilot presentation covers pages 3–10: modular pipeline, safety/duplicate protection, monitoring, exits, logging and testing claims.</w:t>
      </w:r>
    </w:p>
    <w:p>
      <w:r>
        <w:t>The KRAKN·AI presentation covers pages 3–8: multi-market operation, adaptive learning, trailing stops, concentration risk and anomaly-watchdog roadmap.</w:t>
      </w:r>
    </w:p>
    <w:p>
      <w:r>
        <w:t>The AI Stock Trading Agent presentation covers pages 3–9: features, ML model possibilities, sentiment, backtesting, risk analysis and future scope.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AURA — Research Findings &amp; Development Recommendations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