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ETFs are selected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liquidity</w:t>
      </w:r>
      <w:r w:rsidDel="00000000" w:rsidR="00000000" w:rsidRPr="00000000">
        <w:rPr>
          <w:sz w:val="24"/>
          <w:szCs w:val="24"/>
          <w:rtl w:val="0"/>
        </w:rPr>
        <w:t xml:space="preserve"> (to prevent your bot from suffering from bad fills and slippage)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expense ratios</w:t>
      </w:r>
      <w:r w:rsidDel="00000000" w:rsidR="00000000" w:rsidRPr="00000000">
        <w:rPr>
          <w:sz w:val="24"/>
          <w:szCs w:val="24"/>
          <w:rtl w:val="0"/>
        </w:rPr>
        <w:t xml:space="preserve"> (to maximize net returns).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📊 The 11 Core Sectors (GICS Pillars)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ETFs cover the 11 official sectors of the S&amp;P 500.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Street SPDR</w:t>
      </w:r>
      <w:r w:rsidDel="00000000" w:rsidR="00000000" w:rsidRPr="00000000">
        <w:rPr>
          <w:sz w:val="24"/>
          <w:szCs w:val="24"/>
          <w:rtl w:val="0"/>
        </w:rPr>
        <w:t xml:space="preserve"> suite listed below is the absolute industry standard for institutional sector rotation.</w:t>
      </w:r>
    </w:p>
    <w:tbl>
      <w:tblPr>
        <w:tblStyle w:val="Table1"/>
        <w:tblW w:w="9025.511811023624" w:type="dxa"/>
        <w:jc w:val="left"/>
        <w:tblBorders>
          <w:bottom w:color="000000" w:space="0" w:sz="0" w:val="nil"/>
        </w:tblBorders>
        <w:tblLayout w:type="fixed"/>
        <w:tblLook w:val="0600"/>
      </w:tblPr>
      <w:tblGrid>
        <w:gridCol w:w="1869.570303712036"/>
        <w:gridCol w:w="778.2201510525471"/>
        <w:gridCol w:w="2518.85457174996"/>
        <w:gridCol w:w="3858.86678450908"/>
        <w:tblGridChange w:id="0">
          <w:tblGrid>
            <w:gridCol w:w="1869.570303712036"/>
            <w:gridCol w:w="778.2201510525471"/>
            <w:gridCol w:w="2518.85457174996"/>
            <w:gridCol w:w="3858.866784509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Focus /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Technology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Apple, Microsoft, Nvidia. Massive index weight.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Financials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Financial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Mega-banks (JPM, BAC), insurance, Wall Street.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Health Care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Defensive giants (LLY, UNH), pharma, medical tech.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Communications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Communication Services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Alphabet (Google), Meta, Netflix. Growth-heavy.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Consumer Disc.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Consumer Discretionary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Amazon, Tesla. Highly sensitive to consumer confidence.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Consumer Staples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Consumer Staples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Walmart, P&amp;G, Coca-Cola. Resilient during recessions.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Industrials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Aerospace (GE), machinery (CAT), rail, logistics.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Energy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Oil, gas, and consumable fuels (ExxonMobil, Chevron).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Utilities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Electricity, water, gas. High-yield, classic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safe haven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Materials Select Sector SPDR</w:t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Chemicals, metals, mining, and packaging.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Real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XLRE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 Estate Select Sector SPDR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REITs, data centers, and industrial warehouses.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⚡ Strategic Subsectors (High Beta Drivers)</w:t>
      </w:r>
    </w:p>
    <w:p w:rsidR="00000000" w:rsidDel="00000000" w:rsidP="00000000" w:rsidRDefault="00000000" w:rsidRPr="00000000" w14:paraId="0000003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your AI detects a winning core sector, it can rotate capital into these highly focused subsectors to amplify gains (e.g., buying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SMH</w:t>
      </w:r>
      <w:r w:rsidDel="00000000" w:rsidR="00000000" w:rsidRPr="00000000">
        <w:rPr>
          <w:sz w:val="24"/>
          <w:szCs w:val="24"/>
          <w:rtl w:val="0"/>
        </w:rPr>
        <w:t xml:space="preserve"> instead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XLK</w:t>
      </w:r>
      <w:r w:rsidDel="00000000" w:rsidR="00000000" w:rsidRPr="00000000">
        <w:rPr>
          <w:sz w:val="24"/>
          <w:szCs w:val="24"/>
          <w:rtl w:val="0"/>
        </w:rPr>
        <w:t xml:space="preserve"> during a major semiconductor supply squeeze).</w:t>
      </w:r>
    </w:p>
    <w:p w:rsidR="00000000" w:rsidDel="00000000" w:rsidP="00000000" w:rsidRDefault="00000000" w:rsidRPr="00000000" w14:paraId="0000003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💻 Tech &amp; Communication Subsectors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SMH</w:t>
      </w:r>
      <w:r w:rsidDel="00000000" w:rsidR="00000000" w:rsidRPr="00000000">
        <w:rPr>
          <w:sz w:val="24"/>
          <w:szCs w:val="24"/>
          <w:rtl w:val="0"/>
        </w:rPr>
        <w:t xml:space="preserve"> (VanEck Semiconductor): Microchips and semiconductors. Very high beta and the absolute engine of modern growth rallies.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IGV</w:t>
      </w:r>
      <w:r w:rsidDel="00000000" w:rsidR="00000000" w:rsidRPr="00000000">
        <w:rPr>
          <w:sz w:val="24"/>
          <w:szCs w:val="24"/>
          <w:rtl w:val="0"/>
        </w:rPr>
        <w:t xml:space="preserve"> (iShares Expanded Tech-Software): Software developers, cloud infrastructure, and SaaS models.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CIBR</w:t>
      </w:r>
      <w:r w:rsidDel="00000000" w:rsidR="00000000" w:rsidRPr="00000000">
        <w:rPr>
          <w:sz w:val="24"/>
          <w:szCs w:val="24"/>
          <w:rtl w:val="0"/>
        </w:rPr>
        <w:t xml:space="preserve"> (First Trust Nasdaq Cybersecurity): Pure-play cybersecurity firms. Often catches sudden bid waves during geopolitical tensions.</w:t>
      </w:r>
    </w:p>
    <w:p w:rsidR="00000000" w:rsidDel="00000000" w:rsidP="00000000" w:rsidRDefault="00000000" w:rsidRPr="00000000" w14:paraId="0000003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🧬 Biotech &amp; Healthcare Subsectors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XBI</w:t>
      </w:r>
      <w:r w:rsidDel="00000000" w:rsidR="00000000" w:rsidRPr="00000000">
        <w:rPr>
          <w:sz w:val="24"/>
          <w:szCs w:val="24"/>
          <w:rtl w:val="0"/>
        </w:rPr>
        <w:t xml:space="preserve"> (SPDR S&amp;P Biotech): Biotechnology (equal-weighted index). Highly volatile, micro-cap heavy, and exceptionally sensitive to interest rate cuts.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IHI</w:t>
      </w:r>
      <w:r w:rsidDel="00000000" w:rsidR="00000000" w:rsidRPr="00000000">
        <w:rPr>
          <w:sz w:val="24"/>
          <w:szCs w:val="24"/>
          <w:rtl w:val="0"/>
        </w:rPr>
        <w:t xml:space="preserve"> (iShares U.S. Medical Devices): Medical equipment and robotic surgery. Often shows steadier long-term growth than pure biotech.</w:t>
      </w:r>
    </w:p>
    <w:p w:rsidR="00000000" w:rsidDel="00000000" w:rsidP="00000000" w:rsidRDefault="00000000" w:rsidRPr="00000000" w14:paraId="0000003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🏦 Financial Subsectors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</w:t>
      </w:r>
      <w:r w:rsidDel="00000000" w:rsidR="00000000" w:rsidRPr="00000000">
        <w:rPr>
          <w:sz w:val="24"/>
          <w:szCs w:val="24"/>
          <w:rtl w:val="0"/>
        </w:rPr>
        <w:t xml:space="preserve"> (SPDR S&amp;P Regional Banking): Regional US banks. Serving as an excellent algorithmic proxy for the internal health of the US credit system.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IAI</w:t>
      </w:r>
      <w:r w:rsidDel="00000000" w:rsidR="00000000" w:rsidRPr="00000000">
        <w:rPr>
          <w:sz w:val="24"/>
          <w:szCs w:val="24"/>
          <w:rtl w:val="0"/>
        </w:rPr>
        <w:t xml:space="preserve"> (iShares U.S. Broker-Dealers): Investment banks, market makers, and stock exchanges. Tends to outperform when Mergers &amp; Acquisitions (M&amp;A) and the IPO market open up.</w:t>
      </w:r>
    </w:p>
    <w:p w:rsidR="00000000" w:rsidDel="00000000" w:rsidP="00000000" w:rsidRDefault="00000000" w:rsidRPr="00000000" w14:paraId="0000004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🏗️ Industrials, Transportation &amp; Energy Subsectors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IYT</w:t>
      </w:r>
      <w:r w:rsidDel="00000000" w:rsidR="00000000" w:rsidRPr="00000000">
        <w:rPr>
          <w:sz w:val="24"/>
          <w:szCs w:val="24"/>
          <w:rtl w:val="0"/>
        </w:rPr>
        <w:t xml:space="preserve"> (iShares U.S. Transportation): Railroads, trucking, and air freight. A vital economic leading indicator based on classic Dow Theory (shipping goods).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ITA</w:t>
      </w:r>
      <w:r w:rsidDel="00000000" w:rsidR="00000000" w:rsidRPr="00000000">
        <w:rPr>
          <w:sz w:val="24"/>
          <w:szCs w:val="24"/>
          <w:rtl w:val="0"/>
        </w:rPr>
        <w:t xml:space="preserve"> (iShares U.S. Aerospace &amp; Defense): Defense contractors and weapons manufacturers. Acts as an excellent algorithmic hedge against global conflict.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XOP</w:t>
      </w:r>
      <w:r w:rsidDel="00000000" w:rsidR="00000000" w:rsidRPr="00000000">
        <w:rPr>
          <w:sz w:val="24"/>
          <w:szCs w:val="24"/>
          <w:rtl w:val="0"/>
        </w:rPr>
        <w:t xml:space="preserve"> (SPDR S&amp;P Oil &amp; Gas Exploration): Upstream oil drilling. Moves much faster and more violently with crude oil spot prices than the broad energy sector (XLE).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🛡️ Safe Havens &amp; De-risking Vehicles</w:t>
      </w:r>
    </w:p>
    <w:p w:rsidR="00000000" w:rsidDel="00000000" w:rsidP="00000000" w:rsidRDefault="00000000" w:rsidRPr="00000000" w14:paraId="0000004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your bot triggers a "Risk-Off" regime signal, these are the primary destinations to park capital and preserve equity: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GLD</w:t>
      </w:r>
      <w:r w:rsidDel="00000000" w:rsidR="00000000" w:rsidRPr="00000000">
        <w:rPr>
          <w:sz w:val="24"/>
          <w:szCs w:val="24"/>
          <w:rtl w:val="0"/>
        </w:rPr>
        <w:t xml:space="preserve"> (SPDR Gold Shares): Physical gold bullion. Protects against systemic banking fears, extreme volatility, and currency degradation.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TLT</w:t>
      </w:r>
      <w:r w:rsidDel="00000000" w:rsidR="00000000" w:rsidRPr="00000000">
        <w:rPr>
          <w:sz w:val="24"/>
          <w:szCs w:val="24"/>
          <w:rtl w:val="0"/>
        </w:rPr>
        <w:t xml:space="preserve"> (iShares 20+ Year Treasury Bond): Long-term US government bonds. Historically surges during a stock market crash as institutional capital seeks safety and interest rates plummet.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BIL</w:t>
      </w:r>
      <w:r w:rsidDel="00000000" w:rsidR="00000000" w:rsidRPr="00000000">
        <w:rPr>
          <w:sz w:val="24"/>
          <w:szCs w:val="24"/>
          <w:rtl w:val="0"/>
        </w:rPr>
        <w:t xml:space="preserve"> (SPDR Bloomberg 1-3 Month T-Bill): Ultra-short cash equivalents. Used for a pure "cash-parking" strategy to yield daily interest risk-free while the AI waits for a new market uptrend to form.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