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Market Signal Gates — Team Update</w:t>
      </w:r>
    </w:p>
    <w:p>
      <w:pPr>
        <w:spacing w:after="300"/>
      </w:pPr>
      <w:r>
        <w:rPr>
          <w:color w:val="6B7280"/>
          <w:sz w:val="24"/>
          <w:szCs w:val="24"/>
        </w:rPr>
        <w:t xml:space="preserve">Adding an Earnings Gate to the AI trading automation</w:t>
      </w:r>
    </w:p>
    <w:p>
      <w:pPr>
        <w:pBdr>
          <w:bottom w:val="single" w:color="CBD5E1" w:sz="6" w:space="4"/>
        </w:pBdr>
        <w:spacing w:after="200"/>
      </w:pPr>
    </w:p>
    <w:p>
      <w:pPr>
        <w:pStyle w:val="Heading1"/>
        <w:spacing w:after="150" w:before="300"/>
      </w:pPr>
      <w:r>
        <w:t xml:space="preserve">Overview</w:t>
      </w:r>
    </w:p>
    <w:p>
      <w:pPr>
        <w:spacing w:after="120"/>
      </w:pPr>
      <w:r>
        <w:t xml:space="preserve">The trading automation is being built around a set of independent “gates” — signal layers that feed context into trading decisions. Two are complete (stock and crypto signal gates); a third, the Earnings Gate, is now in progress. This document summarizes all three so the team has the full picture.</w:t>
      </w:r>
    </w:p>
    <w:p>
      <w:pPr>
        <w:pStyle w:val="Heading1"/>
        <w:spacing w:after="150" w:before="300"/>
      </w:pPr>
      <w:r>
        <w:t xml:space="preserve">Status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00"/>
      </w:tblGrid>
      <w:tr>
        <w:trPr>
          <w:tblHeader/>
        </w:trPr>
        <w:tc>
          <w:tcPr>
            <w:tcW w:type="dxa" w:w="3200"/>
            <w:shd w:fill="1F2937" w:val="clear"/>
          </w:tcPr>
          <w:p>
            <w:r>
              <w:rPr>
                <w:b/>
                <w:bCs/>
                <w:color w:val="FFFFFF"/>
              </w:rPr>
              <w:t xml:space="preserve">Gate</w:t>
            </w:r>
          </w:p>
        </w:tc>
        <w:tc>
          <w:tcPr>
            <w:tcW w:type="dxa" w:w="2600"/>
            <w:shd w:fill="1F2937" w:val="clear"/>
          </w:tcPr>
          <w:p>
            <w:r>
              <w:rPr>
                <w:b/>
                <w:bCs/>
                <w:color w:val="FFFFFF"/>
              </w:rPr>
              <w:t xml:space="preserve">Status</w:t>
            </w:r>
          </w:p>
        </w:tc>
        <w:tc>
          <w:tcPr>
            <w:tcW w:type="dxa" w:w="3500"/>
            <w:shd w:fill="1F2937" w:val="clear"/>
          </w:tcPr>
          <w:p>
            <w:r>
              <w:rPr>
                <w:b/>
                <w:bCs/>
                <w:color w:val="FFFFFF"/>
              </w:rPr>
              <w:t xml:space="preserve">Behavior</w:t>
            </w:r>
          </w:p>
        </w:tc>
      </w:tr>
      <w:tr>
        <w:tc>
          <w:tcPr>
            <w:tcW w:type="dxa" w:w="3200"/>
          </w:tcPr>
          <w:p>
            <w:r>
              <w:t xml:space="preserve">Stock Signal Gate</w:t>
            </w:r>
          </w:p>
        </w:tc>
        <w:tc>
          <w:tcPr>
            <w:tcW w:type="dxa" w:w="2600"/>
          </w:tcPr>
          <w:p>
            <w:r>
              <w:t xml:space="preserve">Complete</w:t>
            </w:r>
          </w:p>
        </w:tc>
        <w:tc>
          <w:tcPr>
            <w:tcW w:type="dxa" w:w="3500"/>
          </w:tcPr>
          <w:p>
            <w:r>
              <w:t xml:space="preserve">Log/alert only</w:t>
            </w:r>
          </w:p>
        </w:tc>
      </w:tr>
      <w:tr>
        <w:tc>
          <w:tcPr>
            <w:tcW w:type="dxa" w:w="3200"/>
          </w:tcPr>
          <w:p>
            <w:r>
              <w:t xml:space="preserve">Crypto Signal Gate</w:t>
            </w:r>
          </w:p>
        </w:tc>
        <w:tc>
          <w:tcPr>
            <w:tcW w:type="dxa" w:w="2600"/>
          </w:tcPr>
          <w:p>
            <w:r>
              <w:t xml:space="preserve">Complete</w:t>
            </w:r>
          </w:p>
        </w:tc>
        <w:tc>
          <w:tcPr>
            <w:tcW w:type="dxa" w:w="3500"/>
          </w:tcPr>
          <w:p>
            <w:r>
              <w:t xml:space="preserve">Log/alert only</w:t>
            </w:r>
          </w:p>
        </w:tc>
      </w:tr>
      <w:tr>
        <w:tc>
          <w:tcPr>
            <w:tcW w:type="dxa" w:w="3200"/>
          </w:tcPr>
          <w:p>
            <w:r>
              <w:t xml:space="preserve">Earnings Gate</w:t>
            </w:r>
          </w:p>
        </w:tc>
        <w:tc>
          <w:tcPr>
            <w:tcW w:type="dxa" w:w="2600"/>
          </w:tcPr>
          <w:p>
            <w:r>
              <w:t xml:space="preserve">In progress</w:t>
            </w:r>
          </w:p>
        </w:tc>
        <w:tc>
          <w:tcPr>
            <w:tcW w:type="dxa" w:w="3500"/>
          </w:tcPr>
          <w:p>
            <w:r>
              <w:t xml:space="preserve">Hard block (new)</w:t>
            </w:r>
          </w:p>
        </w:tc>
      </w:tr>
    </w:tbl>
    <w:p>
      <w:pPr>
        <w:pStyle w:val="Heading1"/>
        <w:spacing w:after="150" w:before="300"/>
      </w:pPr>
      <w:r>
        <w:t xml:space="preserve">1. Stock Signal Gate — Complete</w:t>
      </w:r>
    </w:p>
    <w:p>
      <w:pPr>
        <w:pStyle w:val="ListParagraph"/>
        <w:numPr>
          <w:ilvl w:val="0"/>
          <w:numId w:val="2"/>
        </w:numPr>
        <w:spacing w:after="60"/>
      </w:pPr>
      <w:r>
        <w:t xml:space="preserve">Scans the S&amp;P 500 + Nasdaq 100 + Dow 30 (~600 tickers) via the Unusual Whales API</w:t>
      </w:r>
    </w:p>
    <w:p>
      <w:pPr>
        <w:pStyle w:val="ListParagraph"/>
        <w:numPr>
          <w:ilvl w:val="0"/>
          <w:numId w:val="2"/>
        </w:numPr>
        <w:spacing w:after="60"/>
      </w:pPr>
      <w:r>
        <w:t xml:space="preserve">Flags unusual options premium flow, ranks by signal strength</w:t>
      </w:r>
    </w:p>
    <w:p>
      <w:pPr>
        <w:pStyle w:val="ListParagraph"/>
        <w:numPr>
          <w:ilvl w:val="0"/>
          <w:numId w:val="2"/>
        </w:numPr>
        <w:spacing w:after="60"/>
      </w:pPr>
      <w:r>
        <w:t xml:space="preserve">Log/alert only — does not place, block, or resize trades</w:t>
      </w:r>
    </w:p>
    <w:p>
      <w:pPr>
        <w:pStyle w:val="ListParagraph"/>
        <w:numPr>
          <w:ilvl w:val="0"/>
          <w:numId w:val="2"/>
        </w:numPr>
        <w:spacing w:after="60"/>
      </w:pPr>
      <w:r>
        <w:t xml:space="preserve">Dashboard: http://localhost:8788</w:t>
      </w:r>
    </w:p>
    <w:p>
      <w:pPr>
        <w:pStyle w:val="Heading1"/>
        <w:spacing w:after="150" w:before="300"/>
      </w:pPr>
      <w:r>
        <w:t xml:space="preserve">2. Crypto Signal Gate — Complete</w:t>
      </w:r>
    </w:p>
    <w:p>
      <w:pPr>
        <w:pStyle w:val="ListParagraph"/>
        <w:numPr>
          <w:ilvl w:val="0"/>
          <w:numId w:val="2"/>
        </w:numPr>
        <w:spacing w:after="60"/>
      </w:pPr>
      <w:r>
        <w:t xml:space="preserve">Tracks BTC, ETH, SOL and other core pairs via the CoinGlass API</w:t>
      </w:r>
    </w:p>
    <w:p>
      <w:pPr>
        <w:pStyle w:val="ListParagraph"/>
        <w:numPr>
          <w:ilvl w:val="0"/>
          <w:numId w:val="2"/>
        </w:numPr>
        <w:spacing w:after="60"/>
      </w:pPr>
      <w:r>
        <w:t xml:space="preserve">Flags extreme funding rates, OI/price divergence, and large orders</w:t>
      </w:r>
    </w:p>
    <w:p>
      <w:pPr>
        <w:pStyle w:val="ListParagraph"/>
        <w:numPr>
          <w:ilvl w:val="0"/>
          <w:numId w:val="2"/>
        </w:numPr>
        <w:spacing w:after="60"/>
      </w:pPr>
      <w:r>
        <w:t xml:space="preserve">Log/alert only — does not place, block, or resize trades</w:t>
      </w:r>
    </w:p>
    <w:p>
      <w:pPr>
        <w:pStyle w:val="ListParagraph"/>
        <w:numPr>
          <w:ilvl w:val="0"/>
          <w:numId w:val="2"/>
        </w:numPr>
        <w:spacing w:after="60"/>
      </w:pPr>
      <w:r>
        <w:t xml:space="preserve">Dashboard: http://localhost:8789</w:t>
      </w:r>
    </w:p>
    <w:p>
      <w:pPr>
        <w:pStyle w:val="Heading1"/>
        <w:spacing w:after="150" w:before="300"/>
      </w:pPr>
      <w:r>
        <w:t xml:space="preserve">3. Earnings Gate — In Progress</w:t>
      </w:r>
    </w:p>
    <w:p>
      <w:pPr>
        <w:spacing w:after="120"/>
      </w:pPr>
      <w:r>
        <w:t xml:space="preserve">Unlike the other two, this gate is designed to actively block trading, not just flag it. It gathers consensus earnings estimates, compares them to actual reported results once released, and prevents the bot from opening or holding a position through a company's scheduled earnings report — the period with the highest gap-risk from unpredictable post-earnings price moves.</w:t>
      </w:r>
    </w:p>
    <w:p>
      <w:pPr>
        <w:pStyle w:val="Heading2"/>
        <w:spacing w:after="100" w:before="240"/>
      </w:pPr>
      <w:r>
        <w:t xml:space="preserve">What it does</w:t>
      </w:r>
    </w:p>
    <w:p>
      <w:pPr>
        <w:pStyle w:val="ListParagraph"/>
        <w:numPr>
          <w:ilvl w:val="0"/>
          <w:numId w:val="2"/>
        </w:numPr>
        <w:spacing w:after="60"/>
      </w:pPr>
      <w:r>
        <w:t xml:space="preserve">Pulls the earnings calendar (estimated EPS, actual EPS, report timing) for the same ~600-ticker universe via the Financial Modeling Prep API</w:t>
      </w:r>
    </w:p>
    <w:p>
      <w:pPr>
        <w:pStyle w:val="ListParagraph"/>
        <w:numPr>
          <w:ilvl w:val="0"/>
          <w:numId w:val="2"/>
        </w:numPr>
        <w:spacing w:after="60"/>
      </w:pPr>
      <w:r>
        <w:t xml:space="preserve">Computes each ticker's earnings surprise (actual vs. estimate) once results land</w:t>
      </w:r>
    </w:p>
    <w:p>
      <w:pPr>
        <w:pStyle w:val="ListParagraph"/>
        <w:numPr>
          <w:ilvl w:val="0"/>
          <w:numId w:val="2"/>
        </w:numPr>
        <w:spacing w:after="60"/>
      </w:pPr>
      <w:r>
        <w:t xml:space="preserve">Computes a no-trade blackout window per ticker, using the real NYSE trading calendar (holidays included):</w:t>
      </w:r>
    </w:p>
    <w:p>
      <w:pPr>
        <w:pStyle w:val="ListParagraph"/>
        <w:numPr>
          <w:ilvl w:val="1"/>
          <w:numId w:val="2"/>
        </w:numPr>
        <w:spacing w:after="60"/>
      </w:pPr>
      <w:r>
        <w:t xml:space="preserve">Reports before market open: blocked from the prior trading day's close through the report day's close</w:t>
      </w:r>
    </w:p>
    <w:p>
      <w:pPr>
        <w:pStyle w:val="ListParagraph"/>
        <w:numPr>
          <w:ilvl w:val="1"/>
          <w:numId w:val="2"/>
        </w:numPr>
        <w:spacing w:after="60"/>
      </w:pPr>
      <w:r>
        <w:t xml:space="preserve">Reports after market close: blocked from the report day's close through the next trading day's close</w:t>
      </w:r>
    </w:p>
    <w:p>
      <w:pPr>
        <w:pStyle w:val="ListParagraph"/>
        <w:numPr>
          <w:ilvl w:val="0"/>
          <w:numId w:val="2"/>
        </w:numPr>
        <w:spacing w:after="60"/>
      </w:pPr>
      <w:r>
        <w:t xml:space="preserve">Publishes a live blocklist the bot can check before every trade decision</w:t>
      </w:r>
    </w:p>
    <w:p>
      <w:pPr>
        <w:pStyle w:val="Heading2"/>
        <w:spacing w:after="100" w:before="240"/>
      </w:pPr>
      <w:r>
        <w:t xml:space="preserve">Build status</w:t>
      </w:r>
    </w:p>
    <w:p>
      <w:pPr>
        <w:pStyle w:val="ListParagraph"/>
        <w:numPr>
          <w:ilvl w:val="0"/>
          <w:numId w:val="2"/>
        </w:numPr>
        <w:spacing w:after="60"/>
      </w:pPr>
      <w:r>
        <w:t xml:space="preserve">Done: API client (with mock-mode fallback), blackout window calculator, scanner (calendar pull + surprise calc + blocklist output)</w:t>
      </w:r>
    </w:p>
    <w:p>
      <w:pPr>
        <w:pStyle w:val="ListParagraph"/>
        <w:numPr>
          <w:ilvl w:val="0"/>
          <w:numId w:val="2"/>
        </w:numPr>
        <w:spacing w:after="60"/>
      </w:pPr>
      <w:r>
        <w:t xml:space="preserve">Remaining: bot-facing integration function, dashboard (matching the other two, port 8790), universe wiring, end-to-end smoke test, README</w:t>
      </w:r>
    </w:p>
    <w:p>
      <w:pPr>
        <w:pStyle w:val="ListParagraph"/>
        <w:numPr>
          <w:ilvl w:val="0"/>
          <w:numId w:val="2"/>
        </w:numPr>
        <w:spacing w:after="60"/>
      </w:pPr>
      <w:r>
        <w:t xml:space="preserve">Not yet using a live API key — running against synthetic mock data during development</w:t>
      </w:r>
    </w:p>
    <w:p>
      <w:pPr>
        <w:pStyle w:val="Heading1"/>
        <w:spacing w:after="150" w:before="300"/>
      </w:pPr>
      <w:r>
        <w:t xml:space="preserve">Next steps</w:t>
      </w:r>
    </w:p>
    <w:p>
      <w:pPr>
        <w:pStyle w:val="ListParagraph"/>
        <w:numPr>
          <w:ilvl w:val="0"/>
          <w:numId w:val="2"/>
        </w:numPr>
        <w:spacing w:after="60"/>
      </w:pPr>
      <w:r>
        <w:t xml:space="preserve">Finish and smoke-test the Earnings Gate build</w:t>
      </w:r>
    </w:p>
    <w:p>
      <w:pPr>
        <w:pStyle w:val="ListParagraph"/>
        <w:numPr>
          <w:ilvl w:val="0"/>
          <w:numId w:val="2"/>
        </w:numPr>
        <w:spacing w:after="60"/>
      </w:pPr>
      <w:r>
        <w:t xml:space="preserve">Set up API keys for all three (Unusual Whales, CoinGlass, Financial Modeling Prep) and confirm live data</w:t>
      </w:r>
    </w:p>
    <w:p>
      <w:pPr>
        <w:pStyle w:val="ListParagraph"/>
        <w:numPr>
          <w:ilvl w:val="0"/>
          <w:numId w:val="2"/>
        </w:numPr>
        <w:spacing w:after="60"/>
      </w:pPr>
      <w:r>
        <w:t xml:space="preserve">Let all three run for a few days, then review thresholds and blackout timing before relying on them</w:t>
      </w:r>
    </w:p>
    <w:p>
      <w:pPr>
        <w:pStyle w:val="ListParagraph"/>
        <w:numPr>
          <w:ilvl w:val="0"/>
          <w:numId w:val="2"/>
        </w:numPr>
        <w:spacing w:after="60"/>
      </w:pPr>
      <w:r>
        <w:t xml:space="preserve">Wire the Earnings Gate's block check into the bot's order-placement logic</w:t>
      </w:r>
    </w:p>
    <w:p>
      <w:pPr>
        <w:pStyle w:val="ListParagraph"/>
        <w:numPr>
          <w:ilvl w:val="0"/>
          <w:numId w:val="2"/>
        </w:numPr>
        <w:spacing w:after="60"/>
      </w:pPr>
      <w:r>
        <w:t xml:space="preserve">Scope the remaining planned gates (risk gate, news sentiment gate)</w:t>
      </w:r>
    </w:p>
    <w:p>
      <w:pPr>
        <w:pBdr>
          <w:bottom w:val="single" w:color="CBD5E1" w:sz="6" w:space="4"/>
        </w:pBdr>
        <w:spacing w:after="200"/>
      </w:pPr>
    </w:p>
    <w:p>
      <w:pPr>
        <w:spacing w:after="120"/>
      </w:pPr>
      <w:r>
        <w:rPr>
          <w:i/>
          <w:iCs/>
          <w:color w:val="6B7280"/>
          <w:sz w:val="20"/>
          <w:szCs w:val="20"/>
        </w:rPr>
        <w:t xml:space="preserve">Prepared for internal review — Elate ApS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2026-08-31T17:37:14.007Z</dcterms:created>
  <dcterms:modified xsi:type="dcterms:W3CDTF">2026-08-31T17:37:14.020Z</dcterms:modified>
</cp:coreProperties>
</file>

<file path=docProps/custom.xml><?xml version="1.0" encoding="utf-8"?>
<Properties xmlns="http://schemas.openxmlformats.org/officeDocument/2006/custom-properties" xmlns:vt="http://schemas.openxmlformats.org/officeDocument/2006/docPropsVTypes"/>
</file>