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Market Signal Gates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Smart-money signal layer for the AI trading automation</w:t>
      </w:r>
    </w:p>
    <w:p>
      <w:pPr>
        <w:pBdr>
          <w:bottom w:val="single" w:color="CBD5E1" w:sz="6" w:space="4"/>
        </w:pBdr>
        <w:spacing w:after="200"/>
      </w:pP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We built two standalone Python scanners that surface “smart money” style market signals — unusual options flow for US stocks, and derivatives-market anomalies for crypto — modeled on what a platform like Unusual Whales does for equities. Each scanner runs continuously, scores symbols for anomalous activity, logs results, and shows a live dashboard.</w:t>
      </w:r>
    </w:p>
    <w:p>
      <w:pPr>
        <w:spacing w:after="120"/>
      </w:pPr>
      <w:r>
        <w:t xml:space="preserve">These are a log/alert layer only. They do not place trades, block trades, or resize positions. The trading bot continues to decide independently; these signals are meant to be one additional input the bot (or we, manually) can weigh going forward, alongside other decision gates planned later (e.g. a risk gate, a news sentiment gate).</w:t>
      </w:r>
    </w:p>
    <w:p>
      <w:pPr>
        <w:pStyle w:val="Heading1"/>
        <w:spacing w:after="150" w:before="300"/>
      </w:pPr>
      <w:r>
        <w:t xml:space="preserve">What each one does</w:t>
      </w:r>
    </w:p>
    <w:p>
      <w:pPr>
        <w:pStyle w:val="Heading2"/>
        <w:spacing w:after="100" w:before="240"/>
      </w:pPr>
      <w:r>
        <w:t xml:space="preserve">Stock Signal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Scans the S&amp;P 500 + Nasdaq 100 + Dow 30 (deduplicated, ~600 tickers)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source: Unusual Whales API (options flow, premium, sweep/block activity)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tickers with unusual options premium flow, ranks by signal strength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both the top-ranked tickers and any ticker crossing a fixed anomaly threshold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http://localhost:8788</w:t>
      </w:r>
    </w:p>
    <w:p>
      <w:pPr>
        <w:pStyle w:val="Heading2"/>
        <w:spacing w:after="100" w:before="240"/>
      </w:pPr>
      <w:r>
        <w:t xml:space="preserve">Crypto Signal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Tracks BTC, ETH, SOL and other core pairs (configurable, includes our MEXC-traded pairs)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source: CoinGlass API (funding rates, open interest, large order book prints)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extreme funding rates, OI/price divergence, and large resting or executed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ranking + threshold approach as the stock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http://localhost:8789</w:t>
      </w:r>
    </w:p>
    <w:p>
      <w:pPr>
        <w:pStyle w:val="Heading1"/>
        <w:spacing w:after="150" w:before="300"/>
      </w:pPr>
      <w:r>
        <w:t xml:space="preserve">Architecture at a glance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00"/>
      </w:tblGrid>
      <w:tr>
        <w:trPr>
          <w:tblHeader/>
        </w:trPr>
        <w:tc>
          <w:tcPr>
            <w:tcW w:type="dxa" w:w="21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Stock Signal Gate</w:t>
            </w:r>
          </w:p>
        </w:tc>
        <w:tc>
          <w:tcPr>
            <w:tcW w:type="dxa" w:w="36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Crypto Signal Gate</w:t>
            </w:r>
          </w:p>
        </w:tc>
      </w:tr>
      <w:tr>
        <w:tc>
          <w:tcPr>
            <w:tcW w:type="dxa" w:w="2100"/>
          </w:tcPr>
          <w:p>
            <w:r>
              <w:t xml:space="preserve">Data source</w:t>
            </w:r>
          </w:p>
        </w:tc>
        <w:tc>
          <w:tcPr>
            <w:tcW w:type="dxa" w:w="3600"/>
          </w:tcPr>
          <w:p>
            <w:r>
              <w:t xml:space="preserve">Unusual Whales API</w:t>
            </w:r>
          </w:p>
        </w:tc>
        <w:tc>
          <w:tcPr>
            <w:tcW w:type="dxa" w:w="3600"/>
          </w:tcPr>
          <w:p>
            <w:r>
              <w:t xml:space="preserve">CoinGlass API</w:t>
            </w:r>
          </w:p>
        </w:tc>
      </w:tr>
      <w:tr>
        <w:tc>
          <w:tcPr>
            <w:tcW w:type="dxa" w:w="2100"/>
          </w:tcPr>
          <w:p>
            <w:r>
              <w:t xml:space="preserve">Universe</w:t>
            </w:r>
          </w:p>
        </w:tc>
        <w:tc>
          <w:tcPr>
            <w:tcW w:type="dxa" w:w="3600"/>
          </w:tcPr>
          <w:p>
            <w:r>
              <w:t xml:space="preserve">S&amp;P 500 + Nasdaq 100 + Dow (~600 tickers)</w:t>
            </w:r>
          </w:p>
        </w:tc>
        <w:tc>
          <w:tcPr>
            <w:tcW w:type="dxa" w:w="3600"/>
          </w:tcPr>
          <w:p>
            <w:r>
              <w:t xml:space="preserve">BTC/ETH/SOL + core majors + our MEXC pairs</w:t>
            </w:r>
          </w:p>
        </w:tc>
      </w:tr>
      <w:tr>
        <w:tc>
          <w:tcPr>
            <w:tcW w:type="dxa" w:w="2100"/>
          </w:tcPr>
          <w:p>
            <w:r>
              <w:t xml:space="preserve">Signal logic</w:t>
            </w:r>
          </w:p>
        </w:tc>
        <w:tc>
          <w:tcPr>
            <w:tcW w:type="dxa" w:w="3600"/>
          </w:tcPr>
          <w:p>
            <w:r>
              <w:t xml:space="preserve">Options volume/premium anomalies, net flow direction</w:t>
            </w:r>
          </w:p>
        </w:tc>
        <w:tc>
          <w:tcPr>
            <w:tcW w:type="dxa" w:w="3600"/>
          </w:tcPr>
          <w:p>
            <w:r>
              <w:t xml:space="preserve">Funding rate extremes, OI divergence, large orders</w:t>
            </w:r>
          </w:p>
        </w:tc>
      </w:tr>
      <w:tr>
        <w:tc>
          <w:tcPr>
            <w:tcW w:type="dxa" w:w="2100"/>
          </w:tcPr>
          <w:p>
            <w:r>
              <w:t xml:space="preserve">Output</w:t>
            </w:r>
          </w:p>
        </w:tc>
        <w:tc>
          <w:tcPr>
            <w:tcW w:type="dxa" w:w="3600"/>
          </w:tcPr>
          <w:p>
            <w:r>
              <w:t xml:space="preserve">Ranked signal table, raw anomaly feed, score history</w:t>
            </w:r>
          </w:p>
        </w:tc>
        <w:tc>
          <w:tcPr>
            <w:tcW w:type="dxa" w:w="3600"/>
          </w:tcPr>
          <w:p>
            <w:r>
              <w:t xml:space="preserve">Same layout, crypto-specific data</w:t>
            </w:r>
          </w:p>
        </w:tc>
      </w:tr>
      <w:tr>
        <w:tc>
          <w:tcPr>
            <w:tcW w:type="dxa" w:w="2100"/>
          </w:tcPr>
          <w:p>
            <w:r>
              <w:t xml:space="preserve">Storage</w:t>
            </w:r>
          </w:p>
        </w:tc>
        <w:tc>
          <w:tcPr>
            <w:tcW w:type="dxa" w:w="3600"/>
          </w:tcPr>
          <w:p>
            <w:r>
              <w:t xml:space="preserve">Append-only CSV log</w:t>
            </w:r>
          </w:p>
        </w:tc>
        <w:tc>
          <w:tcPr>
            <w:tcW w:type="dxa" w:w="3600"/>
          </w:tcPr>
          <w:p>
            <w:r>
              <w:t xml:space="preserve">Append-only CSV log</w:t>
            </w:r>
          </w:p>
        </w:tc>
      </w:tr>
      <w:tr>
        <w:tc>
          <w:tcPr>
            <w:tcW w:type="dxa" w:w="2100"/>
          </w:tcPr>
          <w:p>
            <w:r>
              <w:t xml:space="preserve">Bot integration</w:t>
            </w:r>
          </w:p>
        </w:tc>
        <w:tc>
          <w:tcPr>
            <w:tcW w:type="dxa" w:w="3600"/>
          </w:tcPr>
          <w:p>
            <w:r>
              <w:t xml:space="preserve">Log/alert only — no auto-trading action</w:t>
            </w:r>
          </w:p>
        </w:tc>
        <w:tc>
          <w:tcPr>
            <w:tcW w:type="dxa" w:w="3600"/>
          </w:tcPr>
          <w:p>
            <w:r>
              <w:t xml:space="preserve">Log/alert only — no auto-trading action</w:t>
            </w:r>
          </w:p>
        </w:tc>
      </w:tr>
    </w:tbl>
    <w:p>
      <w:pPr>
        <w:pStyle w:val="Heading1"/>
        <w:spacing w:after="150" w:before="300"/>
      </w:pPr>
      <w:r>
        <w:t xml:space="preserve">Current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scripts are built and smoke-tested end to end (scanning, scoring, CSV logging, and dashboard all confirmed working)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Currently run in “mock mode” with synthetic data — no paid API keys added yet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paths for both APIs are based on public documentation but not yet verified against a live paid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Scoring formulas are intentionally simple starting points; thresholds should be tuned after watching a few days of real data</w:t>
      </w:r>
    </w:p>
    <w:p>
      <w:pPr>
        <w:pStyle w:val="Heading1"/>
        <w:spacing w:after="150" w:before="300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up for API access: Unusual Whales (stocks) and CoinGlass (crypto)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API keys and confirm both dashboards are pulling live data without endpoint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both run for a few days, then review whether the anomaly thresholds need adjusting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how (and whether) to formally feed these signals into the bot's decision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the remaining planned gates (risk gate, news sentiment gate)</w:t>
      </w:r>
    </w:p>
    <w:p>
      <w:pPr>
        <w:pBdr>
          <w:bottom w:val="single" w:color="CBD5E1" w:sz="6" w:space="4"/>
        </w:pBdr>
        <w:spacing w:after="200"/>
      </w:pP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Prepared for internal review — Elate ApS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2026-08-31T08:27:53.801Z</dcterms:created>
  <dcterms:modified xsi:type="dcterms:W3CDTF">2026-08-31T08:27:53.801Z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