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 — COMPETITION CODE REVIEW SUMMARY</w:t>
        <w:br/>
      </w:r>
      <w:r>
        <w:rPr>
          <w:sz w:val="28"/>
        </w:rPr>
        <w:t>Aegis selection, public repositories, and consolidation strategy</w:t>
      </w:r>
    </w:p>
    <w:p>
      <w:pPr>
        <w:jc w:val="center"/>
      </w:pPr>
      <w:r>
        <w:rPr>
          <w:i/>
        </w:rPr>
        <w:t>3 September 2026</w:t>
      </w:r>
    </w:p>
    <w:p>
      <w:pPr>
        <w:pStyle w:val="Heading1"/>
      </w:pPr>
      <w:r>
        <w:t>1. Executive Summary</w:t>
      </w:r>
    </w:p>
    <w:p>
      <w:r>
        <w:t>The latest discussion leads to a clear recommendation: study and selectively reuse public code from the strongest competition projects, but do not simply merge their repositories into AURA. AURA should remain the controlling architecture, with useful components and patterns imported behind its deterministic contracts.</w:t>
      </w:r>
    </w:p>
    <w:p>
      <w:pPr>
        <w:pStyle w:val="Heading1"/>
      </w:pPr>
      <w:r>
        <w:t>2. Which Aegis should we prioritize?</w:t>
      </w:r>
    </w:p>
    <w:p>
      <w:r>
        <w:t>Among the Aegis-related entries in the supplied competition ranking, the primary project to prioritize is “Aegis: a trading agent you can audit” by Aegis Labs. Its auditability/evidence philosophy is especially aligned with AURA's deterministic execution boundary and the Aegis findings already identified.</w:t>
      </w:r>
    </w:p>
    <w:p>
      <w:pPr>
        <w:pStyle w:val="ListBullet"/>
      </w:pPr>
      <w:r>
        <w:t>Aegis — a trading agent you can audit (Aegis Labs): highest priority for evidence, auditability and safety architecture.</w:t>
      </w:r>
    </w:p>
    <w:p>
      <w:pPr>
        <w:pStyle w:val="ListBullet"/>
      </w:pPr>
      <w:r>
        <w:t>AegisAlpha — Autonomous Event-Driven Options Agent (Zenith): study for event-driven options design.</w:t>
      </w:r>
    </w:p>
    <w:p>
      <w:pPr>
        <w:pStyle w:val="ListBullet"/>
      </w:pPr>
      <w:r>
        <w:t>AegisAlpha — Autonomous AI Options Desk (Returnee): compare for options-desk and lifecycle ideas.</w:t>
      </w:r>
    </w:p>
    <w:p>
      <w:r>
        <w:t>This recommendation is based on architectural fit and the material reviewed, not vote count alone. The supplied ranking shows AlphaPilot AI leading the community vote, while the audit-focused Aegis project is lower.</w:t>
      </w:r>
    </w:p>
    <w:p>
      <w:pPr>
        <w:pStyle w:val="Heading1"/>
      </w:pPr>
      <w:r>
        <w:t>3. Should we download the public code?</w:t>
      </w:r>
    </w:p>
    <w:p>
      <w:r>
        <w:t>Yes. Downloading the public repositories makes sense as a structured research exercise. The objective is to create a comparison/forensics workspace, not to mix code immediately.</w:t>
      </w:r>
    </w:p>
    <w:p>
      <w:pPr>
        <w:pStyle w:val="ListBullet"/>
      </w:pPr>
      <w:r>
        <w:t>Freeze a snapshot of each repository with commit SHA/date.</w:t>
      </w:r>
    </w:p>
    <w:p>
      <w:pPr>
        <w:pStyle w:val="ListBullet"/>
      </w:pPr>
      <w:r>
        <w:t>Inventory architecture, dependencies, data sources, tests, prompts, agents and execution paths.</w:t>
      </w:r>
    </w:p>
    <w:p>
      <w:pPr>
        <w:pStyle w:val="ListBullet"/>
      </w:pPr>
      <w:r>
        <w:t>Identify components that can be reused conceptually or technically.</w:t>
      </w:r>
    </w:p>
    <w:p>
      <w:pPr>
        <w:pStyle w:val="ListBullet"/>
      </w:pPr>
      <w:r>
        <w:t>Run tests where feasible and distinguish demonstrated functionality from documentation claims.</w:t>
      </w:r>
    </w:p>
    <w:p>
      <w:pPr>
        <w:pStyle w:val="ListBullet"/>
      </w:pPr>
      <w:r>
        <w:t>Check licensing before copying code into AURA.</w:t>
      </w:r>
    </w:p>
    <w:p>
      <w:pPr>
        <w:pStyle w:val="ListBullet"/>
      </w:pPr>
      <w:r>
        <w:t>Keep imported code isolated until reviewed.</w:t>
      </w:r>
    </w:p>
    <w:p>
      <w:pPr>
        <w:pStyle w:val="ListBullet"/>
      </w:pPr>
      <w:r>
        <w:t>Never allow imported code to bypass AURA Risk Gate, Position State, Execution Preflight, reconciliation or kill switch.</w:t>
      </w:r>
    </w:p>
    <w:p>
      <w:pPr>
        <w:pStyle w:val="Heading1"/>
      </w:pPr>
      <w:r>
        <w:t>4. Priority projects for code investigation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Project</w:t>
            </w:r>
          </w:p>
        </w:tc>
        <w:tc>
          <w:tcPr>
            <w:tcW w:type="dxa" w:w="3360"/>
          </w:tcPr>
          <w:p>
            <w:r>
              <w:t>Priority</w:t>
            </w:r>
          </w:p>
        </w:tc>
        <w:tc>
          <w:tcPr>
            <w:tcW w:type="dxa" w:w="3360"/>
          </w:tcPr>
          <w:p>
            <w:r>
              <w:t>Reason</w:t>
            </w:r>
          </w:p>
        </w:tc>
      </w:tr>
      <w:tr>
        <w:tc>
          <w:tcPr>
            <w:tcW w:type="dxa" w:w="3360"/>
          </w:tcPr>
          <w:p>
            <w:r>
              <w:t>AlphaPilot AI</w:t>
            </w:r>
          </w:p>
        </w:tc>
        <w:tc>
          <w:tcPr>
            <w:tcW w:type="dxa" w:w="3360"/>
          </w:tcPr>
          <w:p>
            <w:r>
              <w:t>High</w:t>
            </w:r>
          </w:p>
        </w:tc>
        <w:tc>
          <w:tcPr>
            <w:tcW w:type="dxa" w:w="3360"/>
          </w:tcPr>
          <w:p>
            <w:r>
              <w:t>Community-leading submission; investigate complete options lifecycle, monitoring and autonomous operation.</w:t>
            </w:r>
          </w:p>
        </w:tc>
      </w:tr>
      <w:tr>
        <w:tc>
          <w:tcPr>
            <w:tcW w:type="dxa" w:w="3360"/>
          </w:tcPr>
          <w:p>
            <w:r>
              <w:t>SentryTheta AI</w:t>
            </w:r>
          </w:p>
        </w:tc>
        <w:tc>
          <w:tcPr>
            <w:tcW w:type="dxa" w:w="3360"/>
          </w:tcPr>
          <w:p>
            <w:r>
              <w:t>High</w:t>
            </w:r>
          </w:p>
        </w:tc>
        <w:tc>
          <w:tcPr>
            <w:tcW w:type="dxa" w:w="3360"/>
          </w:tcPr>
          <w:p>
            <w:r>
              <w:t>Second in community voting; investigate options/risk architecture.</w:t>
            </w:r>
          </w:p>
        </w:tc>
      </w:tr>
      <w:tr>
        <w:tc>
          <w:tcPr>
            <w:tcW w:type="dxa" w:w="3360"/>
          </w:tcPr>
          <w:p>
            <w:r>
              <w:t>Aegis</w:t>
            </w:r>
          </w:p>
        </w:tc>
        <w:tc>
          <w:tcPr>
            <w:tcW w:type="dxa" w:w="3360"/>
          </w:tcPr>
          <w:p>
            <w:r>
              <w:t>Very high</w:t>
            </w:r>
          </w:p>
        </w:tc>
        <w:tc>
          <w:tcPr>
            <w:tcW w:type="dxa" w:w="3360"/>
          </w:tcPr>
          <w:p>
            <w:r>
              <w:t>Best conceptual fit for auditability, evidence and deterministic safety.</w:t>
            </w:r>
          </w:p>
        </w:tc>
      </w:tr>
      <w:tr>
        <w:tc>
          <w:tcPr>
            <w:tcW w:type="dxa" w:w="3360"/>
          </w:tcPr>
          <w:p>
            <w:r>
              <w:t>AegisAlpha</w:t>
            </w:r>
          </w:p>
        </w:tc>
        <w:tc>
          <w:tcPr>
            <w:tcW w:type="dxa" w:w="3360"/>
          </w:tcPr>
          <w:p>
            <w:r>
              <w:t>High</w:t>
            </w:r>
          </w:p>
        </w:tc>
        <w:tc>
          <w:tcPr>
            <w:tcW w:type="dxa" w:w="3360"/>
          </w:tcPr>
          <w:p>
            <w:r>
              <w:t>Event-driven options and options-desk architecture.</w:t>
            </w:r>
          </w:p>
        </w:tc>
      </w:tr>
      <w:tr>
        <w:tc>
          <w:tcPr>
            <w:tcW w:type="dxa" w:w="3360"/>
          </w:tcPr>
          <w:p>
            <w:r>
              <w:t>Vetoed</w:t>
            </w:r>
          </w:p>
        </w:tc>
        <w:tc>
          <w:tcPr>
            <w:tcW w:type="dxa" w:w="3360"/>
          </w:tcPr>
          <w:p>
            <w:r>
              <w:t>Very high</w:t>
            </w:r>
          </w:p>
        </w:tc>
        <w:tc>
          <w:tcPr>
            <w:tcW w:type="dxa" w:w="3360"/>
          </w:tcPr>
          <w:p>
            <w:r>
              <w:t>Constrained AI, refusal-by-default and defined-risk options.</w:t>
            </w:r>
          </w:p>
        </w:tc>
      </w:tr>
      <w:tr>
        <w:tc>
          <w:tcPr>
            <w:tcW w:type="dxa" w:w="3360"/>
          </w:tcPr>
          <w:p>
            <w:r>
              <w:t>Vermilion</w:t>
            </w:r>
          </w:p>
        </w:tc>
        <w:tc>
          <w:tcPr>
            <w:tcW w:type="dxa" w:w="3360"/>
          </w:tcPr>
          <w:p>
            <w:r>
              <w:t>High</w:t>
            </w:r>
          </w:p>
        </w:tc>
        <w:tc>
          <w:tcPr>
            <w:tcW w:type="dxa" w:w="3360"/>
          </w:tcPr>
          <w:p>
            <w:r>
              <w:t>Autonomous refusal, persistence and operational governance.</w:t>
            </w:r>
          </w:p>
        </w:tc>
      </w:tr>
      <w:tr>
        <w:tc>
          <w:tcPr>
            <w:tcW w:type="dxa" w:w="3360"/>
          </w:tcPr>
          <w:p>
            <w:r>
              <w:t>BABIL</w:t>
            </w:r>
          </w:p>
        </w:tc>
        <w:tc>
          <w:tcPr>
            <w:tcW w:type="dxa" w:w="3360"/>
          </w:tcPr>
          <w:p>
            <w:r>
              <w:t>High</w:t>
            </w:r>
          </w:p>
        </w:tc>
        <w:tc>
          <w:tcPr>
            <w:tcW w:type="dxa" w:w="3360"/>
          </w:tcPr>
          <w:p>
            <w:r>
              <w:t>Privileged execution isolation.</w:t>
            </w:r>
          </w:p>
        </w:tc>
      </w:tr>
      <w:tr>
        <w:tc>
          <w:tcPr>
            <w:tcW w:type="dxa" w:w="3360"/>
          </w:tcPr>
          <w:p>
            <w:r>
              <w:t>NewsFlow Trader</w:t>
            </w:r>
          </w:p>
        </w:tc>
        <w:tc>
          <w:tcPr>
            <w:tcW w:type="dxa" w:w="3360"/>
          </w:tcPr>
          <w:p>
            <w:r>
              <w:t>Medium-high</w:t>
            </w:r>
          </w:p>
        </w:tc>
        <w:tc>
          <w:tcPr>
            <w:tcW w:type="dxa" w:w="3360"/>
          </w:tcPr>
          <w:p>
            <w:r>
              <w:t>News/event loop and operational visibility.</w:t>
            </w:r>
          </w:p>
        </w:tc>
      </w:tr>
    </w:tbl>
    <w:p>
      <w:pPr>
        <w:pStyle w:val="Heading1"/>
      </w:pPr>
      <w:r>
        <w:t>5. What we want to extract</w:t>
      </w:r>
    </w:p>
    <w:p>
      <w:pPr>
        <w:pStyle w:val="ListBullet"/>
      </w:pPr>
      <w:r>
        <w:t>Evidence/provenance architecture.</w:t>
      </w:r>
    </w:p>
    <w:p>
      <w:pPr>
        <w:pStyle w:val="ListBullet"/>
      </w:pPr>
      <w:r>
        <w:t>AI permission boundaries and constrained tool access.</w:t>
      </w:r>
    </w:p>
    <w:p>
      <w:pPr>
        <w:pStyle w:val="ListBullet"/>
      </w:pPr>
      <w:r>
        <w:t>Deterministic gates and refusal handling.</w:t>
      </w:r>
    </w:p>
    <w:p>
      <w:pPr>
        <w:pStyle w:val="ListBullet"/>
      </w:pPr>
      <w:r>
        <w:t>Defined-risk options construction and validation.</w:t>
      </w:r>
    </w:p>
    <w:p>
      <w:pPr>
        <w:pStyle w:val="ListBullet"/>
      </w:pPr>
      <w:r>
        <w:t>Position lifecycle, monitoring and exits.</w:t>
      </w:r>
    </w:p>
    <w:p>
      <w:pPr>
        <w:pStyle w:val="ListBullet"/>
      </w:pPr>
      <w:r>
        <w:t>Duplicate-order prevention and broker reconciliation.</w:t>
      </w:r>
    </w:p>
    <w:p>
      <w:pPr>
        <w:pStyle w:val="ListBullet"/>
      </w:pPr>
      <w:r>
        <w:t>Portfolio-level risk controls.</w:t>
      </w:r>
    </w:p>
    <w:p>
      <w:pPr>
        <w:pStyle w:val="ListBullet"/>
      </w:pPr>
      <w:r>
        <w:t>News/event ingestion and context processing.</w:t>
      </w:r>
    </w:p>
    <w:p>
      <w:pPr>
        <w:pStyle w:val="ListBullet"/>
      </w:pPr>
      <w:r>
        <w:t>Autonomous scheduling/event loops.</w:t>
      </w:r>
    </w:p>
    <w:p>
      <w:pPr>
        <w:pStyle w:val="ListBullet"/>
      </w:pPr>
      <w:r>
        <w:t>Dashboards and operational observability.</w:t>
      </w:r>
    </w:p>
    <w:p>
      <w:pPr>
        <w:pStyle w:val="ListBullet"/>
      </w:pPr>
      <w:r>
        <w:t>Testing, mutation testing and adversarial validation.</w:t>
      </w:r>
    </w:p>
    <w:p>
      <w:pPr>
        <w:pStyle w:val="ListBullet"/>
      </w:pPr>
      <w:r>
        <w:t>Database/state-persistence patterns.</w:t>
      </w:r>
    </w:p>
    <w:p>
      <w:pPr>
        <w:pStyle w:val="ListBullet"/>
      </w:pPr>
      <w:r>
        <w:t>Agent prompts/orchestration as research material only.</w:t>
      </w:r>
    </w:p>
    <w:p>
      <w:pPr>
        <w:pStyle w:val="Heading1"/>
      </w:pPr>
      <w:r>
        <w:t>6. What must not be copied blindly</w:t>
      </w:r>
    </w:p>
    <w:p>
      <w:pPr>
        <w:pStyle w:val="ListBullet"/>
      </w:pPr>
      <w:r>
        <w:t>Trading parameters or thresholds.</w:t>
      </w:r>
    </w:p>
    <w:p>
      <w:pPr>
        <w:pStyle w:val="ListBullet"/>
      </w:pPr>
      <w:r>
        <w:t>AI-generated order parameters.</w:t>
      </w:r>
    </w:p>
    <w:p>
      <w:pPr>
        <w:pStyle w:val="ListBullet"/>
      </w:pPr>
      <w:r>
        <w:t>Broker calls that circumvent AURA's execution adapter.</w:t>
      </w:r>
    </w:p>
    <w:p>
      <w:pPr>
        <w:pStyle w:val="ListBullet"/>
      </w:pPr>
      <w:r>
        <w:t>Unvalidated risk controls or strategy claims.</w:t>
      </w:r>
    </w:p>
    <w:p>
      <w:pPr>
        <w:pStyle w:val="ListBullet"/>
      </w:pPr>
      <w:r>
        <w:t>Paper-trading results presented as proof of alpha.</w:t>
      </w:r>
    </w:p>
    <w:p>
      <w:pPr>
        <w:pStyle w:val="ListBullet"/>
      </w:pPr>
      <w:r>
        <w:t>Backtests without out-of-sample/cost/slippage validation.</w:t>
      </w:r>
    </w:p>
    <w:p>
      <w:pPr>
        <w:pStyle w:val="ListBullet"/>
      </w:pPr>
      <w:r>
        <w:t>Broker/session/market assumptions that do not fit AURA.</w:t>
      </w:r>
    </w:p>
    <w:p>
      <w:pPr>
        <w:pStyle w:val="ListBullet"/>
      </w:pPr>
      <w:r>
        <w:t>Dashboard controls with direct execution authority.</w:t>
      </w:r>
    </w:p>
    <w:p>
      <w:pPr>
        <w:pStyle w:val="ListBullet"/>
      </w:pPr>
      <w:r>
        <w:t>Code with incompatible or unclear licensing.</w:t>
      </w:r>
    </w:p>
    <w:p>
      <w:pPr>
        <w:pStyle w:val="Heading1"/>
      </w:pPr>
      <w:r>
        <w:t>7. Combined AURA direction</w:t>
      </w:r>
    </w:p>
    <w:p>
      <w:r>
        <w:t>The target is not “AURA + several bots”. It is one multi-asset quantitative research and execution platform with a common control plane.</w:t>
      </w:r>
    </w:p>
    <w:p>
      <w:r>
        <w:rPr>
          <w:rFonts w:ascii="Consolas" w:hAnsi="Consolas"/>
          <w:sz w:val="18"/>
        </w:rPr>
        <w:t>AI Research → Evidence → Validation → Strategy Registry → Research Promotion Gate → Market State → Signal Decision → Risk Gate → Position State → Execution Specification → Execution Preflight → Asset Adapter → Broker/Exchange → Reconciliation → Ledger</w:t>
      </w:r>
    </w:p>
    <w:p>
      <w:pPr>
        <w:pStyle w:val="Heading1"/>
      </w:pPr>
      <w:r>
        <w:t>8. Asset strategy</w:t>
      </w:r>
    </w:p>
    <w:p>
      <w:pPr>
        <w:pStyle w:val="ListBullet"/>
      </w:pPr>
      <w:r>
        <w:t>Crypto: retain AURA's research discipline and add validated flow/funding/OI/regime/context features.</w:t>
      </w:r>
    </w:p>
    <w:p>
      <w:pPr>
        <w:pStyle w:val="ListBullet"/>
      </w:pPr>
      <w:r>
        <w:t>Stocks: use DELTAX_v2-style screening, news, earnings and portfolio-risk ideas.</w:t>
      </w:r>
    </w:p>
    <w:p>
      <w:pPr>
        <w:pStyle w:val="ListBullet"/>
      </w:pPr>
      <w:r>
        <w:t>Options: combine DELTAX/competition defined-risk structures with independent chain/Greeks/liquidity verification.</w:t>
      </w:r>
    </w:p>
    <w:p>
      <w:pPr>
        <w:pStyle w:val="ListBullet"/>
      </w:pPr>
      <w:r>
        <w:t>All assets: use the same Risk Gate, Position State, Execution Specification, reconciliation and ledger.</w:t>
      </w:r>
    </w:p>
    <w:p>
      <w:pPr>
        <w:pStyle w:val="Heading1"/>
      </w:pPr>
      <w:r>
        <w:t>9. Immediate action plan</w:t>
      </w:r>
    </w:p>
    <w:p>
      <w:r>
        <w:t>1. Finish the current AURA .22 Alpaca PAPER path before broad integration.</w:t>
      </w:r>
    </w:p>
    <w:p>
      <w:r>
        <w:t>2. Download/snapshot the highest-value public competition repositories.</w:t>
      </w:r>
    </w:p>
    <w:p>
      <w:r>
        <w:t>3. Review AlphaPilot, SentryTheta, Aegis/AegisAlpha, Vetoed, Vermilion, BABIL and NewsFlow Trader.</w:t>
      </w:r>
    </w:p>
    <w:p>
      <w:r>
        <w:t>4. Create a component-by-component comparison matrix.</w:t>
      </w:r>
    </w:p>
    <w:p>
      <w:r>
        <w:t>5. Select only components that fit AURA's contracts and safety model.</w:t>
      </w:r>
    </w:p>
    <w:p>
      <w:r>
        <w:t>6. Build the next-generation AURA as a clean architecture rather than a fragile mega-merge.</w:t>
      </w:r>
    </w:p>
    <w:p>
      <w:r>
        <w:t>7. Keep crypto, stocks and options as specialized research engines over one deterministic control plane.</w:t>
      </w:r>
    </w:p>
    <w:p>
      <w:pPr>
        <w:pStyle w:val="Heading1"/>
      </w:pPr>
      <w:r>
        <w:t>10. Bottom Line</w:t>
      </w:r>
    </w:p>
    <w:p>
      <w:r>
        <w:t>The public code is worth downloading. It can accelerate AURA's evolution, especially on options lifecycle, news/event processing, autonomous orchestration, evidence, reconciliation and observability. Treat the projects as a competitive code laboratory: take the best ideas and proven implementation patterns while preserving AURA's core principle — the AI may research and propose, but deterministic code decides whether anything can execute.</w:t>
      </w:r>
    </w:p>
    <w:p>
      <w:pPr>
        <w:pStyle w:val="Heading1"/>
      </w:pPr>
      <w:r>
        <w:t>Source basis</w:t>
      </w:r>
    </w:p>
    <w:p>
      <w:pPr>
        <w:pStyle w:val="ListBullet"/>
      </w:pPr>
      <w:r>
        <w:t>Competition ranking supplied in the conversation on 3 September 2026.</w:t>
      </w:r>
    </w:p>
    <w:p>
      <w:pPr>
        <w:pStyle w:val="ListBullet"/>
      </w:pPr>
      <w:r>
        <w:t>Previously reviewed competition-team presentations supplied in the project.</w:t>
      </w:r>
    </w:p>
    <w:p>
      <w:pPr>
        <w:pStyle w:val="ListBullet"/>
      </w:pPr>
      <w:r>
        <w:t>Previously reviewed AURA, DELTAX and DELTAX_v2 repositories.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